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2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957580</wp:posOffset>
                </wp:positionH>
                <wp:positionV relativeFrom="paragraph">
                  <wp:posOffset>12700</wp:posOffset>
                </wp:positionV>
                <wp:extent cx="1088390" cy="167640"/>
                <wp:wrapSquare wrapText="bothSides"/>
                <wp:docPr id="1" name="Shape 1"/>
                <a:graphic xmlns:a="http://schemas.openxmlformats.org/drawingml/2006/main">
                  <a:graphicData uri="http://schemas.microsoft.com/office/word/2010/wordprocessingShape">
                    <wps:wsp>
                      <wps:cNvSpPr txBox="1"/>
                      <wps:spPr>
                        <a:xfrm>
                          <a:ext cx="108839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600050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5.400000000000006pt;margin-top:1.pt;width:85.70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600050</w:t>
                      </w:r>
                    </w:p>
                  </w:txbxContent>
                </v:textbox>
                <w10:wrap type="square" anchorx="page"/>
              </v:shape>
            </w:pict>
          </mc:Fallback>
        </mc:AlternateContent>
      </w:r>
      <w:r>
        <w:rPr>
          <w:color w:val="000000"/>
          <w:spacing w:val="0"/>
          <w:w w:val="100"/>
          <w:position w:val="0"/>
        </w:rPr>
        <w:t>公司简称：中国联通</w:t>
      </w:r>
    </w:p>
    <w:p>
      <w:pPr>
        <w:pStyle w:val="Style7"/>
        <w:keepNext w:val="0"/>
        <w:keepLines w:val="0"/>
        <w:widowControl w:val="0"/>
        <w:shd w:val="clear" w:color="auto" w:fill="auto"/>
        <w:bidi w:val="0"/>
        <w:spacing w:before="0" w:after="280" w:line="240" w:lineRule="auto"/>
        <w:ind w:left="0" w:right="0" w:firstLine="0"/>
        <w:jc w:val="center"/>
      </w:pPr>
      <w:r>
        <w:rPr>
          <w:spacing w:val="0"/>
          <w:w w:val="100"/>
          <w:position w:val="0"/>
        </w:rPr>
        <w:t>中国联合网络通信股份有限公司</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37" w:right="1536" w:bottom="7518" w:left="2928" w:header="0" w:footer="3" w:gutter="0"/>
          <w:cols w:space="720"/>
          <w:noEndnote/>
          <w:rtlGutter w:val="0"/>
          <w:docGrid w:linePitch="360"/>
        </w:sectPr>
      </w:pPr>
      <w:r>
        <w:rPr>
          <w:rFonts w:ascii="Times New Roman" w:eastAsia="Times New Roman" w:hAnsi="Times New Roman" w:cs="Times New Roman"/>
          <w:spacing w:val="0"/>
          <w:w w:val="100"/>
          <w:position w:val="0"/>
          <w:sz w:val="42"/>
          <w:szCs w:val="42"/>
        </w:rPr>
        <w:t>2021</w:t>
      </w:r>
      <w:r>
        <w:rPr>
          <w:spacing w:val="0"/>
          <w:w w:val="100"/>
          <w:position w:val="0"/>
        </w:rPr>
        <w:t>年年度报告</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97" w:right="0" w:bottom="787" w:left="0" w:header="0" w:footer="3" w:gutter="0"/>
          <w:cols w:space="720"/>
          <w:noEndnote/>
          <w:rtlGutter w:val="0"/>
          <w:docGrid w:linePitch="360"/>
        </w:sectPr>
      </w:pPr>
    </w:p>
    <w:p>
      <w:pPr>
        <w:pStyle w:val="Style10"/>
        <w:keepNext/>
        <w:keepLines/>
        <w:framePr w:w="1853" w:h="706" w:wrap="none" w:vAnchor="text" w:hAnchor="page" w:x="3707" w:y="1417"/>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China</w:t>
      </w:r>
      <w:bookmarkEnd w:id="0"/>
      <w:bookmarkEnd w:id="1"/>
      <w:bookmarkEnd w:id="2"/>
    </w:p>
    <w:p>
      <w:pPr>
        <w:pStyle w:val="Style10"/>
        <w:keepNext/>
        <w:keepLines/>
        <w:framePr w:w="4363" w:h="706" w:wrap="none" w:vAnchor="text" w:hAnchor="page" w:x="3765" w:y="1931"/>
        <w:widowControl w:val="0"/>
        <w:shd w:val="clear" w:color="auto" w:fill="auto"/>
        <w:bidi w:val="0"/>
        <w:spacing w:before="0" w:after="0" w:line="240" w:lineRule="auto"/>
        <w:ind w:left="0" w:right="0" w:firstLine="0"/>
        <w:jc w:val="center"/>
        <w:rPr>
          <w:sz w:val="48"/>
          <w:szCs w:val="48"/>
        </w:rPr>
      </w:pPr>
      <w:bookmarkStart w:id="3" w:name="bookmark3"/>
      <w:bookmarkStart w:id="4" w:name="bookmark4"/>
      <w:bookmarkStart w:id="5" w:name="bookmark5"/>
      <w:r>
        <w:rPr>
          <w:color w:val="000000"/>
          <w:spacing w:val="0"/>
          <w:w w:val="100"/>
          <w:position w:val="0"/>
          <w:sz w:val="60"/>
          <w:szCs w:val="60"/>
        </w:rPr>
        <w:t>unicorn</w:t>
      </w:r>
      <w:r>
        <w:rPr>
          <w:rFonts w:ascii="SimHei" w:eastAsia="SimHei" w:hAnsi="SimHei" w:cs="SimHei"/>
          <w:b w:val="0"/>
          <w:bCs w:val="0"/>
          <w:color w:val="000000"/>
          <w:spacing w:val="0"/>
          <w:w w:val="100"/>
          <w:position w:val="0"/>
          <w:sz w:val="48"/>
          <w:szCs w:val="48"/>
        </w:rPr>
        <w:t>中国联通</w:t>
      </w:r>
      <w:bookmarkEnd w:id="3"/>
      <w:bookmarkEnd w:id="4"/>
      <w:bookmarkEnd w:id="5"/>
    </w:p>
    <w:p>
      <w:pPr>
        <w:widowControl w:val="0"/>
        <w:spacing w:line="360" w:lineRule="exact"/>
      </w:pPr>
      <w:r>
        <w:drawing>
          <wp:anchor distT="0" distB="0" distL="0" distR="0" simplePos="0" relativeHeight="62914690" behindDoc="1" locked="0" layoutInCell="1" allowOverlap="1">
            <wp:simplePos x="0" y="0"/>
            <wp:positionH relativeFrom="page">
              <wp:posOffset>3700780</wp:posOffset>
            </wp:positionH>
            <wp:positionV relativeFrom="paragraph">
              <wp:posOffset>12700</wp:posOffset>
            </wp:positionV>
            <wp:extent cx="1597025" cy="120713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1597025" cy="12071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footnotePr>
            <w:pos w:val="pageBottom"/>
            <w:numFmt w:val="decimal"/>
            <w:numRestart w:val="continuous"/>
          </w:footnotePr>
          <w:type w:val="continuous"/>
          <w:pgSz w:w="11900" w:h="16840"/>
          <w:pgMar w:top="1397" w:right="1537" w:bottom="787" w:left="1508" w:header="0" w:footer="3" w:gutter="0"/>
          <w:cols w:space="720"/>
          <w:noEndnote/>
          <w:rtlGutter w:val="0"/>
          <w:docGrid w:linePitch="360"/>
        </w:sectPr>
      </w:pPr>
    </w:p>
    <w:p>
      <w:pPr>
        <w:pStyle w:val="Style13"/>
        <w:keepNext/>
        <w:keepLines/>
        <w:widowControl w:val="0"/>
        <w:shd w:val="clear" w:color="auto" w:fill="auto"/>
        <w:bidi w:val="0"/>
        <w:spacing w:before="680" w:after="120" w:line="240" w:lineRule="auto"/>
        <w:ind w:left="0" w:right="0" w:firstLine="0"/>
        <w:jc w:val="center"/>
      </w:pPr>
      <w:bookmarkStart w:id="6" w:name="bookmark6"/>
      <w:bookmarkStart w:id="7" w:name="bookmark7"/>
      <w:bookmarkStart w:id="8" w:name="bookmark8"/>
      <w:r>
        <w:rPr>
          <w:color w:val="000000"/>
          <w:spacing w:val="0"/>
          <w:w w:val="100"/>
          <w:position w:val="0"/>
        </w:rPr>
        <w:t>重要提示</w:t>
      </w:r>
      <w:bookmarkEnd w:id="6"/>
      <w:bookmarkEnd w:id="7"/>
      <w:bookmarkEnd w:id="8"/>
    </w:p>
    <w:p>
      <w:pPr>
        <w:pStyle w:val="Style5"/>
        <w:keepNext w:val="0"/>
        <w:keepLines w:val="0"/>
        <w:widowControl w:val="0"/>
        <w:shd w:val="clear" w:color="auto" w:fill="auto"/>
        <w:tabs>
          <w:tab w:pos="478" w:val="left"/>
        </w:tabs>
        <w:bidi w:val="0"/>
        <w:spacing w:before="0" w:after="280" w:line="398" w:lineRule="exact"/>
        <w:ind w:left="380" w:right="0" w:hanging="380"/>
        <w:jc w:val="left"/>
      </w:pPr>
      <w:bookmarkStart w:id="9" w:name="bookmark9"/>
      <w:r>
        <w:rPr>
          <w:b/>
          <w:bCs/>
          <w:color w:val="000000"/>
          <w:spacing w:val="0"/>
          <w:w w:val="100"/>
          <w:position w:val="0"/>
        </w:rPr>
        <w:t>一</w:t>
      </w:r>
      <w:bookmarkEnd w:id="9"/>
      <w:r>
        <w:rPr>
          <w:b/>
          <w:bCs/>
          <w:color w:val="000000"/>
          <w:spacing w:val="0"/>
          <w:w w:val="100"/>
          <w:position w:val="0"/>
        </w:rPr>
        <w:t>、</w:t>
        <w:tab/>
        <w:t>本公司董事会、监事会及董事、监事、高级管理人员保证年度报告内容的真实性、准确性、完 整性，不存在虚假记载、误导性陈述或重大遗漏，并承担个别和连带的法律责任。</w:t>
      </w:r>
    </w:p>
    <w:p>
      <w:pPr>
        <w:pStyle w:val="Style5"/>
        <w:keepNext w:val="0"/>
        <w:keepLines w:val="0"/>
        <w:widowControl w:val="0"/>
        <w:shd w:val="clear" w:color="auto" w:fill="auto"/>
        <w:tabs>
          <w:tab w:pos="478" w:val="left"/>
        </w:tabs>
        <w:bidi w:val="0"/>
        <w:spacing w:before="0" w:after="280" w:line="362" w:lineRule="exact"/>
        <w:ind w:left="0" w:right="0" w:firstLine="0"/>
        <w:jc w:val="left"/>
      </w:pPr>
      <w:bookmarkStart w:id="10" w:name="bookmark10"/>
      <w:r>
        <w:rPr>
          <w:b/>
          <w:bCs/>
          <w:color w:val="000000"/>
          <w:spacing w:val="0"/>
          <w:w w:val="100"/>
          <w:position w:val="0"/>
        </w:rPr>
        <w:t>二</w:t>
      </w:r>
      <w:bookmarkEnd w:id="10"/>
      <w:r>
        <w:rPr>
          <w:b/>
          <w:bCs/>
          <w:color w:val="000000"/>
          <w:spacing w:val="0"/>
          <w:w w:val="100"/>
          <w:position w:val="0"/>
        </w:rPr>
        <w:t>、</w:t>
        <w:tab/>
        <w:t>公司全体董事出席董事会会议。</w:t>
      </w:r>
    </w:p>
    <w:p>
      <w:pPr>
        <w:pStyle w:val="Style5"/>
        <w:keepNext w:val="0"/>
        <w:keepLines w:val="0"/>
        <w:widowControl w:val="0"/>
        <w:shd w:val="clear" w:color="auto" w:fill="auto"/>
        <w:tabs>
          <w:tab w:pos="483" w:val="left"/>
        </w:tabs>
        <w:bidi w:val="0"/>
        <w:spacing w:before="0" w:after="220" w:line="362" w:lineRule="exact"/>
        <w:ind w:left="0" w:right="0" w:firstLine="0"/>
        <w:jc w:val="left"/>
      </w:pPr>
      <w:bookmarkStart w:id="11" w:name="bookmark11"/>
      <w:r>
        <w:rPr>
          <w:b/>
          <w:bCs/>
          <w:color w:val="000000"/>
          <w:spacing w:val="0"/>
          <w:w w:val="100"/>
          <w:position w:val="0"/>
        </w:rPr>
        <w:t>三</w:t>
      </w:r>
      <w:bookmarkEnd w:id="11"/>
      <w:r>
        <w:rPr>
          <w:b/>
          <w:bCs/>
          <w:color w:val="000000"/>
          <w:spacing w:val="0"/>
          <w:w w:val="100"/>
          <w:position w:val="0"/>
        </w:rPr>
        <w:t>、</w:t>
        <w:tab/>
        <w:t>德勤华永会计师事务所（特殊普通合伙）为本公司出具了标准无保留意见的审计报告。</w:t>
      </w:r>
    </w:p>
    <w:p>
      <w:pPr>
        <w:pStyle w:val="Style5"/>
        <w:keepNext w:val="0"/>
        <w:keepLines w:val="0"/>
        <w:widowControl w:val="0"/>
        <w:shd w:val="clear" w:color="auto" w:fill="auto"/>
        <w:tabs>
          <w:tab w:pos="483" w:val="left"/>
        </w:tabs>
        <w:bidi w:val="0"/>
        <w:spacing w:before="0" w:after="280" w:line="408" w:lineRule="exact"/>
        <w:ind w:left="380" w:right="0" w:hanging="380"/>
        <w:jc w:val="left"/>
      </w:pPr>
      <w:bookmarkStart w:id="12" w:name="bookmark12"/>
      <w:r>
        <w:rPr>
          <w:b/>
          <w:bCs/>
          <w:color w:val="000000"/>
          <w:spacing w:val="0"/>
          <w:w w:val="100"/>
          <w:position w:val="0"/>
        </w:rPr>
        <w:t>四</w:t>
      </w:r>
      <w:bookmarkEnd w:id="12"/>
      <w:r>
        <w:rPr>
          <w:b/>
          <w:bCs/>
          <w:color w:val="000000"/>
          <w:spacing w:val="0"/>
          <w:w w:val="100"/>
          <w:position w:val="0"/>
        </w:rPr>
        <w:t>、</w:t>
        <w:tab/>
        <w:t>公司负责人刘烈宏、主管会计工作负责人李玉焯及会计机构负责人（会计主管人员）王芳声明: 保证年度报告中财务报告的真实、准确、完整。</w:t>
      </w:r>
    </w:p>
    <w:p>
      <w:pPr>
        <w:pStyle w:val="Style16"/>
        <w:keepNext/>
        <w:keepLines/>
        <w:widowControl w:val="0"/>
        <w:shd w:val="clear" w:color="auto" w:fill="auto"/>
        <w:tabs>
          <w:tab w:pos="478" w:val="left"/>
        </w:tabs>
        <w:bidi w:val="0"/>
        <w:spacing w:before="0" w:after="220" w:line="362" w:lineRule="exact"/>
        <w:ind w:left="0" w:right="0" w:firstLine="0"/>
        <w:jc w:val="left"/>
      </w:pPr>
      <w:bookmarkStart w:id="13" w:name="bookmark13"/>
      <w:bookmarkStart w:id="14" w:name="bookmark14"/>
      <w:bookmarkStart w:id="15" w:name="bookmark15"/>
      <w:bookmarkStart w:id="16" w:name="bookmark16"/>
      <w:r>
        <w:rPr>
          <w:color w:val="000000"/>
          <w:spacing w:val="0"/>
          <w:w w:val="100"/>
          <w:position w:val="0"/>
        </w:rPr>
        <w:t>五</w:t>
      </w:r>
      <w:bookmarkEnd w:id="15"/>
      <w:r>
        <w:rPr>
          <w:color w:val="000000"/>
          <w:spacing w:val="0"/>
          <w:w w:val="100"/>
          <w:position w:val="0"/>
        </w:rPr>
        <w:t>、</w:t>
        <w:tab/>
        <w:t>董事会决议通过的本报告期利润分配预案或公积金转增股本预案</w:t>
      </w:r>
      <w:bookmarkEnd w:id="13"/>
      <w:bookmarkEnd w:id="14"/>
      <w:bookmarkEnd w:id="16"/>
    </w:p>
    <w:p>
      <w:pPr>
        <w:pStyle w:val="Style5"/>
        <w:keepNext w:val="0"/>
        <w:keepLines w:val="0"/>
        <w:widowControl w:val="0"/>
        <w:shd w:val="clear" w:color="auto" w:fill="auto"/>
        <w:bidi w:val="0"/>
        <w:spacing w:before="0" w:after="120" w:line="362" w:lineRule="exact"/>
        <w:ind w:left="0" w:right="0" w:firstLine="420"/>
        <w:jc w:val="left"/>
      </w:pPr>
      <w:r>
        <w:rPr>
          <w:color w:val="000000"/>
          <w:spacing w:val="0"/>
          <w:w w:val="100"/>
          <w:position w:val="0"/>
        </w:rPr>
        <w:t>公司董事会审议的报告期利润分配预案如下：本公司通过中国联通</w:t>
      </w:r>
      <w:r>
        <w:rPr>
          <w:color w:val="000000"/>
          <w:spacing w:val="0"/>
          <w:w w:val="100"/>
          <w:position w:val="0"/>
        </w:rPr>
        <w:t>（</w:t>
      </w:r>
      <w:r>
        <w:rPr>
          <w:rFonts w:ascii="Times New Roman" w:eastAsia="Times New Roman" w:hAnsi="Times New Roman" w:cs="Times New Roman"/>
          <w:color w:val="000000"/>
          <w:spacing w:val="0"/>
          <w:w w:val="100"/>
          <w:position w:val="0"/>
        </w:rPr>
        <w:t>BVI</w:t>
      </w:r>
      <w:r>
        <w:rPr>
          <w:color w:val="000000"/>
          <w:spacing w:val="0"/>
          <w:w w:val="100"/>
          <w:position w:val="0"/>
        </w:rPr>
        <w:t>）</w:t>
      </w:r>
      <w:r>
        <w:rPr>
          <w:color w:val="000000"/>
          <w:spacing w:val="0"/>
          <w:w w:val="100"/>
          <w:position w:val="0"/>
        </w:rPr>
        <w:t>有限公司持有中国 联合网络通信（香港）股份有限公司（以下简称“联通红筹公司”）的股权，按本公司章程规定， 应将自联通红筹公司分红所得现金在扣除公司日常现金开支、税费及法律法规规定应当提取的各项 公积金后，以现金方式全额分配给股东。</w:t>
      </w:r>
    </w:p>
    <w:p>
      <w:pPr>
        <w:pStyle w:val="Style5"/>
        <w:keepNext w:val="0"/>
        <w:keepLines w:val="0"/>
        <w:widowControl w:val="0"/>
        <w:shd w:val="clear" w:color="auto" w:fill="auto"/>
        <w:bidi w:val="0"/>
        <w:spacing w:before="0" w:after="120" w:line="362" w:lineRule="exact"/>
        <w:ind w:left="0" w:right="0" w:firstLine="420"/>
        <w:jc w:val="left"/>
      </w:pPr>
      <w:r>
        <w:rPr>
          <w:color w:val="000000"/>
          <w:spacing w:val="0"/>
          <w:w w:val="100"/>
          <w:position w:val="0"/>
        </w:rPr>
        <w:t>联通红筹公司董事会于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日提议派发</w:t>
      </w:r>
      <w:r>
        <w:rPr>
          <w:rFonts w:ascii="Times New Roman" w:eastAsia="Times New Roman" w:hAnsi="Times New Roman" w:cs="Times New Roman"/>
          <w:color w:val="000000"/>
          <w:spacing w:val="0"/>
          <w:w w:val="100"/>
          <w:position w:val="0"/>
        </w:rPr>
        <w:t>2021</w:t>
      </w:r>
      <w:r>
        <w:rPr>
          <w:color w:val="000000"/>
          <w:spacing w:val="0"/>
          <w:w w:val="100"/>
          <w:position w:val="0"/>
        </w:rPr>
        <w:t>年度末期股利，每股派发股利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.096</w:t>
      </w:r>
      <w:r>
        <w:rPr>
          <w:color w:val="000000"/>
          <w:spacing w:val="0"/>
          <w:w w:val="100"/>
          <w:position w:val="0"/>
        </w:rPr>
        <w:t>元。如 获联通红筹公司周年股东大会批准，本公司预计将收到按持股比例计算的股利约</w:t>
      </w:r>
      <w:r>
        <w:rPr>
          <w:rFonts w:ascii="Times New Roman" w:eastAsia="Times New Roman" w:hAnsi="Times New Roman" w:cs="Times New Roman"/>
          <w:color w:val="000000"/>
          <w:spacing w:val="0"/>
          <w:w w:val="100"/>
          <w:position w:val="0"/>
        </w:rPr>
        <w:t>12.91</w:t>
      </w:r>
      <w:r>
        <w:rPr>
          <w:color w:val="000000"/>
          <w:spacing w:val="0"/>
          <w:w w:val="100"/>
          <w:position w:val="0"/>
        </w:rPr>
        <w:t>亿元。依照公 司章程，在收到此等股利后，扣除本公司日常开支和税费约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.25</w:t>
      </w:r>
      <w:r>
        <w:rPr>
          <w:color w:val="000000"/>
          <w:spacing w:val="0"/>
          <w:w w:val="100"/>
          <w:position w:val="0"/>
        </w:rPr>
        <w:t>亿元，减去预提</w:t>
      </w:r>
      <w:r>
        <w:rPr>
          <w:rFonts w:ascii="Times New Roman" w:eastAsia="Times New Roman" w:hAnsi="Times New Roman" w:cs="Times New Roman"/>
          <w:color w:val="000000"/>
          <w:spacing w:val="0"/>
          <w:w w:val="100"/>
          <w:position w:val="0"/>
        </w:rPr>
        <w:t>2022</w:t>
      </w:r>
      <w:r>
        <w:rPr>
          <w:color w:val="000000"/>
          <w:spacing w:val="0"/>
          <w:w w:val="100"/>
          <w:position w:val="0"/>
        </w:rPr>
        <w:t>年度法定公积 金约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.27</w:t>
      </w:r>
      <w:r>
        <w:rPr>
          <w:color w:val="000000"/>
          <w:spacing w:val="0"/>
          <w:w w:val="100"/>
          <w:position w:val="0"/>
        </w:rPr>
        <w:t>亿元，加上</w:t>
      </w:r>
      <w:r>
        <w:rPr>
          <w:rFonts w:ascii="Times New Roman" w:eastAsia="Times New Roman" w:hAnsi="Times New Roman" w:cs="Times New Roman"/>
          <w:color w:val="000000"/>
          <w:spacing w:val="0"/>
          <w:w w:val="100"/>
          <w:position w:val="0"/>
        </w:rPr>
        <w:t>2021</w:t>
      </w:r>
      <w:r>
        <w:rPr>
          <w:color w:val="000000"/>
          <w:spacing w:val="0"/>
          <w:w w:val="100"/>
          <w:position w:val="0"/>
        </w:rPr>
        <w:t>年末本公司可供股东分配利润</w:t>
      </w:r>
      <w:r>
        <w:rPr>
          <w:rFonts w:ascii="Times New Roman" w:eastAsia="Times New Roman" w:hAnsi="Times New Roman" w:cs="Times New Roman"/>
          <w:color w:val="000000"/>
          <w:spacing w:val="0"/>
          <w:w w:val="100"/>
          <w:position w:val="0"/>
        </w:rPr>
        <w:t>0.60</w:t>
      </w:r>
      <w:r>
        <w:rPr>
          <w:color w:val="000000"/>
          <w:spacing w:val="0"/>
          <w:w w:val="100"/>
          <w:position w:val="0"/>
        </w:rPr>
        <w:t>亿元后，可供股东分配的利润约</w:t>
      </w:r>
      <w:r>
        <w:rPr>
          <w:rFonts w:ascii="Times New Roman" w:eastAsia="Times New Roman" w:hAnsi="Times New Roman" w:cs="Times New Roman"/>
          <w:color w:val="000000"/>
          <w:spacing w:val="0"/>
          <w:w w:val="100"/>
          <w:position w:val="0"/>
        </w:rPr>
        <w:t>11.99</w:t>
      </w:r>
      <w:r>
        <w:rPr>
          <w:color w:val="000000"/>
          <w:spacing w:val="0"/>
          <w:w w:val="100"/>
          <w:position w:val="0"/>
        </w:rPr>
        <w:t>亿 元。</w:t>
      </w:r>
    </w:p>
    <w:p>
      <w:pPr>
        <w:pStyle w:val="Style5"/>
        <w:keepNext w:val="0"/>
        <w:keepLines w:val="0"/>
        <w:widowControl w:val="0"/>
        <w:shd w:val="clear" w:color="auto" w:fill="auto"/>
        <w:bidi w:val="0"/>
        <w:spacing w:before="0" w:after="120" w:line="360" w:lineRule="exact"/>
        <w:ind w:left="0" w:right="0" w:firstLine="420"/>
        <w:jc w:val="left"/>
      </w:pPr>
      <w:r>
        <w:rPr>
          <w:color w:val="000000"/>
          <w:spacing w:val="0"/>
          <w:w w:val="100"/>
          <w:position w:val="0"/>
        </w:rPr>
        <w:t>根据《上海证券交易所上市公司回购股份实施细则》等有关规定，公司回购专用证券账户上的 本公司股份不参与本次股息派发。</w:t>
      </w:r>
    </w:p>
    <w:p>
      <w:pPr>
        <w:pStyle w:val="Style5"/>
        <w:keepNext w:val="0"/>
        <w:keepLines w:val="0"/>
        <w:widowControl w:val="0"/>
        <w:shd w:val="clear" w:color="auto" w:fill="auto"/>
        <w:bidi w:val="0"/>
        <w:spacing w:before="0" w:after="120" w:line="360" w:lineRule="exact"/>
        <w:ind w:left="0" w:right="0" w:firstLine="420"/>
        <w:jc w:val="left"/>
      </w:pPr>
      <w:r>
        <w:rPr>
          <w:color w:val="000000"/>
          <w:spacing w:val="0"/>
          <w:w w:val="100"/>
          <w:position w:val="0"/>
        </w:rPr>
        <w:t>据此，董事会建议，本公司对权益分派实施公告中确定的股权登记日收市后在册扣除本公司回 购专用账户后的其他股份，每</w:t>
      </w:r>
      <w:r>
        <w:rPr>
          <w:rFonts w:ascii="Times New Roman" w:eastAsia="Times New Roman" w:hAnsi="Times New Roman" w:cs="Times New Roman"/>
          <w:color w:val="000000"/>
          <w:spacing w:val="0"/>
          <w:w w:val="100"/>
          <w:position w:val="0"/>
        </w:rPr>
        <w:t>10</w:t>
      </w:r>
      <w:r>
        <w:rPr>
          <w:color w:val="000000"/>
          <w:spacing w:val="0"/>
          <w:w w:val="100"/>
          <w:position w:val="0"/>
        </w:rPr>
        <w:t>股拟派发现金股利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，共计拟向本公司股东派发约</w:t>
      </w:r>
      <w:r>
        <w:rPr>
          <w:rFonts w:ascii="Times New Roman" w:eastAsia="Times New Roman" w:hAnsi="Times New Roman" w:cs="Times New Roman"/>
          <w:color w:val="000000"/>
          <w:spacing w:val="0"/>
          <w:w w:val="100"/>
          <w:position w:val="0"/>
        </w:rPr>
        <w:t xml:space="preserve">11.92 </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的股利，剩余可供股东分配的利润将用于以后年度的利润分配。</w:t>
      </w:r>
    </w:p>
    <w:p>
      <w:pPr>
        <w:pStyle w:val="Style5"/>
        <w:keepNext w:val="0"/>
        <w:keepLines w:val="0"/>
        <w:widowControl w:val="0"/>
        <w:shd w:val="clear" w:color="auto" w:fill="auto"/>
        <w:bidi w:val="0"/>
        <w:spacing w:before="0" w:after="120" w:line="355" w:lineRule="exact"/>
        <w:ind w:left="0" w:right="0" w:firstLine="420"/>
        <w:jc w:val="left"/>
      </w:pPr>
      <w:r>
        <w:rPr>
          <w:color w:val="000000"/>
          <w:spacing w:val="0"/>
          <w:w w:val="100"/>
          <w:position w:val="0"/>
        </w:rPr>
        <w:t>在实施权益分派的股权登记日前，若公司发生可参与利润分配的总股本变动，拟维持分配总额 不变，相应调整每股分红比例。</w:t>
      </w:r>
    </w:p>
    <w:p>
      <w:pPr>
        <w:pStyle w:val="Style5"/>
        <w:keepNext w:val="0"/>
        <w:keepLines w:val="0"/>
        <w:widowControl w:val="0"/>
        <w:shd w:val="clear" w:color="auto" w:fill="auto"/>
        <w:bidi w:val="0"/>
        <w:spacing w:before="0" w:after="120" w:line="362" w:lineRule="exact"/>
        <w:ind w:left="0" w:right="0" w:firstLine="380"/>
        <w:jc w:val="left"/>
      </w:pPr>
      <w:r>
        <w:rPr>
          <w:color w:val="000000"/>
          <w:spacing w:val="0"/>
          <w:w w:val="100"/>
          <w:position w:val="0"/>
        </w:rPr>
        <w:t>本次利润分配方案尚需提交本公司股东大会审议。</w:t>
      </w:r>
    </w:p>
    <w:p>
      <w:pPr>
        <w:pStyle w:val="Style16"/>
        <w:keepNext/>
        <w:keepLines/>
        <w:widowControl w:val="0"/>
        <w:shd w:val="clear" w:color="auto" w:fill="auto"/>
        <w:tabs>
          <w:tab w:pos="478" w:val="left"/>
        </w:tabs>
        <w:bidi w:val="0"/>
        <w:spacing w:before="0" w:after="220" w:line="362" w:lineRule="exact"/>
        <w:ind w:left="0" w:right="0" w:firstLine="0"/>
        <w:jc w:val="left"/>
      </w:pPr>
      <w:bookmarkStart w:id="17" w:name="bookmark17"/>
      <w:bookmarkStart w:id="18" w:name="bookmark18"/>
      <w:bookmarkStart w:id="19" w:name="bookmark19"/>
      <w:bookmarkStart w:id="20" w:name="bookmark20"/>
      <w:r>
        <w:rPr>
          <w:color w:val="000000"/>
          <w:spacing w:val="0"/>
          <w:w w:val="100"/>
          <w:position w:val="0"/>
        </w:rPr>
        <w:t>六</w:t>
      </w:r>
      <w:bookmarkEnd w:id="19"/>
      <w:r>
        <w:rPr>
          <w:color w:val="000000"/>
          <w:spacing w:val="0"/>
          <w:w w:val="100"/>
          <w:position w:val="0"/>
        </w:rPr>
        <w:t>、</w:t>
        <w:tab/>
        <w:t>前瞻性陈述的风险声明</w:t>
      </w:r>
      <w:bookmarkEnd w:id="17"/>
      <w:bookmarkEnd w:id="18"/>
      <w:bookmarkEnd w:id="20"/>
    </w:p>
    <w:p>
      <w:pPr>
        <w:pStyle w:val="Style5"/>
        <w:keepNext w:val="0"/>
        <w:keepLines w:val="0"/>
        <w:widowControl w:val="0"/>
        <w:shd w:val="clear" w:color="auto" w:fill="auto"/>
        <w:bidi w:val="0"/>
        <w:spacing w:before="0" w:after="180" w:line="379" w:lineRule="exact"/>
        <w:ind w:left="0" w:right="0" w:firstLine="42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年年度报告中所涉及的发展战略、未来经营计划等前瞻性陈述不构成公司对投资者 的实质承诺，敬请投资者注意投资风险。</w:t>
      </w:r>
    </w:p>
    <w:p>
      <w:pPr>
        <w:pStyle w:val="Style16"/>
        <w:keepNext/>
        <w:keepLines/>
        <w:widowControl w:val="0"/>
        <w:shd w:val="clear" w:color="auto" w:fill="auto"/>
        <w:tabs>
          <w:tab w:pos="483" w:val="left"/>
        </w:tabs>
        <w:bidi w:val="0"/>
        <w:spacing w:before="0" w:after="200" w:line="362" w:lineRule="exact"/>
        <w:ind w:left="0" w:right="0" w:firstLine="0"/>
        <w:jc w:val="left"/>
      </w:pPr>
      <w:bookmarkStart w:id="21" w:name="bookmark21"/>
      <w:bookmarkStart w:id="22" w:name="bookmark22"/>
      <w:bookmarkStart w:id="23" w:name="bookmark23"/>
      <w:bookmarkStart w:id="24" w:name="bookmark24"/>
      <w:r>
        <w:rPr>
          <w:color w:val="000000"/>
          <w:spacing w:val="0"/>
          <w:w w:val="100"/>
          <w:position w:val="0"/>
        </w:rPr>
        <w:t>七</w:t>
      </w:r>
      <w:bookmarkEnd w:id="23"/>
      <w:r>
        <w:rPr>
          <w:color w:val="000000"/>
          <w:spacing w:val="0"/>
          <w:w w:val="100"/>
          <w:position w:val="0"/>
        </w:rPr>
        <w:t>、</w:t>
        <w:tab/>
        <w:t>是否存在被控股股东及其关联方非经营性占用资金情况</w:t>
      </w:r>
      <w:bookmarkEnd w:id="21"/>
      <w:bookmarkEnd w:id="22"/>
      <w:bookmarkEnd w:id="24"/>
    </w:p>
    <w:p>
      <w:pPr>
        <w:pStyle w:val="Style5"/>
        <w:keepNext w:val="0"/>
        <w:keepLines w:val="0"/>
        <w:widowControl w:val="0"/>
        <w:shd w:val="clear" w:color="auto" w:fill="auto"/>
        <w:bidi w:val="0"/>
        <w:spacing w:before="0" w:after="200" w:line="362" w:lineRule="exact"/>
        <w:ind w:left="0" w:right="0" w:firstLine="440"/>
        <w:jc w:val="left"/>
      </w:pPr>
      <w:r>
        <w:rPr>
          <w:color w:val="000000"/>
          <w:spacing w:val="0"/>
          <w:w w:val="100"/>
          <w:position w:val="0"/>
        </w:rPr>
        <w:t>否</w:t>
      </w:r>
    </w:p>
    <w:p>
      <w:pPr>
        <w:pStyle w:val="Style16"/>
        <w:keepNext/>
        <w:keepLines/>
        <w:widowControl w:val="0"/>
        <w:shd w:val="clear" w:color="auto" w:fill="auto"/>
        <w:tabs>
          <w:tab w:pos="483" w:val="left"/>
        </w:tabs>
        <w:bidi w:val="0"/>
        <w:spacing w:before="0" w:after="120" w:line="362" w:lineRule="exact"/>
        <w:ind w:left="0" w:right="0" w:firstLine="0"/>
        <w:jc w:val="left"/>
      </w:pPr>
      <w:bookmarkStart w:id="25" w:name="bookmark25"/>
      <w:bookmarkStart w:id="26" w:name="bookmark26"/>
      <w:bookmarkStart w:id="27" w:name="bookmark27"/>
      <w:bookmarkStart w:id="28" w:name="bookmark28"/>
      <w:r>
        <w:rPr>
          <w:color w:val="000000"/>
          <w:spacing w:val="0"/>
          <w:w w:val="100"/>
          <w:position w:val="0"/>
        </w:rPr>
        <w:t>八</w:t>
      </w:r>
      <w:bookmarkEnd w:id="27"/>
      <w:r>
        <w:rPr>
          <w:color w:val="000000"/>
          <w:spacing w:val="0"/>
          <w:w w:val="100"/>
          <w:position w:val="0"/>
        </w:rPr>
        <w:t>、</w:t>
        <w:tab/>
        <w:t>是否存在违反规定决策程序对外提供担保的情况</w:t>
      </w:r>
      <w:bookmarkEnd w:id="25"/>
      <w:bookmarkEnd w:id="26"/>
      <w:bookmarkEnd w:id="28"/>
    </w:p>
    <w:p>
      <w:pPr>
        <w:pStyle w:val="Style5"/>
        <w:keepNext w:val="0"/>
        <w:keepLines w:val="0"/>
        <w:widowControl w:val="0"/>
        <w:shd w:val="clear" w:color="auto" w:fill="auto"/>
        <w:bidi w:val="0"/>
        <w:spacing w:before="0" w:after="120" w:line="362" w:lineRule="exact"/>
        <w:ind w:left="0" w:right="0" w:firstLine="440"/>
        <w:jc w:val="left"/>
      </w:pPr>
      <w:r>
        <w:rPr>
          <w:color w:val="000000"/>
          <w:spacing w:val="0"/>
          <w:w w:val="100"/>
          <w:position w:val="0"/>
        </w:rPr>
        <w:t>否</w:t>
      </w:r>
    </w:p>
    <w:p>
      <w:pPr>
        <w:pStyle w:val="Style16"/>
        <w:keepNext/>
        <w:keepLines/>
        <w:widowControl w:val="0"/>
        <w:shd w:val="clear" w:color="auto" w:fill="auto"/>
        <w:tabs>
          <w:tab w:pos="483" w:val="left"/>
        </w:tabs>
        <w:bidi w:val="0"/>
        <w:spacing w:before="0" w:after="40" w:line="362" w:lineRule="exact"/>
        <w:ind w:left="0" w:right="0" w:firstLine="0"/>
        <w:jc w:val="left"/>
      </w:pPr>
      <w:bookmarkStart w:id="29" w:name="bookmark29"/>
      <w:bookmarkStart w:id="30" w:name="bookmark30"/>
      <w:bookmarkStart w:id="31" w:name="bookmark31"/>
      <w:bookmarkStart w:id="32" w:name="bookmark32"/>
      <w:r>
        <w:rPr>
          <w:color w:val="000000"/>
          <w:spacing w:val="0"/>
          <w:w w:val="100"/>
          <w:position w:val="0"/>
        </w:rPr>
        <w:t>九</w:t>
      </w:r>
      <w:bookmarkEnd w:id="31"/>
      <w:r>
        <w:rPr>
          <w:color w:val="000000"/>
          <w:spacing w:val="0"/>
          <w:w w:val="100"/>
          <w:position w:val="0"/>
        </w:rPr>
        <w:t>、</w:t>
        <w:tab/>
        <w:t>是否存在半数以上董事无法保证公司所披露年度报告的真实性、准确性和完整性</w:t>
      </w:r>
      <w:bookmarkEnd w:id="29"/>
      <w:bookmarkEnd w:id="30"/>
      <w:bookmarkEnd w:id="32"/>
    </w:p>
    <w:p>
      <w:pPr>
        <w:pStyle w:val="Style5"/>
        <w:keepNext w:val="0"/>
        <w:keepLines w:val="0"/>
        <w:widowControl w:val="0"/>
        <w:shd w:val="clear" w:color="auto" w:fill="auto"/>
        <w:bidi w:val="0"/>
        <w:spacing w:before="0" w:after="200" w:line="362" w:lineRule="exact"/>
        <w:ind w:left="0" w:right="0" w:firstLine="440"/>
        <w:jc w:val="left"/>
      </w:pPr>
      <w:r>
        <w:rPr>
          <w:color w:val="000000"/>
          <w:spacing w:val="0"/>
          <w:w w:val="100"/>
          <w:position w:val="0"/>
        </w:rPr>
        <w:t>否</w:t>
      </w:r>
    </w:p>
    <w:p>
      <w:pPr>
        <w:pStyle w:val="Style16"/>
        <w:keepNext/>
        <w:keepLines/>
        <w:widowControl w:val="0"/>
        <w:shd w:val="clear" w:color="auto" w:fill="auto"/>
        <w:bidi w:val="0"/>
        <w:spacing w:before="0" w:after="120" w:line="362" w:lineRule="exact"/>
        <w:ind w:left="0" w:right="0" w:firstLine="0"/>
        <w:jc w:val="both"/>
      </w:pPr>
      <w:bookmarkStart w:id="33" w:name="bookmark33"/>
      <w:bookmarkStart w:id="34" w:name="bookmark34"/>
      <w:bookmarkStart w:id="35" w:name="bookmark35"/>
      <w:r>
        <w:rPr>
          <w:color w:val="000000"/>
          <w:spacing w:val="0"/>
          <w:w w:val="100"/>
          <w:position w:val="0"/>
        </w:rPr>
        <w:t>十、重大风险提示</w:t>
      </w:r>
      <w:bookmarkEnd w:id="33"/>
      <w:bookmarkEnd w:id="34"/>
      <w:bookmarkEnd w:id="35"/>
    </w:p>
    <w:p>
      <w:pPr>
        <w:pStyle w:val="Style5"/>
        <w:keepNext w:val="0"/>
        <w:keepLines w:val="0"/>
        <w:widowControl w:val="0"/>
        <w:shd w:val="clear" w:color="auto" w:fill="auto"/>
        <w:bidi w:val="0"/>
        <w:spacing w:before="0" w:after="160" w:line="362" w:lineRule="exact"/>
        <w:ind w:left="0" w:right="0" w:firstLine="440"/>
        <w:jc w:val="left"/>
        <w:sectPr>
          <w:footnotePr>
            <w:pos w:val="pageBottom"/>
            <w:numFmt w:val="decimal"/>
            <w:numRestart w:val="continuous"/>
          </w:footnotePr>
          <w:pgSz w:w="11900" w:h="16840"/>
          <w:pgMar w:top="1373" w:right="1145" w:bottom="2031" w:left="1533" w:header="0" w:footer="3" w:gutter="0"/>
          <w:cols w:space="720"/>
          <w:noEndnote/>
          <w:rtlGutter w:val="0"/>
          <w:docGrid w:linePitch="360"/>
        </w:sectPr>
      </w:pPr>
      <w:r>
        <w:rPr>
          <w:color w:val="000000"/>
          <w:spacing w:val="0"/>
          <w:w w:val="100"/>
          <w:position w:val="0"/>
        </w:rPr>
        <w:t>公司已在本报告中详细描述存在的市场竞争持续风险、行业监管政策风险、网络与信息安全风 险、业务转型发展风险、技术迭代发展风险，敬请查阅第三节管理层讨论与分析中公司关于公司未 来发展的讨论与分析中可能面对的风险因素的内容。</w:t>
      </w:r>
    </w:p>
    <w:p>
      <w:pPr>
        <w:pStyle w:val="Style19"/>
        <w:keepNext w:val="0"/>
        <w:keepLines w:val="0"/>
        <w:widowControl w:val="0"/>
        <w:shd w:val="clear" w:color="auto" w:fill="auto"/>
        <w:tabs>
          <w:tab w:pos="1234" w:val="left"/>
          <w:tab w:leader="dot" w:pos="8809" w:val="right"/>
        </w:tabs>
        <w:bidi w:val="0"/>
        <w:spacing w:before="1560" w:line="240" w:lineRule="auto"/>
        <w:ind w:left="0" w:right="0" w:firstLine="0"/>
        <w:jc w:val="left"/>
      </w:pPr>
      <w:r>
        <w:fldChar w:fldCharType="begin"/>
        <w:instrText xml:space="preserve"> TOC \o "1-5" \h \z </w:instrText>
        <w:fldChar w:fldCharType="separate"/>
      </w:r>
      <w:hyperlink w:anchor="bookmark38"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4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67"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333"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393"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431"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565"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605"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19"/>
        <w:keepNext w:val="0"/>
        <w:keepLines w:val="0"/>
        <w:widowControl w:val="0"/>
        <w:shd w:val="clear" w:color="auto" w:fill="auto"/>
        <w:tabs>
          <w:tab w:pos="1234" w:val="left"/>
          <w:tab w:leader="dot" w:pos="8809" w:val="right"/>
        </w:tabs>
        <w:bidi w:val="0"/>
        <w:spacing w:before="0" w:line="240" w:lineRule="auto"/>
        <w:ind w:left="0" w:right="0" w:firstLine="0"/>
        <w:jc w:val="left"/>
      </w:pPr>
      <w:hyperlink w:anchor="bookmark609"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9"/>
        <w:keepNext w:val="0"/>
        <w:keepLines w:val="0"/>
        <w:widowControl w:val="0"/>
        <w:shd w:val="clear" w:color="auto" w:fill="auto"/>
        <w:tabs>
          <w:tab w:pos="1234" w:val="left"/>
          <w:tab w:leader="dot" w:pos="8809" w:val="right"/>
        </w:tabs>
        <w:bidi w:val="0"/>
        <w:spacing w:before="0" w:after="1680" w:line="240" w:lineRule="auto"/>
        <w:ind w:left="0" w:right="0" w:firstLine="0"/>
        <w:jc w:val="left"/>
      </w:pPr>
      <w:bookmarkStart w:id="36" w:name="bookmark36"/>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68</w:t>
      </w:r>
      <w:bookmarkEnd w:id="36"/>
      <w:r>
        <w:fldChar w:fldCharType="end"/>
      </w:r>
    </w:p>
    <w:tbl>
      <w:tblPr>
        <w:tblOverlap w:val="never"/>
        <w:jc w:val="center"/>
        <w:tblLayout w:type="fixed"/>
      </w:tblPr>
      <w:tblGrid>
        <w:gridCol w:w="1786"/>
        <w:gridCol w:w="7618"/>
      </w:tblGrid>
      <w:tr>
        <w:trPr>
          <w:trHeight w:val="36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载有法定代表人、主管会计工作负责人、会计机构负责人签名并盖章的会计报表</w:t>
            </w:r>
          </w:p>
        </w:tc>
      </w:tr>
      <w:tr>
        <w:trPr>
          <w:trHeight w:val="355"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350"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报告期内在中国证监会指定报纸上公开披露的所有公司文件的正本及公告的原稿</w:t>
            </w:r>
          </w:p>
        </w:tc>
      </w:tr>
      <w:tr>
        <w:trPr>
          <w:trHeight w:val="365"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中国联合网络通信（香港）股份有限公司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年度业绩公告</w:t>
            </w:r>
          </w:p>
        </w:tc>
      </w:tr>
    </w:tbl>
    <w:p>
      <w:pPr>
        <w:spacing w:lineRule="exact" w:line="1"/>
        <w:rPr>
          <w:sz w:val="2"/>
          <w:szCs w:val="2"/>
        </w:rPr>
      </w:pPr>
      <w:r>
        <w:br w:type="page"/>
      </w:r>
    </w:p>
    <w:p>
      <w:pPr>
        <w:pStyle w:val="Style13"/>
        <w:keepNext/>
        <w:keepLines/>
        <w:widowControl w:val="0"/>
        <w:shd w:val="clear" w:color="auto" w:fill="auto"/>
        <w:bidi w:val="0"/>
        <w:spacing w:before="0" w:after="280" w:line="240" w:lineRule="auto"/>
        <w:ind w:left="0" w:right="0" w:firstLine="0"/>
        <w:jc w:val="center"/>
      </w:pPr>
      <w:bookmarkStart w:id="37" w:name="bookmark37"/>
      <w:bookmarkStart w:id="38" w:name="bookmark38"/>
      <w:bookmarkStart w:id="39" w:name="bookmark39"/>
      <w:r>
        <w:rPr>
          <w:color w:val="000000"/>
          <w:spacing w:val="0"/>
          <w:w w:val="100"/>
          <w:position w:val="0"/>
        </w:rPr>
        <w:t>第一节释 义</w:t>
      </w:r>
      <w:bookmarkEnd w:id="37"/>
      <w:bookmarkEnd w:id="38"/>
      <w:bookmarkEnd w:id="39"/>
    </w:p>
    <w:p>
      <w:pPr>
        <w:pStyle w:val="Style16"/>
        <w:keepNext/>
        <w:keepLines/>
        <w:widowControl w:val="0"/>
        <w:shd w:val="clear" w:color="auto" w:fill="auto"/>
        <w:bidi w:val="0"/>
        <w:spacing w:before="0" w:after="280" w:line="240" w:lineRule="auto"/>
        <w:ind w:left="0" w:right="0" w:firstLine="600"/>
        <w:jc w:val="left"/>
      </w:pPr>
      <w:bookmarkStart w:id="40" w:name="bookmark40"/>
      <w:bookmarkStart w:id="41" w:name="bookmark41"/>
      <w:bookmarkStart w:id="42" w:name="bookmark42"/>
      <w:r>
        <w:rPr>
          <w:color w:val="000000"/>
          <w:spacing w:val="0"/>
          <w:w w:val="100"/>
          <w:position w:val="0"/>
        </w:rPr>
        <w:t>释义</w:t>
      </w:r>
      <w:bookmarkEnd w:id="40"/>
      <w:bookmarkEnd w:id="41"/>
      <w:bookmarkEnd w:id="4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1411"/>
        <w:gridCol w:w="547"/>
        <w:gridCol w:w="7234"/>
      </w:tblGrid>
      <w:tr>
        <w:trPr>
          <w:trHeight w:val="288" w:hRule="exact"/>
        </w:trPr>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中国联合网络通信股份有限公司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本公司及所属全部子公司合称</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中华人民共和国工业和信息化部</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国务院国有资产监督管理委员会</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tabs>
                <w:tab w:pos="821" w:val="left"/>
              </w:tabs>
              <w:bidi w:val="0"/>
              <w:spacing w:before="0" w:after="40" w:line="240" w:lineRule="auto"/>
              <w:ind w:left="0" w:right="0" w:firstLine="0"/>
              <w:jc w:val="left"/>
            </w:pPr>
            <w:r>
              <w:rPr>
                <w:color w:val="000000"/>
                <w:spacing w:val="0"/>
                <w:w w:val="100"/>
                <w:position w:val="0"/>
              </w:rPr>
              <w:t>联通</w:t>
              <w:tab/>
            </w:r>
            <w:r>
              <w:rPr>
                <w:rFonts w:ascii="Times New Roman" w:eastAsia="Times New Roman" w:hAnsi="Times New Roman" w:cs="Times New Roman"/>
                <w:color w:val="000000"/>
                <w:spacing w:val="0"/>
                <w:w w:val="100"/>
                <w:position w:val="0"/>
              </w:rPr>
              <w:t>BVI</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中国联通</w:t>
            </w:r>
            <w:r>
              <w:rPr>
                <w:rFonts w:ascii="Times New Roman" w:eastAsia="Times New Roman" w:hAnsi="Times New Roman" w:cs="Times New Roman"/>
                <w:color w:val="000000"/>
                <w:spacing w:val="0"/>
                <w:w w:val="100"/>
                <w:position w:val="0"/>
              </w:rPr>
              <w:t>(BVI)</w:t>
            </w:r>
            <w:r>
              <w:rPr>
                <w:color w:val="000000"/>
                <w:spacing w:val="0"/>
                <w:w w:val="100"/>
                <w:position w:val="0"/>
              </w:rPr>
              <w:t>有限公司</w:t>
            </w:r>
            <w:r>
              <w:rPr>
                <w:rFonts w:ascii="Times New Roman" w:eastAsia="Times New Roman" w:hAnsi="Times New Roman" w:cs="Times New Roman"/>
                <w:color w:val="000000"/>
                <w:spacing w:val="0"/>
                <w:w w:val="100"/>
                <w:position w:val="0"/>
              </w:rPr>
              <w:t>(China Unicom (BVI) Limited)</w:t>
            </w:r>
            <w:r>
              <w:rPr>
                <w:color w:val="000000"/>
                <w:spacing w:val="0"/>
                <w:w w:val="100"/>
                <w:position w:val="0"/>
              </w:rPr>
              <w:t>，</w:t>
            </w:r>
            <w:r>
              <w:rPr>
                <w:color w:val="000000"/>
                <w:spacing w:val="0"/>
                <w:w w:val="100"/>
                <w:position w:val="0"/>
              </w:rPr>
              <w:t>一家按照英属维尔京 群岛法律注册成立的有限公司。</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联通红筹公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中国联合网络通信(香港)股份有限公司，本公司间接控股子公司，在香港 注册成立的有限公司，其股票在香港和纽约证券交易所上市。</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中国联合网络通信集团有限公司</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联通运营公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中国联合网络通信有限公司，本公司间接控股子公司</w:t>
            </w:r>
            <w:r>
              <w:rPr>
                <w:rFonts w:ascii="Times New Roman" w:eastAsia="Times New Roman" w:hAnsi="Times New Roman" w:cs="Times New Roman"/>
                <w:color w:val="000000"/>
                <w:spacing w:val="0"/>
                <w:w w:val="100"/>
                <w:position w:val="0"/>
              </w:rPr>
              <w:t>-</w:t>
            </w:r>
            <w:r>
              <w:rPr>
                <w:color w:val="000000"/>
                <w:spacing w:val="0"/>
                <w:w w:val="100"/>
                <w:position w:val="0"/>
              </w:rPr>
              <w:t>联通红筹公司之全资附 属公司。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铁塔公司</w:t>
            </w:r>
            <w:r>
              <w:rPr>
                <w:rFonts w:ascii="Times New Roman" w:eastAsia="Times New Roman" w:hAnsi="Times New Roman" w:cs="Times New Roman"/>
                <w:color w:val="000000"/>
                <w:spacing w:val="0"/>
                <w:w w:val="100"/>
                <w:position w:val="0"/>
              </w:rPr>
              <w:t>/</w:t>
            </w:r>
            <w:r>
              <w:rPr>
                <w:color w:val="000000"/>
                <w:spacing w:val="0"/>
                <w:w w:val="100"/>
                <w:position w:val="0"/>
              </w:rPr>
              <w:t>中 国铁塔</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中国铁塔股份有限公司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2B2C</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本集团通过与具有丰富客户触点的各类企业开展合作，以提升合作企业的客 户服务能力为抓手，借助各类企业用户覆盖面广泛的优势，延伸业务覆盖范 围，实现精准营销客户的商业模式。</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2B2H</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借助行业渠道及触点拓展家庭业务的一种创新营销模式。</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2G</w:t>
            </w:r>
            <w:r>
              <w:rPr>
                <w:color w:val="000000"/>
                <w:spacing w:val="0"/>
                <w:w w:val="100"/>
                <w:position w:val="0"/>
              </w:rPr>
              <w:t>、</w:t>
            </w:r>
            <w:r>
              <w:rPr>
                <w:rFonts w:ascii="Times New Roman" w:eastAsia="Times New Roman" w:hAnsi="Times New Roman" w:cs="Times New Roman"/>
                <w:color w:val="000000"/>
                <w:spacing w:val="0"/>
                <w:w w:val="100"/>
                <w:position w:val="0"/>
              </w:rPr>
              <w:t>GSM</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Global System for Mobile Communications</w:t>
            </w:r>
            <w:r>
              <w:rPr>
                <w:color w:val="000000"/>
                <w:spacing w:val="0"/>
                <w:w w:val="100"/>
                <w:position w:val="0"/>
              </w:rPr>
              <w:t>，</w:t>
            </w:r>
            <w:r>
              <w:rPr>
                <w:color w:val="000000"/>
                <w:spacing w:val="0"/>
                <w:w w:val="100"/>
                <w:position w:val="0"/>
              </w:rPr>
              <w:t>即全球移动通信系统，基于数字传 输和蜂窝移动网络结构，采用时分接入技术，被称为</w:t>
            </w:r>
            <w:r>
              <w:rPr>
                <w:rFonts w:ascii="Times New Roman" w:eastAsia="Times New Roman" w:hAnsi="Times New Roman" w:cs="Times New Roman"/>
                <w:color w:val="000000"/>
                <w:spacing w:val="0"/>
                <w:w w:val="100"/>
                <w:position w:val="0"/>
              </w:rPr>
              <w:t>2G</w:t>
            </w:r>
            <w:r>
              <w:rPr>
                <w:color w:val="000000"/>
                <w:spacing w:val="0"/>
                <w:w w:val="100"/>
                <w:position w:val="0"/>
              </w:rPr>
              <w:t>无线标准。主要部署 在</w:t>
            </w:r>
            <w:r>
              <w:rPr>
                <w:rFonts w:ascii="Times New Roman" w:eastAsia="Times New Roman" w:hAnsi="Times New Roman" w:cs="Times New Roman"/>
                <w:color w:val="000000"/>
                <w:spacing w:val="0"/>
                <w:w w:val="100"/>
                <w:position w:val="0"/>
              </w:rPr>
              <w:t>900MHz</w:t>
            </w:r>
            <w:r>
              <w:rPr>
                <w:color w:val="000000"/>
                <w:spacing w:val="0"/>
                <w:w w:val="100"/>
                <w:position w:val="0"/>
              </w:rPr>
              <w:t>、</w:t>
            </w:r>
            <w:r>
              <w:rPr>
                <w:rFonts w:ascii="Times New Roman" w:eastAsia="Times New Roman" w:hAnsi="Times New Roman" w:cs="Times New Roman"/>
                <w:color w:val="000000"/>
                <w:spacing w:val="0"/>
                <w:w w:val="100"/>
                <w:position w:val="0"/>
              </w:rPr>
              <w:t>1800MHz</w:t>
            </w:r>
            <w:r>
              <w:rPr>
                <w:color w:val="000000"/>
                <w:spacing w:val="0"/>
                <w:w w:val="100"/>
                <w:position w:val="0"/>
              </w:rPr>
              <w:t>和</w:t>
            </w:r>
            <w:r>
              <w:rPr>
                <w:rFonts w:ascii="Times New Roman" w:eastAsia="Times New Roman" w:hAnsi="Times New Roman" w:cs="Times New Roman"/>
                <w:color w:val="000000"/>
                <w:spacing w:val="0"/>
                <w:w w:val="100"/>
                <w:position w:val="0"/>
              </w:rPr>
              <w:t>1900MHz</w:t>
            </w:r>
            <w:r>
              <w:rPr>
                <w:color w:val="000000"/>
                <w:spacing w:val="0"/>
                <w:w w:val="100"/>
                <w:position w:val="0"/>
              </w:rPr>
              <w:t>等频率上，已经在全球实现漫游。</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2I2C</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both"/>
            </w:pPr>
            <w:r>
              <w:rPr>
                <w:color w:val="000000"/>
                <w:spacing w:val="0"/>
                <w:w w:val="100"/>
                <w:position w:val="0"/>
              </w:rPr>
              <w:t>本集团与互联网公司创新开展的精准营销合作，借助互联网企业的大数据分 析能力和线上客户触点优势，延伸业务覆盖范围，以内容应用服务优势，精 准营销客户的商业模式。</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2I2H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借助互联网渠道及触点发展家庭业务的一种创新营销模式。</w:t>
            </w:r>
          </w:p>
        </w:tc>
      </w:tr>
      <w:tr>
        <w:trPr>
          <w:trHeight w:val="109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3G</w:t>
            </w:r>
            <w:r>
              <w:rPr>
                <w:color w:val="000000"/>
                <w:spacing w:val="0"/>
                <w:w w:val="100"/>
                <w:position w:val="0"/>
              </w:rPr>
              <w:t>、</w:t>
            </w:r>
            <w:r>
              <w:rPr>
                <w:rFonts w:ascii="Times New Roman" w:eastAsia="Times New Roman" w:hAnsi="Times New Roman" w:cs="Times New Roman"/>
                <w:color w:val="000000"/>
                <w:spacing w:val="0"/>
                <w:w w:val="100"/>
                <w:position w:val="0"/>
              </w:rPr>
              <w:t>WCDMA</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Wideband Code Division Multiple Access</w:t>
            </w:r>
            <w:r>
              <w:rPr>
                <w:color w:val="000000"/>
                <w:spacing w:val="0"/>
                <w:w w:val="100"/>
                <w:position w:val="0"/>
              </w:rPr>
              <w:t>，</w:t>
            </w:r>
            <w:r>
              <w:rPr>
                <w:color w:val="000000"/>
                <w:spacing w:val="0"/>
                <w:w w:val="100"/>
                <w:position w:val="0"/>
              </w:rPr>
              <w:t xml:space="preserve">即宽带码分多址技术，在 </w:t>
            </w:r>
            <w:r>
              <w:rPr>
                <w:rFonts w:ascii="Times New Roman" w:eastAsia="Times New Roman" w:hAnsi="Times New Roman" w:cs="Times New Roman"/>
                <w:color w:val="000000"/>
                <w:spacing w:val="0"/>
                <w:w w:val="100"/>
                <w:position w:val="0"/>
              </w:rPr>
              <w:t xml:space="preserve">5MHz </w:t>
            </w:r>
            <w:r>
              <w:rPr>
                <w:color w:val="000000"/>
                <w:spacing w:val="0"/>
                <w:w w:val="100"/>
                <w:position w:val="0"/>
              </w:rPr>
              <w:t>带 宽频谱上传输语音和数据，是与</w:t>
            </w:r>
            <w:r>
              <w:rPr>
                <w:rFonts w:ascii="Times New Roman" w:eastAsia="Times New Roman" w:hAnsi="Times New Roman" w:cs="Times New Roman"/>
                <w:color w:val="000000"/>
                <w:spacing w:val="0"/>
                <w:w w:val="100"/>
                <w:position w:val="0"/>
              </w:rPr>
              <w:t>EV-DO/TD-SCDMA</w:t>
            </w:r>
            <w:r>
              <w:rPr>
                <w:color w:val="000000"/>
                <w:spacing w:val="0"/>
                <w:w w:val="100"/>
                <w:position w:val="0"/>
              </w:rPr>
              <w:t>并列的</w:t>
            </w:r>
            <w:r>
              <w:rPr>
                <w:rFonts w:ascii="Times New Roman" w:eastAsia="Times New Roman" w:hAnsi="Times New Roman" w:cs="Times New Roman"/>
                <w:color w:val="000000"/>
                <w:spacing w:val="0"/>
                <w:w w:val="100"/>
                <w:position w:val="0"/>
              </w:rPr>
              <w:t>3G</w:t>
            </w:r>
            <w:r>
              <w:rPr>
                <w:color w:val="000000"/>
                <w:spacing w:val="0"/>
                <w:w w:val="100"/>
                <w:position w:val="0"/>
              </w:rPr>
              <w:t>无线标准，不 同的</w:t>
            </w:r>
            <w:r>
              <w:rPr>
                <w:rFonts w:ascii="Times New Roman" w:eastAsia="Times New Roman" w:hAnsi="Times New Roman" w:cs="Times New Roman"/>
                <w:color w:val="000000"/>
                <w:spacing w:val="0"/>
                <w:w w:val="100"/>
                <w:position w:val="0"/>
              </w:rPr>
              <w:t>3GPP</w:t>
            </w:r>
            <w:r>
              <w:rPr>
                <w:color w:val="000000"/>
                <w:spacing w:val="0"/>
                <w:w w:val="100"/>
                <w:position w:val="0"/>
              </w:rPr>
              <w:t>版本可以达到</w:t>
            </w:r>
            <w:r>
              <w:rPr>
                <w:rFonts w:ascii="Times New Roman" w:eastAsia="Times New Roman" w:hAnsi="Times New Roman" w:cs="Times New Roman"/>
                <w:color w:val="000000"/>
                <w:spacing w:val="0"/>
                <w:w w:val="100"/>
                <w:position w:val="0"/>
              </w:rPr>
              <w:t>14.4Mbps</w:t>
            </w:r>
            <w:r>
              <w:rPr>
                <w:color w:val="000000"/>
                <w:spacing w:val="0"/>
                <w:w w:val="100"/>
                <w:position w:val="0"/>
              </w:rPr>
              <w:t>、</w:t>
            </w:r>
            <w:r>
              <w:rPr>
                <w:rFonts w:ascii="Times New Roman" w:eastAsia="Times New Roman" w:hAnsi="Times New Roman" w:cs="Times New Roman"/>
                <w:color w:val="000000"/>
                <w:spacing w:val="0"/>
                <w:w w:val="100"/>
                <w:position w:val="0"/>
              </w:rPr>
              <w:t>21Mbps</w:t>
            </w:r>
            <w:r>
              <w:rPr>
                <w:color w:val="000000"/>
                <w:spacing w:val="0"/>
                <w:w w:val="100"/>
                <w:position w:val="0"/>
              </w:rPr>
              <w:t>甚至更高的峰值速率。主要部署 在</w:t>
            </w:r>
            <w:r>
              <w:rPr>
                <w:rFonts w:ascii="Times New Roman" w:eastAsia="Times New Roman" w:hAnsi="Times New Roman" w:cs="Times New Roman"/>
                <w:color w:val="000000"/>
                <w:spacing w:val="0"/>
                <w:w w:val="100"/>
                <w:position w:val="0"/>
              </w:rPr>
              <w:t>2.1GHz</w:t>
            </w:r>
            <w:r>
              <w:rPr>
                <w:color w:val="000000"/>
                <w:spacing w:val="0"/>
                <w:w w:val="100"/>
                <w:position w:val="0"/>
              </w:rPr>
              <w:t>频率上。</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4G</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第四代移动通讯技术的简称，也称为</w:t>
            </w:r>
            <w:r>
              <w:rPr>
                <w:rFonts w:ascii="Times New Roman" w:eastAsia="Times New Roman" w:hAnsi="Times New Roman" w:cs="Times New Roman"/>
                <w:color w:val="000000"/>
                <w:spacing w:val="0"/>
                <w:w w:val="100"/>
                <w:position w:val="0"/>
              </w:rPr>
              <w:t>IMT-Advanced</w:t>
            </w:r>
            <w:r>
              <w:rPr>
                <w:color w:val="000000"/>
                <w:spacing w:val="0"/>
                <w:w w:val="100"/>
                <w:position w:val="0"/>
              </w:rPr>
              <w:t>，</w:t>
            </w:r>
            <w:r>
              <w:rPr>
                <w:rFonts w:ascii="Times New Roman" w:eastAsia="Times New Roman" w:hAnsi="Times New Roman" w:cs="Times New Roman"/>
                <w:color w:val="000000"/>
                <w:spacing w:val="0"/>
                <w:w w:val="100"/>
                <w:position w:val="0"/>
              </w:rPr>
              <w:t>ITU</w:t>
            </w:r>
            <w:r>
              <w:rPr>
                <w:color w:val="000000"/>
                <w:spacing w:val="0"/>
                <w:w w:val="100"/>
                <w:position w:val="0"/>
              </w:rPr>
              <w:t>在</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年将 </w:t>
            </w:r>
            <w:r>
              <w:rPr>
                <w:rFonts w:ascii="Times New Roman" w:eastAsia="Times New Roman" w:hAnsi="Times New Roman" w:cs="Times New Roman"/>
                <w:color w:val="000000"/>
                <w:spacing w:val="0"/>
                <w:w w:val="100"/>
                <w:position w:val="0"/>
              </w:rPr>
              <w:t>LTE-Advanced</w:t>
            </w:r>
            <w:r>
              <w:rPr>
                <w:color w:val="000000"/>
                <w:spacing w:val="0"/>
                <w:w w:val="100"/>
                <w:position w:val="0"/>
              </w:rPr>
              <w:t>和</w:t>
            </w:r>
            <w:r>
              <w:rPr>
                <w:rFonts w:ascii="Times New Roman" w:eastAsia="Times New Roman" w:hAnsi="Times New Roman" w:cs="Times New Roman"/>
                <w:color w:val="000000"/>
                <w:spacing w:val="0"/>
                <w:w w:val="100"/>
                <w:position w:val="0"/>
              </w:rPr>
              <w:t>IEEE 802.16m</w:t>
            </w:r>
            <w:r>
              <w:rPr>
                <w:color w:val="000000"/>
                <w:spacing w:val="0"/>
                <w:w w:val="100"/>
                <w:position w:val="0"/>
              </w:rPr>
              <w:t>定为</w:t>
            </w:r>
            <w:r>
              <w:rPr>
                <w:rFonts w:ascii="Times New Roman" w:eastAsia="Times New Roman" w:hAnsi="Times New Roman" w:cs="Times New Roman"/>
                <w:color w:val="000000"/>
                <w:spacing w:val="0"/>
                <w:w w:val="100"/>
                <w:position w:val="0"/>
              </w:rPr>
              <w:t>4G</w:t>
            </w:r>
            <w:r>
              <w:rPr>
                <w:color w:val="000000"/>
                <w:spacing w:val="0"/>
                <w:w w:val="100"/>
                <w:position w:val="0"/>
              </w:rPr>
              <w:t>的无线接入技术。</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4G+</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通过载波聚合等技术，在原有</w:t>
            </w:r>
            <w:r>
              <w:rPr>
                <w:rFonts w:ascii="Times New Roman" w:eastAsia="Times New Roman" w:hAnsi="Times New Roman" w:cs="Times New Roman"/>
                <w:color w:val="000000"/>
                <w:spacing w:val="0"/>
                <w:w w:val="100"/>
                <w:position w:val="0"/>
              </w:rPr>
              <w:t>4G</w:t>
            </w:r>
            <w:r>
              <w:rPr>
                <w:color w:val="000000"/>
                <w:spacing w:val="0"/>
                <w:w w:val="100"/>
                <w:position w:val="0"/>
              </w:rPr>
              <w:t>网络基础上进一步拓展网络频谱，优化网络 质量，大幅提升网络速率。</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4K</w:t>
            </w:r>
            <w:r>
              <w:rPr>
                <w:color w:val="000000"/>
                <w:spacing w:val="0"/>
                <w:w w:val="100"/>
                <w:position w:val="0"/>
              </w:rPr>
              <w:t>视频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输出图像分辨率达到</w:t>
            </w:r>
            <w:r>
              <w:rPr>
                <w:rFonts w:ascii="Times New Roman" w:eastAsia="Times New Roman" w:hAnsi="Times New Roman" w:cs="Times New Roman"/>
                <w:color w:val="000000"/>
                <w:spacing w:val="0"/>
                <w:w w:val="100"/>
                <w:position w:val="0"/>
              </w:rPr>
              <w:t>4K</w:t>
            </w:r>
            <w:r>
              <w:rPr>
                <w:color w:val="000000"/>
                <w:spacing w:val="0"/>
                <w:w w:val="100"/>
                <w:position w:val="0"/>
              </w:rPr>
              <w:t>(</w:t>
            </w:r>
            <w:r>
              <w:rPr>
                <w:rFonts w:ascii="Times New Roman" w:eastAsia="Times New Roman" w:hAnsi="Times New Roman" w:cs="Times New Roman"/>
                <w:color w:val="000000"/>
                <w:spacing w:val="0"/>
                <w:w w:val="100"/>
                <w:position w:val="0"/>
              </w:rPr>
              <w:t>3840*2160</w:t>
            </w:r>
            <w:r>
              <w:rPr>
                <w:color w:val="000000"/>
                <w:spacing w:val="0"/>
                <w:w w:val="100"/>
                <w:position w:val="0"/>
              </w:rPr>
              <w:t>)</w:t>
            </w:r>
            <w:r>
              <w:rPr>
                <w:color w:val="000000"/>
                <w:spacing w:val="0"/>
                <w:w w:val="100"/>
                <w:position w:val="0"/>
              </w:rPr>
              <w:t>标准的视频，</w:t>
            </w:r>
            <w:r>
              <w:rPr>
                <w:rFonts w:ascii="Times New Roman" w:eastAsia="Times New Roman" w:hAnsi="Times New Roman" w:cs="Times New Roman"/>
                <w:color w:val="000000"/>
                <w:spacing w:val="0"/>
                <w:w w:val="100"/>
                <w:position w:val="0"/>
              </w:rPr>
              <w:t>4K</w:t>
            </w:r>
            <w:r>
              <w:rPr>
                <w:color w:val="000000"/>
                <w:spacing w:val="0"/>
                <w:w w:val="100"/>
                <w:position w:val="0"/>
              </w:rPr>
              <w:t>视频的图像质量及清 晰度更高。</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第五代移动通信技术，是</w:t>
            </w:r>
            <w:r>
              <w:rPr>
                <w:rFonts w:ascii="Times New Roman" w:eastAsia="Times New Roman" w:hAnsi="Times New Roman" w:cs="Times New Roman"/>
                <w:color w:val="000000"/>
                <w:spacing w:val="0"/>
                <w:w w:val="100"/>
                <w:position w:val="0"/>
              </w:rPr>
              <w:t>4G</w:t>
            </w:r>
            <w:r>
              <w:rPr>
                <w:color w:val="000000"/>
                <w:spacing w:val="0"/>
                <w:w w:val="100"/>
                <w:position w:val="0"/>
              </w:rPr>
              <w:t>的延伸。</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ARPU</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平均每个用户每月贡献的业务收入。</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cBSS</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Central Business Support System</w:t>
            </w:r>
            <w:r>
              <w:rPr>
                <w:color w:val="000000"/>
                <w:spacing w:val="0"/>
                <w:w w:val="100"/>
                <w:position w:val="0"/>
              </w:rPr>
              <w:t>，</w:t>
            </w:r>
            <w:r>
              <w:rPr>
                <w:color w:val="000000"/>
                <w:spacing w:val="0"/>
                <w:w w:val="100"/>
                <w:position w:val="0"/>
              </w:rPr>
              <w:t>集中业务支撑系统。</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DOU</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平均每个用户每月使用的上网流量。</w:t>
            </w:r>
          </w:p>
        </w:tc>
      </w:tr>
      <w:tr>
        <w:trPr>
          <w:trHeight w:val="83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反映了加回财务费用、所得税、营业成本和管理费用及研发费用中的折旧及 摊销以及减去投资收益、公允价值变动净收益、其他收益、营业外净收入的 净利润。由于电信业是资本密集型产业，资本开支和财务费用可能对具有类</w:t>
            </w:r>
          </w:p>
        </w:tc>
      </w:tr>
    </w:tbl>
    <w:p>
      <w:pPr>
        <w:spacing w:lineRule="exact" w:line="1"/>
        <w:rPr>
          <w:sz w:val="2"/>
          <w:szCs w:val="2"/>
        </w:rPr>
      </w:pPr>
      <w:r>
        <w:br w:type="page"/>
      </w:r>
    </w:p>
    <w:tbl>
      <w:tblPr>
        <w:tblOverlap w:val="never"/>
        <w:jc w:val="center"/>
        <w:tblLayout w:type="fixed"/>
      </w:tblPr>
      <w:tblGrid>
        <w:gridCol w:w="1411"/>
        <w:gridCol w:w="547"/>
        <w:gridCol w:w="7234"/>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似经营成果的公司盈利产生重大影响。因此，公司认为，对于与公司类似的 电信公司而言，</w:t>
            </w:r>
            <w:r>
              <w:rPr>
                <w:rFonts w:ascii="Times New Roman" w:eastAsia="Times New Roman" w:hAnsi="Times New Roman" w:cs="Times New Roman"/>
                <w:color w:val="000000"/>
                <w:spacing w:val="0"/>
                <w:w w:val="100"/>
                <w:position w:val="0"/>
              </w:rPr>
              <w:t>EBITDA</w:t>
            </w:r>
            <w:r>
              <w:rPr>
                <w:color w:val="000000"/>
                <w:spacing w:val="0"/>
                <w:w w:val="100"/>
                <w:position w:val="0"/>
              </w:rPr>
              <w:t>有助于对公司经营成果分析，但它并非公认会计原 则财务指标，并无统一定义，故未必可与其他公司的类似指标作比较。</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FTTH</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采用光纤到户的宽带接入方式。</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FTTX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6" w:lineRule="exact"/>
              <w:ind w:left="0" w:right="0" w:firstLine="0"/>
              <w:jc w:val="both"/>
            </w:pPr>
            <w:r>
              <w:rPr>
                <w:color w:val="000000"/>
                <w:spacing w:val="0"/>
                <w:w w:val="100"/>
                <w:position w:val="0"/>
              </w:rPr>
              <w:t>新一代的光纤用户接入网，用于连接电信运营商和终端用户。根据光纤到用 户的距离来分类，</w:t>
            </w:r>
            <w:r>
              <w:rPr>
                <w:rFonts w:ascii="Times New Roman" w:eastAsia="Times New Roman" w:hAnsi="Times New Roman" w:cs="Times New Roman"/>
                <w:color w:val="000000"/>
                <w:spacing w:val="0"/>
                <w:w w:val="100"/>
                <w:position w:val="0"/>
              </w:rPr>
              <w:t>FTTX</w:t>
            </w:r>
            <w:r>
              <w:rPr>
                <w:color w:val="000000"/>
                <w:spacing w:val="0"/>
                <w:w w:val="100"/>
                <w:position w:val="0"/>
              </w:rPr>
              <w:t>可分成</w:t>
            </w:r>
            <w:r>
              <w:rPr>
                <w:rFonts w:ascii="Times New Roman" w:eastAsia="Times New Roman" w:hAnsi="Times New Roman" w:cs="Times New Roman"/>
                <w:color w:val="000000"/>
                <w:spacing w:val="0"/>
                <w:w w:val="100"/>
                <w:position w:val="0"/>
              </w:rPr>
              <w:t xml:space="preserve">FTTCab </w:t>
            </w:r>
            <w:r>
              <w:rPr>
                <w:color w:val="000000"/>
                <w:spacing w:val="0"/>
                <w:w w:val="100"/>
                <w:position w:val="0"/>
              </w:rPr>
              <w:t>（光纤到交换箱）、</w:t>
            </w:r>
            <w:r>
              <w:rPr>
                <w:rFonts w:ascii="Times New Roman" w:eastAsia="Times New Roman" w:hAnsi="Times New Roman" w:cs="Times New Roman"/>
                <w:color w:val="000000"/>
                <w:spacing w:val="0"/>
                <w:w w:val="100"/>
                <w:position w:val="0"/>
              </w:rPr>
              <w:t xml:space="preserve">FTTC </w:t>
            </w:r>
            <w:r>
              <w:rPr>
                <w:color w:val="000000"/>
                <w:spacing w:val="0"/>
                <w:w w:val="100"/>
                <w:position w:val="0"/>
              </w:rPr>
              <w:t>（光纤到路 边）、</w:t>
            </w:r>
            <w:r>
              <w:rPr>
                <w:rFonts w:ascii="Times New Roman" w:eastAsia="Times New Roman" w:hAnsi="Times New Roman" w:cs="Times New Roman"/>
                <w:color w:val="000000"/>
                <w:spacing w:val="0"/>
                <w:w w:val="100"/>
                <w:position w:val="0"/>
              </w:rPr>
              <w:t xml:space="preserve">FTTB </w:t>
            </w:r>
            <w:r>
              <w:rPr>
                <w:color w:val="000000"/>
                <w:spacing w:val="0"/>
                <w:w w:val="100"/>
                <w:position w:val="0"/>
              </w:rPr>
              <w:t>（光纤到大楼）及</w:t>
            </w:r>
            <w:r>
              <w:rPr>
                <w:rFonts w:ascii="Times New Roman" w:eastAsia="Times New Roman" w:hAnsi="Times New Roman" w:cs="Times New Roman"/>
                <w:color w:val="000000"/>
                <w:spacing w:val="0"/>
                <w:w w:val="100"/>
                <w:position w:val="0"/>
              </w:rPr>
              <w:t xml:space="preserve">FTTH </w:t>
            </w:r>
            <w:r>
              <w:rPr>
                <w:color w:val="000000"/>
                <w:spacing w:val="0"/>
                <w:w w:val="100"/>
                <w:position w:val="0"/>
              </w:rPr>
              <w:t>（光纤到户）等服务形态。</w:t>
            </w:r>
          </w:p>
        </w:tc>
      </w:tr>
      <w:tr>
        <w:trPr>
          <w:trHeight w:val="109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Information Communications Technology</w:t>
            </w:r>
            <w:r>
              <w:rPr>
                <w:color w:val="000000"/>
                <w:spacing w:val="0"/>
                <w:w w:val="100"/>
                <w:position w:val="0"/>
              </w:rPr>
              <w:t>，是信息技术与通信技术相融合而形 成的一个新的概念和新的技术领域。目前更多地把</w:t>
            </w:r>
            <w:r>
              <w:rPr>
                <w:rFonts w:ascii="Times New Roman" w:eastAsia="Times New Roman" w:hAnsi="Times New Roman" w:cs="Times New Roman"/>
                <w:color w:val="000000"/>
                <w:spacing w:val="0"/>
                <w:w w:val="100"/>
                <w:position w:val="0"/>
              </w:rPr>
              <w:t>ICT</w:t>
            </w:r>
            <w:r>
              <w:rPr>
                <w:color w:val="000000"/>
                <w:spacing w:val="0"/>
                <w:w w:val="100"/>
                <w:position w:val="0"/>
              </w:rPr>
              <w:t>作为一种向客户提供 的服务，这种服务是</w:t>
            </w:r>
            <w:r>
              <w:rPr>
                <w:rFonts w:ascii="Times New Roman" w:eastAsia="Times New Roman" w:hAnsi="Times New Roman" w:cs="Times New Roman"/>
                <w:color w:val="000000"/>
                <w:spacing w:val="0"/>
                <w:w w:val="100"/>
                <w:position w:val="0"/>
              </w:rPr>
              <w:t xml:space="preserve">IT </w:t>
            </w:r>
            <w:r>
              <w:rPr>
                <w:color w:val="000000"/>
                <w:spacing w:val="0"/>
                <w:w w:val="100"/>
                <w:position w:val="0"/>
              </w:rPr>
              <w:t>（信息业）与</w:t>
            </w:r>
            <w:r>
              <w:rPr>
                <w:rFonts w:ascii="Times New Roman" w:eastAsia="Times New Roman" w:hAnsi="Times New Roman" w:cs="Times New Roman"/>
                <w:color w:val="000000"/>
                <w:spacing w:val="0"/>
                <w:w w:val="100"/>
                <w:position w:val="0"/>
              </w:rPr>
              <w:t xml:space="preserve">CT </w:t>
            </w:r>
            <w:r>
              <w:rPr>
                <w:color w:val="000000"/>
                <w:spacing w:val="0"/>
                <w:w w:val="100"/>
                <w:position w:val="0"/>
              </w:rPr>
              <w:t>（通信业）两种服务的结合和交融， 通信业、电子信息产业、互联网、传媒业都将融合在</w:t>
            </w:r>
            <w:r>
              <w:rPr>
                <w:rFonts w:ascii="Times New Roman" w:eastAsia="Times New Roman" w:hAnsi="Times New Roman" w:cs="Times New Roman"/>
                <w:color w:val="000000"/>
                <w:spacing w:val="0"/>
                <w:w w:val="100"/>
                <w:position w:val="0"/>
              </w:rPr>
              <w:t>ICT</w:t>
            </w:r>
            <w:r>
              <w:rPr>
                <w:color w:val="000000"/>
                <w:spacing w:val="0"/>
                <w:w w:val="100"/>
                <w:position w:val="0"/>
              </w:rPr>
              <w:t>的范围内。</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Internet Data Center</w:t>
            </w:r>
            <w:r>
              <w:rPr>
                <w:color w:val="000000"/>
                <w:spacing w:val="0"/>
                <w:w w:val="100"/>
                <w:position w:val="0"/>
              </w:rPr>
              <w:t>，</w:t>
            </w:r>
            <w:r>
              <w:rPr>
                <w:color w:val="000000"/>
                <w:spacing w:val="0"/>
                <w:w w:val="100"/>
                <w:position w:val="0"/>
              </w:rPr>
              <w:t>是基于</w:t>
            </w:r>
            <w:r>
              <w:rPr>
                <w:rFonts w:ascii="Times New Roman" w:eastAsia="Times New Roman" w:hAnsi="Times New Roman" w:cs="Times New Roman"/>
                <w:color w:val="000000"/>
                <w:spacing w:val="0"/>
                <w:w w:val="100"/>
                <w:position w:val="0"/>
              </w:rPr>
              <w:t>Internet</w:t>
            </w:r>
            <w:r>
              <w:rPr>
                <w:color w:val="000000"/>
                <w:spacing w:val="0"/>
                <w:w w:val="100"/>
                <w:position w:val="0"/>
              </w:rPr>
              <w:t>网络，为集中式收集、存储、处理和发送 数据的设备提供运行维护的设施基地并提供相关的服务。</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LTE</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Long Term Evolution</w:t>
            </w:r>
            <w:r>
              <w:rPr>
                <w:color w:val="000000"/>
                <w:spacing w:val="0"/>
                <w:w w:val="100"/>
                <w:position w:val="0"/>
              </w:rPr>
              <w:t>，是一种由国际标准化组织</w:t>
            </w:r>
            <w:r>
              <w:rPr>
                <w:rFonts w:ascii="Times New Roman" w:eastAsia="Times New Roman" w:hAnsi="Times New Roman" w:cs="Times New Roman"/>
                <w:color w:val="000000"/>
                <w:spacing w:val="0"/>
                <w:w w:val="100"/>
                <w:position w:val="0"/>
              </w:rPr>
              <w:t>3GPP</w:t>
            </w:r>
            <w:r>
              <w:rPr>
                <w:color w:val="000000"/>
                <w:spacing w:val="0"/>
                <w:w w:val="100"/>
                <w:position w:val="0"/>
              </w:rPr>
              <w:t>主导的</w:t>
            </w:r>
            <w:r>
              <w:rPr>
                <w:rFonts w:ascii="Times New Roman" w:eastAsia="Times New Roman" w:hAnsi="Times New Roman" w:cs="Times New Roman"/>
                <w:color w:val="000000"/>
                <w:spacing w:val="0"/>
                <w:w w:val="100"/>
                <w:position w:val="0"/>
              </w:rPr>
              <w:t>3G</w:t>
            </w:r>
            <w:r>
              <w:rPr>
                <w:color w:val="000000"/>
                <w:spacing w:val="0"/>
                <w:w w:val="100"/>
                <w:position w:val="0"/>
              </w:rPr>
              <w:t>演进技术， 是</w:t>
            </w:r>
            <w:r>
              <w:rPr>
                <w:rFonts w:ascii="Times New Roman" w:eastAsia="Times New Roman" w:hAnsi="Times New Roman" w:cs="Times New Roman"/>
                <w:color w:val="000000"/>
                <w:spacing w:val="0"/>
                <w:w w:val="100"/>
                <w:position w:val="0"/>
              </w:rPr>
              <w:t>4G</w:t>
            </w:r>
            <w:r>
              <w:rPr>
                <w:color w:val="000000"/>
                <w:spacing w:val="0"/>
                <w:w w:val="100"/>
                <w:position w:val="0"/>
              </w:rPr>
              <w:t xml:space="preserve">时代的无线接入技术，采用了 </w:t>
            </w:r>
            <w:r>
              <w:rPr>
                <w:rFonts w:ascii="Times New Roman" w:eastAsia="Times New Roman" w:hAnsi="Times New Roman" w:cs="Times New Roman"/>
                <w:color w:val="000000"/>
                <w:spacing w:val="0"/>
                <w:w w:val="100"/>
                <w:position w:val="0"/>
              </w:rPr>
              <w:t>OFDM</w:t>
            </w:r>
            <w:r>
              <w:rPr>
                <w:color w:val="000000"/>
                <w:spacing w:val="0"/>
                <w:w w:val="100"/>
                <w:position w:val="0"/>
              </w:rPr>
              <w:t>和</w:t>
            </w:r>
            <w:r>
              <w:rPr>
                <w:rFonts w:ascii="Times New Roman" w:eastAsia="Times New Roman" w:hAnsi="Times New Roman" w:cs="Times New Roman"/>
                <w:color w:val="000000"/>
                <w:spacing w:val="0"/>
                <w:w w:val="100"/>
                <w:position w:val="0"/>
              </w:rPr>
              <w:t>MIMO</w:t>
            </w:r>
            <w:r>
              <w:rPr>
                <w:color w:val="000000"/>
                <w:spacing w:val="0"/>
                <w:w w:val="100"/>
                <w:position w:val="0"/>
              </w:rPr>
              <w:t>等技术以及比</w:t>
            </w:r>
            <w:r>
              <w:rPr>
                <w:rFonts w:ascii="Times New Roman" w:eastAsia="Times New Roman" w:hAnsi="Times New Roman" w:cs="Times New Roman"/>
                <w:color w:val="000000"/>
                <w:spacing w:val="0"/>
                <w:w w:val="100"/>
                <w:position w:val="0"/>
              </w:rPr>
              <w:t>3G</w:t>
            </w:r>
            <w:r>
              <w:rPr>
                <w:color w:val="000000"/>
                <w:spacing w:val="0"/>
                <w:w w:val="100"/>
                <w:position w:val="0"/>
              </w:rPr>
              <w:t>更灵 活的频谱带宽，实现峰值速率</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 xml:space="preserve">150Mbps </w:t>
            </w:r>
            <w:r>
              <w:rPr>
                <w:color w:val="000000"/>
                <w:spacing w:val="0"/>
                <w:w w:val="100"/>
                <w:position w:val="0"/>
              </w:rPr>
              <w:t>（</w:t>
            </w:r>
            <w:r>
              <w:rPr>
                <w:rFonts w:ascii="Times New Roman" w:eastAsia="Times New Roman" w:hAnsi="Times New Roman" w:cs="Times New Roman"/>
                <w:color w:val="000000"/>
                <w:spacing w:val="0"/>
                <w:w w:val="100"/>
                <w:position w:val="0"/>
              </w:rPr>
              <w:t>20MHz</w:t>
            </w:r>
            <w:r>
              <w:rPr>
                <w:color w:val="000000"/>
                <w:spacing w:val="0"/>
                <w:w w:val="100"/>
                <w:position w:val="0"/>
              </w:rPr>
              <w:t>带宽下）。</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LTEFDD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是</w:t>
            </w:r>
            <w:r>
              <w:rPr>
                <w:rFonts w:ascii="Times New Roman" w:eastAsia="Times New Roman" w:hAnsi="Times New Roman" w:cs="Times New Roman"/>
                <w:color w:val="000000"/>
                <w:spacing w:val="0"/>
                <w:w w:val="100"/>
                <w:position w:val="0"/>
              </w:rPr>
              <w:t>FDD</w:t>
            </w:r>
            <w:r>
              <w:rPr>
                <w:color w:val="000000"/>
                <w:spacing w:val="0"/>
                <w:w w:val="100"/>
                <w:position w:val="0"/>
              </w:rPr>
              <w:t>版本的</w:t>
            </w:r>
            <w:r>
              <w:rPr>
                <w:rFonts w:ascii="Times New Roman" w:eastAsia="Times New Roman" w:hAnsi="Times New Roman" w:cs="Times New Roman"/>
                <w:color w:val="000000"/>
                <w:spacing w:val="0"/>
                <w:w w:val="100"/>
                <w:position w:val="0"/>
              </w:rPr>
              <w:t>LTE</w:t>
            </w:r>
            <w:r>
              <w:rPr>
                <w:color w:val="000000"/>
                <w:spacing w:val="0"/>
                <w:w w:val="100"/>
                <w:position w:val="0"/>
              </w:rPr>
              <w:t>标准。</w:t>
            </w:r>
            <w:r>
              <w:rPr>
                <w:rFonts w:ascii="Times New Roman" w:eastAsia="Times New Roman" w:hAnsi="Times New Roman" w:cs="Times New Roman"/>
                <w:color w:val="000000"/>
                <w:spacing w:val="0"/>
                <w:w w:val="100"/>
                <w:position w:val="0"/>
              </w:rPr>
              <w:t>LTE</w:t>
            </w:r>
            <w:r>
              <w:rPr>
                <w:color w:val="000000"/>
                <w:spacing w:val="0"/>
                <w:w w:val="100"/>
                <w:position w:val="0"/>
              </w:rPr>
              <w:t>是</w:t>
            </w:r>
            <w:r>
              <w:rPr>
                <w:rFonts w:ascii="Times New Roman" w:eastAsia="Times New Roman" w:hAnsi="Times New Roman" w:cs="Times New Roman"/>
                <w:color w:val="000000"/>
                <w:spacing w:val="0"/>
                <w:w w:val="100"/>
                <w:position w:val="0"/>
              </w:rPr>
              <w:t>3GPP</w:t>
            </w:r>
            <w:r>
              <w:rPr>
                <w:color w:val="000000"/>
                <w:spacing w:val="0"/>
                <w:w w:val="100"/>
                <w:position w:val="0"/>
              </w:rPr>
              <w:t>组织制定的</w:t>
            </w:r>
            <w:r>
              <w:rPr>
                <w:rFonts w:ascii="Times New Roman" w:eastAsia="Times New Roman" w:hAnsi="Times New Roman" w:cs="Times New Roman"/>
                <w:color w:val="000000"/>
                <w:spacing w:val="0"/>
                <w:w w:val="100"/>
                <w:position w:val="0"/>
              </w:rPr>
              <w:t>4G</w:t>
            </w:r>
            <w:r>
              <w:rPr>
                <w:color w:val="000000"/>
                <w:spacing w:val="0"/>
                <w:w w:val="100"/>
                <w:position w:val="0"/>
              </w:rPr>
              <w:t>技术标准，基于</w:t>
            </w:r>
            <w:r>
              <w:rPr>
                <w:rFonts w:ascii="Times New Roman" w:eastAsia="Times New Roman" w:hAnsi="Times New Roman" w:cs="Times New Roman"/>
                <w:color w:val="000000"/>
                <w:spacing w:val="0"/>
                <w:w w:val="100"/>
                <w:position w:val="0"/>
              </w:rPr>
              <w:t xml:space="preserve">OFDM </w:t>
            </w:r>
            <w:r>
              <w:rPr>
                <w:color w:val="000000"/>
                <w:spacing w:val="0"/>
                <w:w w:val="100"/>
                <w:position w:val="0"/>
              </w:rPr>
              <w:t>技术，</w:t>
            </w:r>
            <w:r>
              <w:rPr>
                <w:rFonts w:ascii="Times New Roman" w:eastAsia="Times New Roman" w:hAnsi="Times New Roman" w:cs="Times New Roman"/>
                <w:color w:val="000000"/>
                <w:spacing w:val="0"/>
                <w:w w:val="100"/>
                <w:position w:val="0"/>
              </w:rPr>
              <w:t>FDD</w:t>
            </w:r>
            <w:r>
              <w:rPr>
                <w:color w:val="000000"/>
                <w:spacing w:val="0"/>
                <w:w w:val="100"/>
                <w:position w:val="0"/>
              </w:rPr>
              <w:t>表示频分双工。</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NB-IoT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Narrow Band Internet of Things</w:t>
            </w:r>
            <w:r>
              <w:rPr>
                <w:color w:val="000000"/>
                <w:spacing w:val="0"/>
                <w:w w:val="100"/>
                <w:position w:val="0"/>
              </w:rPr>
              <w:t>，</w:t>
            </w:r>
            <w:r>
              <w:rPr>
                <w:color w:val="000000"/>
                <w:spacing w:val="0"/>
                <w:w w:val="100"/>
                <w:position w:val="0"/>
              </w:rPr>
              <w:t>是一种基于授权频谱提供的低功耗蜂窝连接 技术。</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NFV</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Network Function Virtualization</w:t>
            </w:r>
            <w:r>
              <w:rPr>
                <w:color w:val="000000"/>
                <w:spacing w:val="0"/>
                <w:w w:val="100"/>
                <w:position w:val="0"/>
              </w:rPr>
              <w:t>，即网络功能虚拟化，指一种利用虚拟化技术 提供各类网元功能的网络架构。</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NPS</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Net Promoter Score</w:t>
            </w:r>
            <w:r>
              <w:rPr>
                <w:color w:val="000000"/>
                <w:spacing w:val="0"/>
                <w:w w:val="100"/>
                <w:position w:val="0"/>
              </w:rPr>
              <w:t>，</w:t>
            </w:r>
            <w:r>
              <w:rPr>
                <w:color w:val="000000"/>
                <w:spacing w:val="0"/>
                <w:w w:val="100"/>
                <w:position w:val="0"/>
              </w:rPr>
              <w:t>简称净推荐值，度量“客户向他人推荐某品牌</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 倾向”的指标。</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OTT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Over the Top</w:t>
            </w:r>
            <w:r>
              <w:rPr>
                <w:color w:val="000000"/>
                <w:spacing w:val="0"/>
                <w:w w:val="100"/>
                <w:position w:val="0"/>
              </w:rPr>
              <w:t>的缩写，泛指通过互联网向用户提供各种业务的服务提供商。</w:t>
            </w:r>
          </w:p>
        </w:tc>
      </w:tr>
      <w:tr>
        <w:trPr>
          <w:trHeight w:val="109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SDN</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Software Defined Network</w:t>
            </w:r>
            <w:r>
              <w:rPr>
                <w:color w:val="000000"/>
                <w:spacing w:val="0"/>
                <w:w w:val="100"/>
                <w:position w:val="0"/>
              </w:rPr>
              <w:t>，</w:t>
            </w:r>
            <w:r>
              <w:rPr>
                <w:color w:val="000000"/>
                <w:spacing w:val="0"/>
                <w:w w:val="100"/>
                <w:position w:val="0"/>
              </w:rPr>
              <w:t>即软件定义网络，主要特点是控制面和转发面分离、 集中化控制，以及开放的北向接口。逻辑上集中的控制层面能够支持网络资 源的灵活调度，灵活的开放接口能够支持网络能力的按需调用，并实现可编 程化控制。</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TD-LTE</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TDD</w:t>
            </w:r>
            <w:r>
              <w:rPr>
                <w:color w:val="000000"/>
                <w:spacing w:val="0"/>
                <w:w w:val="100"/>
                <w:position w:val="0"/>
              </w:rPr>
              <w:t>版本的</w:t>
            </w:r>
            <w:r>
              <w:rPr>
                <w:rFonts w:ascii="Times New Roman" w:eastAsia="Times New Roman" w:hAnsi="Times New Roman" w:cs="Times New Roman"/>
                <w:color w:val="000000"/>
                <w:spacing w:val="0"/>
                <w:w w:val="100"/>
                <w:position w:val="0"/>
              </w:rPr>
              <w:t>LTE</w:t>
            </w:r>
            <w:r>
              <w:rPr>
                <w:color w:val="000000"/>
                <w:spacing w:val="0"/>
                <w:w w:val="100"/>
                <w:position w:val="0"/>
              </w:rPr>
              <w:t>标准。</w:t>
            </w:r>
            <w:r>
              <w:rPr>
                <w:rFonts w:ascii="Times New Roman" w:eastAsia="Times New Roman" w:hAnsi="Times New Roman" w:cs="Times New Roman"/>
                <w:color w:val="000000"/>
                <w:spacing w:val="0"/>
                <w:w w:val="100"/>
                <w:position w:val="0"/>
              </w:rPr>
              <w:t>LTE</w:t>
            </w:r>
            <w:r>
              <w:rPr>
                <w:color w:val="000000"/>
                <w:spacing w:val="0"/>
                <w:w w:val="100"/>
                <w:position w:val="0"/>
              </w:rPr>
              <w:t>是</w:t>
            </w:r>
            <w:r>
              <w:rPr>
                <w:rFonts w:ascii="Times New Roman" w:eastAsia="Times New Roman" w:hAnsi="Times New Roman" w:cs="Times New Roman"/>
                <w:color w:val="000000"/>
                <w:spacing w:val="0"/>
                <w:w w:val="100"/>
                <w:position w:val="0"/>
              </w:rPr>
              <w:t>3GPP</w:t>
            </w:r>
            <w:r>
              <w:rPr>
                <w:color w:val="000000"/>
                <w:spacing w:val="0"/>
                <w:w w:val="100"/>
                <w:position w:val="0"/>
              </w:rPr>
              <w:t>组织制定的</w:t>
            </w:r>
            <w:r>
              <w:rPr>
                <w:rFonts w:ascii="Times New Roman" w:eastAsia="Times New Roman" w:hAnsi="Times New Roman" w:cs="Times New Roman"/>
                <w:color w:val="000000"/>
                <w:spacing w:val="0"/>
                <w:w w:val="100"/>
                <w:position w:val="0"/>
              </w:rPr>
              <w:t>4G</w:t>
            </w:r>
            <w:r>
              <w:rPr>
                <w:color w:val="000000"/>
                <w:spacing w:val="0"/>
                <w:w w:val="100"/>
                <w:position w:val="0"/>
              </w:rPr>
              <w:t>技术标准，基于</w:t>
            </w:r>
            <w:r>
              <w:rPr>
                <w:rFonts w:ascii="Times New Roman" w:eastAsia="Times New Roman" w:hAnsi="Times New Roman" w:cs="Times New Roman"/>
                <w:color w:val="000000"/>
                <w:spacing w:val="0"/>
                <w:w w:val="100"/>
                <w:position w:val="0"/>
              </w:rPr>
              <w:t xml:space="preserve">OFDM </w:t>
            </w:r>
            <w:r>
              <w:rPr>
                <w:color w:val="000000"/>
                <w:spacing w:val="0"/>
                <w:w w:val="100"/>
                <w:position w:val="0"/>
              </w:rPr>
              <w:t>技术，</w:t>
            </w:r>
            <w:r>
              <w:rPr>
                <w:rFonts w:ascii="Times New Roman" w:eastAsia="Times New Roman" w:hAnsi="Times New Roman" w:cs="Times New Roman"/>
                <w:color w:val="000000"/>
                <w:spacing w:val="0"/>
                <w:w w:val="100"/>
                <w:position w:val="0"/>
              </w:rPr>
              <w:t>TDD</w:t>
            </w:r>
            <w:r>
              <w:rPr>
                <w:color w:val="000000"/>
                <w:spacing w:val="0"/>
                <w:w w:val="100"/>
                <w:position w:val="0"/>
              </w:rPr>
              <w:t>表示时分双工。</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VoLTE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Voice over LTE</w:t>
            </w:r>
            <w:r>
              <w:rPr>
                <w:color w:val="000000"/>
                <w:spacing w:val="0"/>
                <w:w w:val="100"/>
                <w:position w:val="0"/>
              </w:rPr>
              <w:t>，是基于</w:t>
            </w:r>
            <w:r>
              <w:rPr>
                <w:rFonts w:ascii="Times New Roman" w:eastAsia="Times New Roman" w:hAnsi="Times New Roman" w:cs="Times New Roman"/>
                <w:color w:val="000000"/>
                <w:spacing w:val="0"/>
                <w:w w:val="100"/>
                <w:position w:val="0"/>
              </w:rPr>
              <w:t>IMS</w:t>
            </w:r>
            <w:r>
              <w:rPr>
                <w:color w:val="000000"/>
                <w:spacing w:val="0"/>
                <w:w w:val="100"/>
                <w:position w:val="0"/>
              </w:rPr>
              <w:t>技术、承载在</w:t>
            </w:r>
            <w:r>
              <w:rPr>
                <w:rFonts w:ascii="Times New Roman" w:eastAsia="Times New Roman" w:hAnsi="Times New Roman" w:cs="Times New Roman"/>
                <w:color w:val="000000"/>
                <w:spacing w:val="0"/>
                <w:w w:val="100"/>
                <w:position w:val="0"/>
              </w:rPr>
              <w:t>LTE</w:t>
            </w:r>
            <w:r>
              <w:rPr>
                <w:color w:val="000000"/>
                <w:spacing w:val="0"/>
                <w:w w:val="100"/>
                <w:position w:val="0"/>
              </w:rPr>
              <w:t>网络上的语音业务。</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VoWiFi</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Voice over WiFi</w:t>
            </w:r>
            <w:r>
              <w:rPr>
                <w:color w:val="000000"/>
                <w:spacing w:val="0"/>
                <w:w w:val="100"/>
                <w:position w:val="0"/>
              </w:rPr>
              <w:t>，指通过</w:t>
            </w:r>
            <w:r>
              <w:rPr>
                <w:rFonts w:ascii="Times New Roman" w:eastAsia="Times New Roman" w:hAnsi="Times New Roman" w:cs="Times New Roman"/>
                <w:color w:val="000000"/>
                <w:spacing w:val="0"/>
                <w:w w:val="100"/>
                <w:position w:val="0"/>
              </w:rPr>
              <w:t>WiFi</w:t>
            </w:r>
            <w:r>
              <w:rPr>
                <w:color w:val="000000"/>
                <w:spacing w:val="0"/>
                <w:w w:val="100"/>
                <w:position w:val="0"/>
              </w:rPr>
              <w:t>接入提供的语音业务。</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海量、实时、多样化的可被记录、采集和开发利用的数据信息，以及基于大 数据的挖掘处理技术。</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互联网与各个传统行业的结合，通过利用信息通信技术以及互联网平台，让 互联网与传统行业深度融合，从而为传统行业创造新的发展生态。</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提速降费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提高移动及固网宽带网络速率，降低资费水平，提高性价比。</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物联网业务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各种嵌入通信能力的智能物体间的相互互联或通过网络互联，以提供人与物、 物与物的通信为主的业务。</w:t>
            </w:r>
          </w:p>
        </w:tc>
      </w:tr>
      <w:tr>
        <w:trPr>
          <w:trHeight w:val="109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0" w:lineRule="exact"/>
              <w:ind w:left="0" w:right="0" w:firstLine="0"/>
              <w:jc w:val="both"/>
            </w:pPr>
            <w:r>
              <w:rPr>
                <w:color w:val="000000"/>
                <w:spacing w:val="0"/>
                <w:w w:val="100"/>
                <w:position w:val="0"/>
              </w:rPr>
              <w:t>一种新的计算方法和商业模式。通过虚拟化等技术按照“即插即用”的方式， 自助管理运算、存储等资源能力形成高效资源池，以按需分配的服务形式提 供计算能力。并且，可以通过公众通信网络整合</w:t>
            </w:r>
            <w:r>
              <w:rPr>
                <w:rFonts w:ascii="Times New Roman" w:eastAsia="Times New Roman" w:hAnsi="Times New Roman" w:cs="Times New Roman"/>
                <w:color w:val="000000"/>
                <w:spacing w:val="0"/>
                <w:w w:val="100"/>
                <w:position w:val="0"/>
              </w:rPr>
              <w:t>IT</w:t>
            </w:r>
            <w:r>
              <w:rPr>
                <w:color w:val="000000"/>
                <w:spacing w:val="0"/>
                <w:w w:val="100"/>
                <w:position w:val="0"/>
              </w:rPr>
              <w:t>资源和业务，向用户提供 新型的业务产品和新的交付模式。</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以城市网络为基础，以物联网技术为信息采集手段，以云计算平台为信息处 理中心，提供跨域协同的应用服务。</w:t>
            </w:r>
          </w:p>
        </w:tc>
      </w:tr>
    </w:tbl>
    <w:p>
      <w:pPr>
        <w:spacing w:lineRule="exact" w:line="1"/>
        <w:rPr>
          <w:sz w:val="2"/>
          <w:szCs w:val="2"/>
        </w:rPr>
      </w:pPr>
      <w:r>
        <w:br w:type="page"/>
      </w:r>
    </w:p>
    <w:p>
      <w:pPr>
        <w:pStyle w:val="Style13"/>
        <w:keepNext/>
        <w:keepLines/>
        <w:widowControl w:val="0"/>
        <w:shd w:val="clear" w:color="auto" w:fill="auto"/>
        <w:bidi w:val="0"/>
        <w:spacing w:before="0" w:after="280" w:line="240" w:lineRule="auto"/>
        <w:ind w:left="0" w:right="0" w:firstLine="0"/>
        <w:jc w:val="center"/>
      </w:pPr>
      <w:bookmarkStart w:id="43" w:name="bookmark43"/>
      <w:bookmarkStart w:id="44" w:name="bookmark44"/>
      <w:bookmarkStart w:id="45" w:name="bookmark45"/>
      <w:r>
        <w:rPr>
          <w:color w:val="000000"/>
          <w:spacing w:val="0"/>
          <w:w w:val="100"/>
          <w:position w:val="0"/>
        </w:rPr>
        <w:t>第二节公司简介和主要财务指标</w:t>
      </w:r>
      <w:bookmarkEnd w:id="43"/>
      <w:bookmarkEnd w:id="44"/>
      <w:bookmarkEnd w:id="45"/>
    </w:p>
    <w:p>
      <w:pPr>
        <w:pStyle w:val="Style25"/>
        <w:keepNext w:val="0"/>
        <w:keepLines w:val="0"/>
        <w:widowControl w:val="0"/>
        <w:shd w:val="clear" w:color="auto" w:fill="auto"/>
        <w:bidi w:val="0"/>
        <w:spacing w:before="0" w:after="0" w:line="240" w:lineRule="auto"/>
        <w:ind w:left="240" w:right="0" w:firstLine="0"/>
        <w:jc w:val="left"/>
      </w:pPr>
      <w:bookmarkStart w:id="46" w:name="bookmark46"/>
      <w:r>
        <w:rPr>
          <w:b/>
          <w:bCs/>
          <w:color w:val="000000"/>
          <w:spacing w:val="0"/>
          <w:w w:val="100"/>
          <w:position w:val="0"/>
        </w:rPr>
        <w:t>、公司信息</w:t>
      </w:r>
      <w:bookmarkEnd w:id="46"/>
    </w:p>
    <w:tbl>
      <w:tblPr>
        <w:tblOverlap w:val="never"/>
        <w:jc w:val="center"/>
        <w:tblLayout w:type="fixed"/>
      </w:tblPr>
      <w:tblGrid>
        <w:gridCol w:w="3288"/>
        <w:gridCol w:w="6000"/>
      </w:tblGrid>
      <w:tr>
        <w:trPr>
          <w:trHeight w:val="307"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中国联合网络通信股份有限公司</w:t>
            </w:r>
          </w:p>
        </w:tc>
      </w:tr>
      <w:tr>
        <w:trPr>
          <w:trHeight w:val="302"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r>
      <w:tr>
        <w:trPr>
          <w:trHeight w:val="302"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China United Network Communications Limited</w:t>
            </w:r>
          </w:p>
        </w:tc>
      </w:tr>
      <w:tr>
        <w:trPr>
          <w:trHeight w:val="302"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China Unicom</w:t>
            </w:r>
          </w:p>
        </w:tc>
      </w:tr>
      <w:tr>
        <w:trPr>
          <w:trHeight w:val="312" w:hRule="exact"/>
        </w:trPr>
        <w:tc>
          <w:tcPr>
            <w:tcBorders>
              <w:top w:val="single" w:sz="4"/>
              <w:left w:val="single" w:sz="4"/>
              <w:bottom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刘烈宏</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2534"/>
        <w:gridCol w:w="3653"/>
        <w:gridCol w:w="3101"/>
      </w:tblGrid>
      <w:tr>
        <w:trPr>
          <w:trHeight w:val="288"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李玉焯</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雷晓旭</w:t>
            </w:r>
          </w:p>
        </w:tc>
      </w:tr>
      <w:tr>
        <w:trPr>
          <w:trHeight w:val="283"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w:t>
            </w:r>
            <w:r>
              <w:rPr>
                <w:color w:val="000000"/>
                <w:spacing w:val="0"/>
                <w:w w:val="100"/>
                <w:position w:val="0"/>
              </w:rPr>
              <w:t>21</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w:t>
            </w:r>
            <w:r>
              <w:rPr>
                <w:color w:val="000000"/>
                <w:spacing w:val="0"/>
                <w:w w:val="100"/>
                <w:position w:val="0"/>
              </w:rPr>
              <w:t>21</w:t>
            </w:r>
            <w:r>
              <w:rPr>
                <w:color w:val="000000"/>
                <w:spacing w:val="0"/>
                <w:w w:val="100"/>
                <w:position w:val="0"/>
              </w:rPr>
              <w:t>号</w:t>
            </w:r>
          </w:p>
        </w:tc>
      </w:tr>
      <w:tr>
        <w:trPr>
          <w:trHeight w:val="283"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010-66259179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010-66259179</w:t>
            </w:r>
          </w:p>
        </w:tc>
      </w:tr>
      <w:tr>
        <w:trPr>
          <w:trHeight w:val="283"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010-66259544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010-66259544</w:t>
            </w:r>
          </w:p>
        </w:tc>
      </w:tr>
      <w:tr>
        <w:trPr>
          <w:trHeight w:val="293" w:hRule="exact"/>
        </w:trPr>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"mailto:dongmi@chinaunicom.cn" </w:instrText>
            </w:r>
            <w:r>
              <w:fldChar w:fldCharType="separate"/>
            </w:r>
            <w:r>
              <w:rPr>
                <w:color w:val="000000"/>
                <w:spacing w:val="0"/>
                <w:w w:val="100"/>
                <w:position w:val="0"/>
              </w:rPr>
              <w:t>dongmi@chinaunicom.cn</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"mailto:ir@chinaunicom.cn" </w:instrText>
            </w:r>
            <w:r>
              <w:fldChar w:fldCharType="separate"/>
            </w:r>
            <w:r>
              <w:rPr>
                <w:color w:val="000000"/>
                <w:spacing w:val="0"/>
                <w:w w:val="100"/>
                <w:position w:val="0"/>
              </w:rPr>
              <w:t>ir@chinaunicom.cn</w:t>
            </w:r>
            <w:r>
              <w:fldChar w:fldCharType="end"/>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730"/>
        <w:gridCol w:w="5558"/>
      </w:tblGrid>
      <w:tr>
        <w:trPr>
          <w:trHeight w:val="307"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w:t>
            </w:r>
          </w:p>
        </w:tc>
      </w:tr>
      <w:tr>
        <w:trPr>
          <w:trHeight w:val="307"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100033</w:t>
            </w:r>
          </w:p>
        </w:tc>
      </w:tr>
      <w:tr>
        <w:trPr>
          <w:trHeight w:val="302"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rPr>
              <w:t>21</w:t>
            </w:r>
            <w:r>
              <w:rPr>
                <w:color w:val="000000"/>
                <w:spacing w:val="0"/>
                <w:w w:val="100"/>
                <w:position w:val="0"/>
              </w:rPr>
              <w:t>号</w:t>
            </w:r>
          </w:p>
        </w:tc>
      </w:tr>
      <w:tr>
        <w:trPr>
          <w:trHeight w:val="302"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100033</w:t>
            </w:r>
          </w:p>
        </w:tc>
      </w:tr>
      <w:tr>
        <w:trPr>
          <w:trHeight w:val="302"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"http://www.chinaunicom-a.com" </w:instrText>
            </w:r>
            <w:r>
              <w:fldChar w:fldCharType="separate"/>
            </w:r>
            <w:r>
              <w:rPr>
                <w:rFonts w:ascii="Times New Roman" w:eastAsia="Times New Roman" w:hAnsi="Times New Roman" w:cs="Times New Roman"/>
                <w:color w:val="000000"/>
                <w:spacing w:val="0"/>
                <w:w w:val="100"/>
                <w:position w:val="0"/>
              </w:rPr>
              <w:t>www.chinaunicom-a.com</w:t>
            </w:r>
            <w:r>
              <w:fldChar w:fldCharType="end"/>
            </w:r>
          </w:p>
        </w:tc>
      </w:tr>
      <w:tr>
        <w:trPr>
          <w:trHeight w:val="312" w:hRule="exact"/>
        </w:trPr>
        <w:tc>
          <w:tcPr>
            <w:tcBorders>
              <w:top w:val="single" w:sz="4"/>
              <w:left w:val="single" w:sz="4"/>
              <w:bottom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ir@chinaunicom .cn</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320"/>
        <w:gridCol w:w="4968"/>
      </w:tblGrid>
      <w:tr>
        <w:trPr>
          <w:trHeight w:val="307"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610"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"http://www.chinaunicom-a.com" </w:instrText>
            </w:r>
            <w:r>
              <w:fldChar w:fldCharType="separate"/>
            </w:r>
            <w:r>
              <w:rPr>
                <w:rFonts w:ascii="Times New Roman" w:eastAsia="Times New Roman" w:hAnsi="Times New Roman" w:cs="Times New Roman"/>
                <w:color w:val="000000"/>
                <w:spacing w:val="0"/>
                <w:w w:val="100"/>
                <w:position w:val="0"/>
              </w:rPr>
              <w:t>www.chinaunicom-a.com</w:t>
            </w:r>
            <w:r>
              <w:fldChar w:fldCharType="end"/>
            </w:r>
          </w:p>
        </w:tc>
      </w:tr>
      <w:tr>
        <w:trPr>
          <w:trHeight w:val="317" w:hRule="exact"/>
        </w:trPr>
        <w:tc>
          <w:tcPr>
            <w:tcBorders>
              <w:top w:val="single" w:sz="4"/>
              <w:left w:val="single" w:sz="4"/>
              <w:bottom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rPr>
              <w:t>21</w:t>
            </w:r>
            <w:r>
              <w:rPr>
                <w:color w:val="000000"/>
                <w:spacing w:val="0"/>
                <w:w w:val="100"/>
                <w:position w:val="0"/>
              </w:rPr>
              <w:t>号</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2323"/>
        <w:gridCol w:w="2318"/>
        <w:gridCol w:w="2318"/>
        <w:gridCol w:w="2328"/>
      </w:tblGrid>
      <w:tr>
        <w:trPr>
          <w:trHeight w:val="307" w:hRule="exact"/>
        </w:trPr>
        <w:tc>
          <w:tcPr>
            <w:gridSpan w:val="4"/>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31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中国联通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600050</w:t>
            </w:r>
          </w:p>
        </w:tc>
      </w:tr>
    </w:tbl>
    <w:p>
      <w:pPr>
        <w:widowControl w:val="0"/>
        <w:spacing w:after="579" w:line="1" w:lineRule="exact"/>
      </w:pPr>
    </w:p>
    <w:p>
      <w:pPr>
        <w:pStyle w:val="Style25"/>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626"/>
        <w:gridCol w:w="2366"/>
        <w:gridCol w:w="4450"/>
      </w:tblGrid>
      <w:tr>
        <w:trPr>
          <w:trHeight w:val="288" w:hRule="exact"/>
        </w:trPr>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公司聘请的会计师事务所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283" w:hRule="exact"/>
        </w:trPr>
        <w:tc>
          <w:tcPr>
            <w:vMerge/>
            <w:tcBorders>
              <w:left w:val="single" w:sz="4"/>
            </w:tcBorders>
            <w:shd w:val="clear" w:color="auto" w:fill="D9D9D9"/>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上海市黄浦区延安东路</w:t>
            </w:r>
            <w:r>
              <w:rPr>
                <w:rFonts w:ascii="Times New Roman" w:eastAsia="Times New Roman" w:hAnsi="Times New Roman" w:cs="Times New Roman"/>
                <w:color w:val="000000"/>
                <w:spacing w:val="0"/>
                <w:w w:val="100"/>
                <w:position w:val="0"/>
              </w:rPr>
              <w:t>222</w:t>
            </w:r>
            <w:r>
              <w:rPr>
                <w:color w:val="000000"/>
                <w:spacing w:val="0"/>
                <w:w w:val="100"/>
                <w:position w:val="0"/>
              </w:rPr>
              <w:t>号</w:t>
            </w:r>
            <w:r>
              <w:rPr>
                <w:rFonts w:ascii="Times New Roman" w:eastAsia="Times New Roman" w:hAnsi="Times New Roman" w:cs="Times New Roman"/>
                <w:color w:val="000000"/>
                <w:spacing w:val="0"/>
                <w:w w:val="100"/>
                <w:position w:val="0"/>
              </w:rPr>
              <w:t>30</w:t>
            </w:r>
            <w:r>
              <w:rPr>
                <w:color w:val="000000"/>
                <w:spacing w:val="0"/>
                <w:w w:val="100"/>
                <w:position w:val="0"/>
              </w:rPr>
              <w:t>楼</w:t>
            </w:r>
          </w:p>
        </w:tc>
      </w:tr>
      <w:tr>
        <w:trPr>
          <w:trHeight w:val="293" w:hRule="exact"/>
        </w:trPr>
        <w:tc>
          <w:tcPr>
            <w:vMerge/>
            <w:tcBorders>
              <w:left w:val="single" w:sz="4"/>
              <w:bottom w:val="single" w:sz="4"/>
            </w:tcBorders>
            <w:shd w:val="clear" w:color="auto" w:fill="D9D9D9"/>
            <w:vAlign w:val="center"/>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茆广勤、吴无逸</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336" w:lineRule="exact"/>
        <w:ind w:left="0" w:right="0" w:firstLine="140"/>
        <w:jc w:val="left"/>
      </w:pPr>
      <w:bookmarkStart w:id="47" w:name="bookmark47"/>
      <w:r>
        <w:rPr>
          <w:b/>
          <w:bCs/>
          <w:color w:val="000000"/>
          <w:spacing w:val="0"/>
          <w:w w:val="100"/>
          <w:position w:val="0"/>
          <w:shd w:val="clear" w:color="auto" w:fill="FFFFFF"/>
        </w:rPr>
        <w:t>七</w:t>
      </w:r>
      <w:bookmarkEnd w:id="47"/>
      <w:r>
        <w:rPr>
          <w:b/>
          <w:bCs/>
          <w:color w:val="000000"/>
          <w:spacing w:val="0"/>
          <w:w w:val="100"/>
          <w:position w:val="0"/>
          <w:shd w:val="clear" w:color="auto" w:fill="FFFFFF"/>
        </w:rPr>
        <w:t>、近三年主要会计数据和财务指标</w:t>
      </w:r>
    </w:p>
    <w:p>
      <w:pPr>
        <w:pStyle w:val="Style5"/>
        <w:keepNext w:val="0"/>
        <w:keepLines w:val="0"/>
        <w:widowControl w:val="0"/>
        <w:shd w:val="clear" w:color="auto" w:fill="auto"/>
        <w:bidi w:val="0"/>
        <w:spacing w:before="0" w:after="320" w:line="336" w:lineRule="exact"/>
        <w:ind w:left="0" w:right="0" w:firstLine="140"/>
        <w:jc w:val="left"/>
      </w:pPr>
      <w:bookmarkStart w:id="48" w:name="bookmark48"/>
      <w:r>
        <w:rPr>
          <w:b/>
          <w:bCs/>
          <w:color w:val="000000"/>
          <w:spacing w:val="0"/>
          <w:w w:val="100"/>
          <w:position w:val="0"/>
        </w:rPr>
        <w:t>（</w:t>
      </w:r>
      <w:bookmarkEnd w:id="48"/>
      <w:r>
        <w:rPr>
          <w:b/>
          <w:bCs/>
          <w:color w:val="000000"/>
          <w:spacing w:val="0"/>
          <w:w w:val="100"/>
          <w:position w:val="0"/>
        </w:rPr>
        <w:t>一）主要会计数据</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8"/>
        <w:gridCol w:w="1877"/>
        <w:gridCol w:w="1954"/>
        <w:gridCol w:w="1819"/>
        <w:gridCol w:w="1805"/>
      </w:tblGrid>
      <w:tr>
        <w:trPr>
          <w:trHeight w:val="610"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327,854,494,119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303,838,070,591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290,514,554,553</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其中：主营业务收入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296,153,150,971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275,813,703,657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264,386,419,726</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6,305,465,753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5,521,311,508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4,982,083,711</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6,451,519,911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5,450,075,630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5,198,176,968</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111,971,577,348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107,333,764,603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96,208,235,799</w:t>
            </w:r>
          </w:p>
        </w:tc>
      </w:tr>
      <w:tr>
        <w:trPr>
          <w:trHeight w:val="557"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74" w:lineRule="exact"/>
              <w:ind w:left="0" w:right="0" w:firstLine="0"/>
              <w:jc w:val="right"/>
            </w:pPr>
            <w:r>
              <w:rPr>
                <w:color w:val="000000"/>
                <w:spacing w:val="0"/>
                <w:w w:val="100"/>
                <w:position w:val="0"/>
              </w:rPr>
              <w:t>本期末比上年同 期末增减（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149,217,148,845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147,708,515,154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143,327,302,175</w:t>
            </w:r>
          </w:p>
        </w:tc>
      </w:tr>
      <w:tr>
        <w:trPr>
          <w:trHeight w:val="30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593,284,479,854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582,475,430,408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564,230,618,712</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336"/>
        <w:gridCol w:w="1358"/>
        <w:gridCol w:w="1330"/>
        <w:gridCol w:w="2659"/>
        <w:gridCol w:w="1190"/>
      </w:tblGrid>
      <w:tr>
        <w:trPr>
          <w:trHeight w:val="28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0.161</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0.161</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0.168</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0.44</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3.45</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0.59</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r>
    </w:tbl>
    <w:p>
      <w:pPr>
        <w:widowControl w:val="0"/>
        <w:spacing w:after="539" w:line="1" w:lineRule="exact"/>
      </w:pPr>
    </w:p>
    <w:p>
      <w:pPr>
        <w:pStyle w:val="Style5"/>
        <w:keepNext w:val="0"/>
        <w:keepLines w:val="0"/>
        <w:widowControl w:val="0"/>
        <w:shd w:val="clear" w:color="auto" w:fill="auto"/>
        <w:bidi w:val="0"/>
        <w:spacing w:before="0" w:after="0" w:line="262" w:lineRule="exact"/>
        <w:ind w:left="0" w:right="0" w:firstLine="14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320" w:line="262"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62" w:lineRule="exact"/>
        <w:ind w:left="0" w:right="0" w:firstLine="140"/>
        <w:jc w:val="left"/>
      </w:pPr>
      <w:bookmarkStart w:id="49" w:name="bookmark49"/>
      <w:r>
        <w:rPr>
          <w:b/>
          <w:bCs/>
          <w:color w:val="000000"/>
          <w:spacing w:val="0"/>
          <w:w w:val="100"/>
          <w:position w:val="0"/>
        </w:rPr>
        <w:t>八</w:t>
      </w:r>
      <w:bookmarkEnd w:id="49"/>
      <w:r>
        <w:rPr>
          <w:b/>
          <w:bCs/>
          <w:color w:val="000000"/>
          <w:spacing w:val="0"/>
          <w:w w:val="100"/>
          <w:position w:val="0"/>
        </w:rPr>
        <w:t>、境内外会计准则下会计数据差异</w:t>
      </w:r>
    </w:p>
    <w:p>
      <w:pPr>
        <w:pStyle w:val="Style5"/>
        <w:keepNext w:val="0"/>
        <w:keepLines w:val="0"/>
        <w:widowControl w:val="0"/>
        <w:shd w:val="clear" w:color="auto" w:fill="auto"/>
        <w:tabs>
          <w:tab w:pos="666" w:val="left"/>
        </w:tabs>
        <w:bidi w:val="0"/>
        <w:spacing w:before="0" w:after="60" w:line="274" w:lineRule="exact"/>
        <w:ind w:left="500" w:right="0" w:hanging="360"/>
        <w:jc w:val="left"/>
      </w:pPr>
      <w:bookmarkStart w:id="50" w:name="bookmark50"/>
      <w:r>
        <w:rPr>
          <w:rFonts w:ascii="Calibri" w:eastAsia="Calibri" w:hAnsi="Calibri" w:cs="Calibri"/>
          <w:b/>
          <w:bCs/>
          <w:color w:val="000000"/>
          <w:spacing w:val="0"/>
          <w:w w:val="100"/>
          <w:position w:val="0"/>
        </w:rPr>
        <w:t>（</w:t>
      </w:r>
      <w:bookmarkEnd w:id="5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同时按照国际会计准则与按中国会计准则披露的财务报告中净利润和归属于上市公司股东的净 资产差异情况</w:t>
      </w:r>
    </w:p>
    <w:p>
      <w:pPr>
        <w:pStyle w:val="Style5"/>
        <w:keepNext w:val="0"/>
        <w:keepLines w:val="0"/>
        <w:widowControl w:val="0"/>
        <w:shd w:val="clear" w:color="auto" w:fill="auto"/>
        <w:bidi w:val="0"/>
        <w:spacing w:before="0" w:after="380" w:line="262" w:lineRule="exact"/>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666" w:val="left"/>
        </w:tabs>
        <w:bidi w:val="0"/>
        <w:spacing w:before="0" w:after="60" w:line="250" w:lineRule="exact"/>
        <w:ind w:left="500" w:right="0" w:hanging="360"/>
        <w:jc w:val="left"/>
      </w:pPr>
      <w:bookmarkStart w:id="51" w:name="bookmark51"/>
      <w:bookmarkStart w:id="52" w:name="bookmark52"/>
      <w:bookmarkStart w:id="53" w:name="bookmark53"/>
      <w:bookmarkStart w:id="54" w:name="bookmark54"/>
      <w:r>
        <w:rPr>
          <w:rFonts w:ascii="Calibri" w:eastAsia="Calibri" w:hAnsi="Calibri" w:cs="Calibri"/>
          <w:color w:val="000000"/>
          <w:spacing w:val="0"/>
          <w:w w:val="100"/>
          <w:position w:val="0"/>
        </w:rPr>
        <w:t>（</w:t>
      </w:r>
      <w:bookmarkEnd w:id="53"/>
      <w:r>
        <w:rPr>
          <w:color w:val="000000"/>
          <w:spacing w:val="0"/>
          <w:w w:val="100"/>
          <w:position w:val="0"/>
        </w:rPr>
        <w:t>二</w:t>
      </w:r>
      <w:r>
        <w:rPr>
          <w:rFonts w:ascii="Calibri" w:eastAsia="Calibri" w:hAnsi="Calibri" w:cs="Calibri"/>
          <w:color w:val="000000"/>
          <w:spacing w:val="0"/>
          <w:w w:val="100"/>
          <w:position w:val="0"/>
        </w:rPr>
        <w:t>）</w:t>
        <w:tab/>
      </w:r>
      <w:r>
        <w:rPr>
          <w:color w:val="000000"/>
          <w:spacing w:val="0"/>
          <w:w w:val="100"/>
          <w:position w:val="0"/>
        </w:rPr>
        <w:t>同时按照境外会计准则与按中国会计准则披露的财务报告中净利润和归属于上市公司股东的净 资产差异情况</w:t>
      </w:r>
      <w:bookmarkEnd w:id="51"/>
      <w:bookmarkEnd w:id="52"/>
      <w:bookmarkEnd w:id="54"/>
    </w:p>
    <w:p>
      <w:pPr>
        <w:pStyle w:val="Style5"/>
        <w:keepNext w:val="0"/>
        <w:keepLines w:val="0"/>
        <w:widowControl w:val="0"/>
        <w:shd w:val="clear" w:color="auto" w:fill="auto"/>
        <w:bidi w:val="0"/>
        <w:spacing w:before="0" w:after="380" w:line="262"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666" w:val="left"/>
        </w:tabs>
        <w:bidi w:val="0"/>
        <w:spacing w:before="0" w:after="0" w:line="254" w:lineRule="auto"/>
        <w:ind w:left="0" w:right="0" w:firstLine="140"/>
        <w:jc w:val="left"/>
      </w:pPr>
      <w:bookmarkStart w:id="55" w:name="bookmark55"/>
      <w:bookmarkStart w:id="56" w:name="bookmark56"/>
      <w:bookmarkStart w:id="57" w:name="bookmark57"/>
      <w:bookmarkStart w:id="58" w:name="bookmark58"/>
      <w:r>
        <w:rPr>
          <w:rFonts w:ascii="Calibri" w:eastAsia="Calibri" w:hAnsi="Calibri" w:cs="Calibri"/>
          <w:color w:val="000000"/>
          <w:spacing w:val="0"/>
          <w:w w:val="100"/>
          <w:position w:val="0"/>
        </w:rPr>
        <w:t>（</w:t>
      </w:r>
      <w:bookmarkEnd w:id="57"/>
      <w:r>
        <w:rPr>
          <w:color w:val="000000"/>
          <w:spacing w:val="0"/>
          <w:w w:val="100"/>
          <w:position w:val="0"/>
        </w:rPr>
        <w:t>三</w:t>
      </w:r>
      <w:r>
        <w:rPr>
          <w:rFonts w:ascii="Calibri" w:eastAsia="Calibri" w:hAnsi="Calibri" w:cs="Calibri"/>
          <w:color w:val="000000"/>
          <w:spacing w:val="0"/>
          <w:w w:val="100"/>
          <w:position w:val="0"/>
        </w:rPr>
        <w:t>）</w:t>
        <w:tab/>
      </w:r>
      <w:r>
        <w:rPr>
          <w:color w:val="000000"/>
          <w:spacing w:val="0"/>
          <w:w w:val="100"/>
          <w:position w:val="0"/>
        </w:rPr>
        <w:t>境内外会计准则差异的说明：</w:t>
      </w:r>
      <w:bookmarkEnd w:id="55"/>
      <w:bookmarkEnd w:id="56"/>
      <w:bookmarkEnd w:id="58"/>
    </w:p>
    <w:p>
      <w:pPr>
        <w:pStyle w:val="Style5"/>
        <w:keepNext w:val="0"/>
        <w:keepLines w:val="0"/>
        <w:widowControl w:val="0"/>
        <w:shd w:val="clear" w:color="auto" w:fill="auto"/>
        <w:bidi w:val="0"/>
        <w:spacing w:before="0" w:after="320" w:line="262" w:lineRule="exact"/>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6"/>
        <w:keepNext/>
        <w:keepLines/>
        <w:widowControl w:val="0"/>
        <w:shd w:val="clear" w:color="auto" w:fill="auto"/>
        <w:bidi w:val="0"/>
        <w:spacing w:before="0" w:after="300" w:line="240" w:lineRule="auto"/>
        <w:ind w:left="0" w:right="0" w:firstLine="280"/>
        <w:jc w:val="left"/>
      </w:pPr>
      <w:bookmarkStart w:id="59" w:name="bookmark59"/>
      <w:bookmarkStart w:id="60" w:name="bookmark60"/>
      <w:bookmarkStart w:id="61" w:name="bookmark61"/>
      <w:bookmarkStart w:id="62" w:name="bookmark62"/>
      <w:r>
        <w:rPr>
          <w:color w:val="000000"/>
          <w:spacing w:val="0"/>
          <w:w w:val="100"/>
          <w:position w:val="0"/>
        </w:rPr>
        <w:t>九</w:t>
      </w:r>
      <w:bookmarkEnd w:id="61"/>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年分季度主要财务数据</w:t>
      </w:r>
      <w:bookmarkEnd w:id="59"/>
      <w:bookmarkEnd w:id="60"/>
      <w:bookmarkEnd w:id="62"/>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1843"/>
        <w:gridCol w:w="1843"/>
        <w:gridCol w:w="1843"/>
        <w:gridCol w:w="1853"/>
      </w:tblGrid>
      <w:tr>
        <w:trPr>
          <w:trHeight w:val="562"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第一季度 </w:t>
            </w:r>
            <w:r>
              <w:rPr>
                <w:color w:val="000000"/>
                <w:spacing w:val="0"/>
                <w:w w:val="100"/>
                <w:position w:val="0"/>
              </w:rPr>
              <w:t>（1-3</w:t>
            </w:r>
            <w:r>
              <w:rPr>
                <w:color w:val="000000"/>
                <w:spacing w:val="0"/>
                <w:w w:val="100"/>
                <w:position w:val="0"/>
              </w:rPr>
              <w:t>月份）</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第二季度 </w:t>
            </w:r>
            <w:r>
              <w:rPr>
                <w:color w:val="000000"/>
                <w:spacing w:val="0"/>
                <w:w w:val="100"/>
                <w:position w:val="0"/>
              </w:rPr>
              <w:t>（4-6</w:t>
            </w:r>
            <w:r>
              <w:rPr>
                <w:color w:val="000000"/>
                <w:spacing w:val="0"/>
                <w:w w:val="100"/>
                <w:position w:val="0"/>
              </w:rPr>
              <w:t>月份）</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第三季度 </w:t>
            </w:r>
            <w:r>
              <w:rPr>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82,271,971,859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81,902,526,118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80,314,695,766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83,365,300,376</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1,692,168,619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2,341,141,825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1,642,577,317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629,577,992</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2,160,488,776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2,013,965,433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1,352,687,681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924,378,021</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20,290,837,285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31,124,509,151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28,073,136,169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32,483,094,743</w:t>
            </w:r>
          </w:p>
        </w:tc>
      </w:tr>
    </w:tbl>
    <w:p>
      <w:pPr>
        <w:widowControl w:val="0"/>
        <w:spacing w:after="519" w:line="1" w:lineRule="exact"/>
      </w:pPr>
    </w:p>
    <w:p>
      <w:pPr>
        <w:pStyle w:val="Style5"/>
        <w:keepNext w:val="0"/>
        <w:keepLines w:val="0"/>
        <w:widowControl w:val="0"/>
        <w:shd w:val="clear" w:color="auto" w:fill="auto"/>
        <w:bidi w:val="0"/>
        <w:spacing w:before="0" w:after="300" w:line="274" w:lineRule="exact"/>
        <w:ind w:left="280" w:right="0" w:firstLine="0"/>
        <w:jc w:val="left"/>
      </w:pPr>
      <w:r>
        <w:rPr>
          <w:color w:val="000000"/>
          <w:spacing w:val="0"/>
          <w:w w:val="100"/>
          <w:position w:val="0"/>
        </w:rPr>
        <w:t xml:space="preserve">季度数据与已披露定期报告数据差异说明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 xml:space="preserve">不适用 </w:t>
      </w:r>
      <w:r>
        <w:rPr>
          <w:b/>
          <w:bCs/>
          <w:color w:val="000000"/>
          <w:spacing w:val="0"/>
          <w:w w:val="100"/>
          <w:position w:val="0"/>
        </w:rPr>
        <w:t>十、非经常性损益项目和金额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478"/>
        <w:gridCol w:w="1819"/>
        <w:gridCol w:w="1814"/>
        <w:gridCol w:w="1680"/>
      </w:tblGrid>
      <w:tr>
        <w:trPr>
          <w:trHeight w:val="288"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2019</w:t>
            </w:r>
            <w:r>
              <w:rPr>
                <w:color w:val="000000"/>
                <w:spacing w:val="0"/>
                <w:w w:val="100"/>
                <w:position w:val="0"/>
              </w:rPr>
              <w:t>年金额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-3,523,409,238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-2,258,035,781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-2,126,903,453</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计入当期损益的政府补助，但与公司正常经营 业务密切相关，符合国家政策规定、按照一定 标准定额或定量持续享受的政府补助除外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636,513,761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506,763,274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385,153,488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增值税加计抵减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2,383,925,256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1,455,818,502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422,204,569</w:t>
            </w:r>
          </w:p>
        </w:tc>
      </w:tr>
      <w:tr>
        <w:trPr>
          <w:trHeight w:val="164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 务外，持有交易性金融资产、衍生金融资产、 交易性金融负债、衍生金融负债产生的公允价 值变动损益，以及处置交易性金融资产、衍生 金融资产、交易性金融负债、衍生金融负债和 其他债权投资取得的投资收益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-23,946,954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215,745,413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108,768,551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87,650,630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315,829,143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561,032,569</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-106,871,404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73,999,457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-157,951,716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-186,340,983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90,885,216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-275,699,303</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-146,054,158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71,235,878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-216,093,257</w:t>
            </w:r>
          </w:p>
        </w:tc>
      </w:tr>
    </w:tbl>
    <w:p>
      <w:pPr>
        <w:widowControl w:val="0"/>
        <w:spacing w:after="619" w:line="1" w:lineRule="exact"/>
      </w:pPr>
    </w:p>
    <w:p>
      <w:pPr>
        <w:pStyle w:val="Style16"/>
        <w:keepNext/>
        <w:keepLines/>
        <w:widowControl w:val="0"/>
        <w:shd w:val="clear" w:color="auto" w:fill="auto"/>
        <w:bidi w:val="0"/>
        <w:spacing w:before="0" w:after="300" w:line="240" w:lineRule="auto"/>
        <w:ind w:left="280" w:right="0" w:firstLine="0"/>
        <w:jc w:val="left"/>
      </w:pPr>
      <w:bookmarkStart w:id="63" w:name="bookmark63"/>
      <w:bookmarkStart w:id="64" w:name="bookmark64"/>
      <w:bookmarkStart w:id="65" w:name="bookmark65"/>
      <w:r>
        <w:rPr>
          <w:color w:val="000000"/>
          <w:spacing w:val="0"/>
          <w:w w:val="100"/>
          <w:position w:val="0"/>
        </w:rPr>
        <w:t>十一、采用公允价值计量的项目</w:t>
      </w:r>
      <w:bookmarkEnd w:id="63"/>
      <w:bookmarkEnd w:id="64"/>
      <w:bookmarkEnd w:id="65"/>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20"/>
        <w:gridCol w:w="1704"/>
        <w:gridCol w:w="1560"/>
        <w:gridCol w:w="1699"/>
        <w:gridCol w:w="1709"/>
      </w:tblGrid>
      <w:tr>
        <w:trPr>
          <w:trHeight w:val="562"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当期变动</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1,560,063,669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3,286,826,770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1,726,763,101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-59,093,333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22,628,955,841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25,603,040,836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2,974,084,995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819,866,088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933,690,125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802,977,478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-130,712,647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36,557,334</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子公司持有的交通银行股票</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113,721,803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117,021,766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3,299,963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8,613,321</w:t>
            </w:r>
          </w:p>
        </w:tc>
      </w:tr>
    </w:tbl>
    <w:tbl>
      <w:tblPr>
        <w:tblOverlap w:val="never"/>
        <w:jc w:val="center"/>
        <w:tblLayout w:type="fixed"/>
      </w:tblPr>
      <w:tblGrid>
        <w:gridCol w:w="3120"/>
        <w:gridCol w:w="1704"/>
        <w:gridCol w:w="1560"/>
        <w:gridCol w:w="1699"/>
        <w:gridCol w:w="1709"/>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子公司持有的西班牙电信股票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1,671,955,957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1,785,554,160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113,598,203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169,889,568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721,083,937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906,275,865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185,191,928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24,731,720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121,057,685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121,057,685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4,115,231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52,623,151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103,026,537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50,403,386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27,682,094,483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32,725,781,097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5,043,686,614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1,004,679,929</w:t>
            </w:r>
          </w:p>
        </w:tc>
      </w:tr>
    </w:tbl>
    <w:p>
      <w:pPr>
        <w:widowControl w:val="0"/>
        <w:spacing w:after="1659" w:line="1" w:lineRule="exact"/>
      </w:pPr>
    </w:p>
    <w:p>
      <w:pPr>
        <w:pStyle w:val="Style13"/>
        <w:keepNext/>
        <w:keepLines/>
        <w:widowControl w:val="0"/>
        <w:shd w:val="clear" w:color="auto" w:fill="auto"/>
        <w:bidi w:val="0"/>
        <w:spacing w:before="0" w:after="140" w:line="240" w:lineRule="auto"/>
        <w:ind w:left="0" w:right="0" w:firstLine="0"/>
        <w:jc w:val="center"/>
      </w:pPr>
      <w:bookmarkStart w:id="66" w:name="bookmark66"/>
      <w:bookmarkStart w:id="67" w:name="bookmark67"/>
      <w:bookmarkStart w:id="68" w:name="bookmark68"/>
      <w:r>
        <w:rPr>
          <w:color w:val="000000"/>
          <w:spacing w:val="0"/>
          <w:w w:val="100"/>
          <w:position w:val="0"/>
        </w:rPr>
        <w:t>第三节管理层讨论与分析</w:t>
      </w:r>
      <w:bookmarkEnd w:id="66"/>
      <w:bookmarkEnd w:id="67"/>
      <w:bookmarkEnd w:id="68"/>
    </w:p>
    <w:p>
      <w:pPr>
        <w:pStyle w:val="Style5"/>
        <w:keepNext w:val="0"/>
        <w:keepLines w:val="0"/>
        <w:widowControl w:val="0"/>
        <w:shd w:val="clear" w:color="auto" w:fill="auto"/>
        <w:bidi w:val="0"/>
        <w:spacing w:before="0" w:after="40" w:line="362" w:lineRule="exact"/>
        <w:ind w:left="0" w:right="0" w:firstLine="140"/>
        <w:jc w:val="left"/>
        <w:rPr>
          <w:sz w:val="22"/>
          <w:szCs w:val="22"/>
        </w:rPr>
      </w:pPr>
      <w:bookmarkStart w:id="69" w:name="bookmark69"/>
      <w:bookmarkStart w:id="70" w:name="bookmark70"/>
      <w:r>
        <w:rPr>
          <w:b/>
          <w:bCs/>
          <w:color w:val="000000"/>
          <w:spacing w:val="0"/>
          <w:w w:val="100"/>
          <w:position w:val="0"/>
          <w:sz w:val="22"/>
          <w:szCs w:val="22"/>
        </w:rPr>
        <w:t>一</w:t>
      </w:r>
      <w:bookmarkEnd w:id="70"/>
      <w:r>
        <w:rPr>
          <w:b/>
          <w:bCs/>
          <w:color w:val="000000"/>
          <w:spacing w:val="0"/>
          <w:w w:val="100"/>
          <w:position w:val="0"/>
          <w:sz w:val="22"/>
          <w:szCs w:val="22"/>
        </w:rPr>
        <w:t>、经营情况讨论与分析</w:t>
      </w:r>
      <w:bookmarkEnd w:id="69"/>
    </w:p>
    <w:p>
      <w:pPr>
        <w:pStyle w:val="Style5"/>
        <w:keepNext w:val="0"/>
        <w:keepLines w:val="0"/>
        <w:widowControl w:val="0"/>
        <w:shd w:val="clear" w:color="auto" w:fill="auto"/>
        <w:bidi w:val="0"/>
        <w:spacing w:before="0" w:line="362" w:lineRule="exact"/>
        <w:ind w:left="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年，面对复杂严峻的内外部环境，公司紧抓经济社会数字化转型大势，把握新机遇、拥抱新 变化、实现新发展，升级“强基固本、守正创新、融合开放”为新战略，明确“数字信息基础设施 运营服务国家队、网络强国数字中国智慧社会建设主力军、数字技术融合创新排头兵”为新定位，聚 焦“大联接、大计算、大数据、大应用、大安全”五大主责主业，全面发力数字经济主航道。一年来， 经营态势稳中向好，规模效益实现突破，重点业务稳中有进，创新能力切实增强，改革活力持续焕发， 运营效能显著提升，公司高质量发展跃上新台阶。</w:t>
      </w:r>
    </w:p>
    <w:p>
      <w:pPr>
        <w:pStyle w:val="Style16"/>
        <w:keepNext/>
        <w:keepLines/>
        <w:widowControl w:val="0"/>
        <w:shd w:val="clear" w:color="auto" w:fill="auto"/>
        <w:tabs>
          <w:tab w:pos="1121" w:val="left"/>
        </w:tabs>
        <w:bidi w:val="0"/>
        <w:spacing w:before="0" w:line="362" w:lineRule="exact"/>
        <w:ind w:left="0" w:right="0" w:firstLine="560"/>
        <w:jc w:val="left"/>
      </w:pPr>
      <w:bookmarkStart w:id="71" w:name="bookmark71"/>
      <w:bookmarkStart w:id="72" w:name="bookmark72"/>
      <w:bookmarkStart w:id="73" w:name="bookmark73"/>
      <w:bookmarkStart w:id="74" w:name="bookmark74"/>
      <w:r>
        <w:rPr>
          <w:color w:val="000000"/>
          <w:spacing w:val="0"/>
          <w:w w:val="100"/>
          <w:position w:val="0"/>
        </w:rPr>
        <w:t>（</w:t>
      </w:r>
      <w:bookmarkEnd w:id="73"/>
      <w:r>
        <w:rPr>
          <w:color w:val="000000"/>
          <w:spacing w:val="0"/>
          <w:w w:val="100"/>
          <w:position w:val="0"/>
        </w:rPr>
        <w:t>一）</w:t>
        <w:tab/>
        <w:t>整体业绩</w:t>
      </w:r>
      <w:bookmarkEnd w:id="71"/>
      <w:bookmarkEnd w:id="72"/>
      <w:bookmarkEnd w:id="74"/>
    </w:p>
    <w:p>
      <w:pPr>
        <w:pStyle w:val="Style5"/>
        <w:keepNext w:val="0"/>
        <w:keepLines w:val="0"/>
        <w:widowControl w:val="0"/>
        <w:shd w:val="clear" w:color="auto" w:fill="auto"/>
        <w:bidi w:val="0"/>
        <w:spacing w:before="0" w:after="0" w:line="360" w:lineRule="exact"/>
        <w:ind w:left="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年，公司经营业绩稳健增长，盈利水平快速提升。营业收入达到人民币</w:t>
      </w:r>
      <w:r>
        <w:rPr>
          <w:rFonts w:ascii="Times New Roman" w:eastAsia="Times New Roman" w:hAnsi="Times New Roman" w:cs="Times New Roman"/>
          <w:color w:val="000000"/>
          <w:spacing w:val="0"/>
          <w:w w:val="100"/>
          <w:position w:val="0"/>
        </w:rPr>
        <w:t>3,279</w:t>
      </w:r>
      <w:r>
        <w:rPr>
          <w:color w:val="000000"/>
          <w:spacing w:val="0"/>
          <w:w w:val="100"/>
          <w:position w:val="0"/>
        </w:rPr>
        <w:t>亿元，同比增 长</w:t>
      </w:r>
      <w:r>
        <w:rPr>
          <w:rFonts w:ascii="Times New Roman" w:eastAsia="Times New Roman" w:hAnsi="Times New Roman" w:cs="Times New Roman"/>
          <w:color w:val="000000"/>
          <w:spacing w:val="0"/>
          <w:w w:val="100"/>
          <w:position w:val="0"/>
        </w:rPr>
        <w:t>7.9%</w:t>
      </w:r>
      <w:r>
        <w:rPr>
          <w:color w:val="000000"/>
          <w:spacing w:val="0"/>
          <w:w w:val="100"/>
          <w:position w:val="0"/>
        </w:rPr>
        <w:t>；主营业务收入达到人民币</w:t>
      </w:r>
      <w:r>
        <w:rPr>
          <w:rFonts w:ascii="Times New Roman" w:eastAsia="Times New Roman" w:hAnsi="Times New Roman" w:cs="Times New Roman"/>
          <w:color w:val="000000"/>
          <w:spacing w:val="0"/>
          <w:w w:val="100"/>
          <w:position w:val="0"/>
        </w:rPr>
        <w:t>2,962</w:t>
      </w:r>
      <w:r>
        <w:rPr>
          <w:color w:val="000000"/>
          <w:spacing w:val="0"/>
          <w:w w:val="100"/>
          <w:position w:val="0"/>
        </w:rPr>
        <w:t>亿元，同比增长</w:t>
      </w:r>
      <w:r>
        <w:rPr>
          <w:rFonts w:ascii="Times New Roman" w:eastAsia="Times New Roman" w:hAnsi="Times New Roman" w:cs="Times New Roman"/>
          <w:color w:val="000000"/>
          <w:spacing w:val="0"/>
          <w:w w:val="100"/>
          <w:position w:val="0"/>
        </w:rPr>
        <w:t>7.4%</w:t>
      </w:r>
      <w:r>
        <w:rPr>
          <w:color w:val="000000"/>
          <w:spacing w:val="0"/>
          <w:w w:val="100"/>
          <w:position w:val="0"/>
        </w:rPr>
        <w:t>，增速较</w:t>
      </w:r>
      <w:r>
        <w:rPr>
          <w:rFonts w:ascii="Times New Roman" w:eastAsia="Times New Roman" w:hAnsi="Times New Roman" w:cs="Times New Roman"/>
          <w:color w:val="000000"/>
          <w:spacing w:val="0"/>
          <w:w w:val="100"/>
          <w:position w:val="0"/>
        </w:rPr>
        <w:t>2020</w:t>
      </w:r>
      <w:r>
        <w:rPr>
          <w:color w:val="000000"/>
          <w:spacing w:val="0"/>
          <w:w w:val="100"/>
          <w:position w:val="0"/>
        </w:rPr>
        <w:t>年全年提高</w:t>
      </w:r>
      <w:r>
        <w:rPr>
          <w:rFonts w:ascii="Times New Roman" w:eastAsia="Times New Roman" w:hAnsi="Times New Roman" w:cs="Times New Roman"/>
          <w:color w:val="000000"/>
          <w:spacing w:val="0"/>
          <w:w w:val="100"/>
          <w:position w:val="0"/>
        </w:rPr>
        <w:t>3.1</w:t>
      </w:r>
      <w:r>
        <w:rPr>
          <w:color w:val="000000"/>
          <w:spacing w:val="0"/>
          <w:w w:val="100"/>
          <w:position w:val="0"/>
        </w:rPr>
        <w:t>个百分 点。全年利润总额达到人民币</w:t>
      </w:r>
      <w:r>
        <w:rPr>
          <w:rFonts w:ascii="Times New Roman" w:eastAsia="Times New Roman" w:hAnsi="Times New Roman" w:cs="Times New Roman"/>
          <w:color w:val="000000"/>
          <w:spacing w:val="0"/>
          <w:w w:val="100"/>
          <w:position w:val="0"/>
        </w:rPr>
        <w:t>178</w:t>
      </w:r>
      <w:r>
        <w:rPr>
          <w:color w:val="000000"/>
          <w:spacing w:val="0"/>
          <w:w w:val="100"/>
          <w:position w:val="0"/>
        </w:rPr>
        <w:t>亿元，归属于母公司净利润达到人民币</w:t>
      </w:r>
      <w:r>
        <w:rPr>
          <w:rFonts w:ascii="Times New Roman" w:eastAsia="Times New Roman" w:hAnsi="Times New Roman" w:cs="Times New Roman"/>
          <w:color w:val="000000"/>
          <w:spacing w:val="0"/>
          <w:w w:val="100"/>
          <w:position w:val="0"/>
        </w:rPr>
        <w:t>63.1</w:t>
      </w:r>
      <w:r>
        <w:rPr>
          <w:color w:val="000000"/>
          <w:spacing w:val="0"/>
          <w:w w:val="100"/>
          <w:position w:val="0"/>
        </w:rPr>
        <w:t>亿元，同比增长</w:t>
      </w:r>
      <w:r>
        <w:rPr>
          <w:rFonts w:ascii="Times New Roman" w:eastAsia="Times New Roman" w:hAnsi="Times New Roman" w:cs="Times New Roman"/>
          <w:color w:val="000000"/>
          <w:spacing w:val="0"/>
          <w:w w:val="100"/>
          <w:position w:val="0"/>
        </w:rPr>
        <w:t>14.2%</w:t>
      </w:r>
      <w:r>
        <w:rPr>
          <w:color w:val="000000"/>
          <w:spacing w:val="0"/>
          <w:w w:val="100"/>
          <w:position w:val="0"/>
        </w:rPr>
        <w:t>， 增速较</w:t>
      </w:r>
      <w:r>
        <w:rPr>
          <w:rFonts w:ascii="Times New Roman" w:eastAsia="Times New Roman" w:hAnsi="Times New Roman" w:cs="Times New Roman"/>
          <w:color w:val="000000"/>
          <w:spacing w:val="0"/>
          <w:w w:val="100"/>
          <w:position w:val="0"/>
        </w:rPr>
        <w:t>2020</w:t>
      </w:r>
      <w:r>
        <w:rPr>
          <w:color w:val="000000"/>
          <w:spacing w:val="0"/>
          <w:w w:val="100"/>
          <w:position w:val="0"/>
        </w:rPr>
        <w:t>年全年提高</w:t>
      </w:r>
      <w:r>
        <w:rPr>
          <w:rFonts w:ascii="Times New Roman" w:eastAsia="Times New Roman" w:hAnsi="Times New Roman" w:cs="Times New Roman"/>
          <w:color w:val="000000"/>
          <w:spacing w:val="0"/>
          <w:w w:val="100"/>
          <w:position w:val="0"/>
        </w:rPr>
        <w:t>3.4</w:t>
      </w:r>
      <w:r>
        <w:rPr>
          <w:color w:val="000000"/>
          <w:spacing w:val="0"/>
          <w:w w:val="100"/>
          <w:position w:val="0"/>
        </w:rPr>
        <w:t>个百分点。</w:t>
      </w:r>
      <w:r>
        <w:rPr>
          <w:rFonts w:ascii="Times New Roman" w:eastAsia="Times New Roman" w:hAnsi="Times New Roman" w:cs="Times New Roman"/>
          <w:color w:val="000000"/>
          <w:spacing w:val="0"/>
          <w:w w:val="100"/>
          <w:position w:val="0"/>
        </w:rPr>
        <w:t>EBITDA</w:t>
      </w:r>
      <w:r>
        <w:rPr>
          <w:color w:val="000000"/>
          <w:spacing w:val="0"/>
          <w:w w:val="100"/>
          <w:position w:val="0"/>
        </w:rPr>
        <w:t>达到人民币</w:t>
      </w:r>
      <w:r>
        <w:rPr>
          <w:rFonts w:ascii="Times New Roman" w:eastAsia="Times New Roman" w:hAnsi="Times New Roman" w:cs="Times New Roman"/>
          <w:color w:val="000000"/>
          <w:spacing w:val="0"/>
          <w:w w:val="100"/>
          <w:position w:val="0"/>
        </w:rPr>
        <w:t>961</w:t>
      </w:r>
      <w:r>
        <w:rPr>
          <w:color w:val="000000"/>
          <w:spacing w:val="0"/>
          <w:w w:val="100"/>
          <w:position w:val="0"/>
        </w:rPr>
        <w:t>亿元，较去年同比提升</w:t>
      </w:r>
      <w:r>
        <w:rPr>
          <w:rFonts w:ascii="Times New Roman" w:eastAsia="Times New Roman" w:hAnsi="Times New Roman" w:cs="Times New Roman"/>
          <w:color w:val="000000"/>
          <w:spacing w:val="0"/>
          <w:w w:val="100"/>
          <w:position w:val="0"/>
        </w:rPr>
        <w:t>2.3%</w:t>
      </w:r>
      <w:r>
        <w:rPr>
          <w:color w:val="000000"/>
          <w:spacing w:val="0"/>
          <w:w w:val="100"/>
          <w:position w:val="0"/>
        </w:rPr>
        <w:t>。</w:t>
      </w:r>
    </w:p>
    <w:p>
      <w:pPr>
        <w:pStyle w:val="Style5"/>
        <w:keepNext w:val="0"/>
        <w:keepLines w:val="0"/>
        <w:widowControl w:val="0"/>
        <w:shd w:val="clear" w:color="auto" w:fill="auto"/>
        <w:bidi w:val="0"/>
        <w:spacing w:before="0" w:after="0" w:line="360" w:lineRule="exact"/>
        <w:ind w:left="140" w:right="0" w:firstLine="420"/>
        <w:jc w:val="both"/>
      </w:pPr>
      <w:r>
        <w:rPr>
          <w:color w:val="000000"/>
          <w:spacing w:val="0"/>
          <w:w w:val="100"/>
          <w:position w:val="0"/>
        </w:rPr>
        <w:t>公司积极践行绿色低碳发展，网络共建共享成效显现。</w:t>
      </w:r>
      <w:r>
        <w:rPr>
          <w:rFonts w:ascii="Times New Roman" w:eastAsia="Times New Roman" w:hAnsi="Times New Roman" w:cs="Times New Roman"/>
          <w:color w:val="000000"/>
          <w:spacing w:val="0"/>
          <w:w w:val="100"/>
          <w:position w:val="0"/>
        </w:rPr>
        <w:t>2021</w:t>
      </w:r>
      <w:r>
        <w:rPr>
          <w:color w:val="000000"/>
          <w:spacing w:val="0"/>
          <w:w w:val="100"/>
          <w:position w:val="0"/>
        </w:rPr>
        <w:t>年资本开支为人民币</w:t>
      </w:r>
      <w:r>
        <w:rPr>
          <w:rFonts w:ascii="Times New Roman" w:eastAsia="Times New Roman" w:hAnsi="Times New Roman" w:cs="Times New Roman"/>
          <w:color w:val="000000"/>
          <w:spacing w:val="0"/>
          <w:w w:val="100"/>
          <w:position w:val="0"/>
        </w:rPr>
        <w:t>690</w:t>
      </w:r>
      <w:r>
        <w:rPr>
          <w:color w:val="000000"/>
          <w:spacing w:val="0"/>
          <w:w w:val="100"/>
          <w:position w:val="0"/>
        </w:rPr>
        <w:t>亿元，低于 全年</w:t>
      </w:r>
      <w:r>
        <w:rPr>
          <w:rFonts w:ascii="Times New Roman" w:eastAsia="Times New Roman" w:hAnsi="Times New Roman" w:cs="Times New Roman"/>
          <w:color w:val="000000"/>
          <w:spacing w:val="0"/>
          <w:w w:val="100"/>
          <w:position w:val="0"/>
        </w:rPr>
        <w:t>700</w:t>
      </w:r>
      <w:r>
        <w:rPr>
          <w:color w:val="000000"/>
          <w:spacing w:val="0"/>
          <w:w w:val="100"/>
          <w:position w:val="0"/>
        </w:rPr>
        <w:t>亿元指引，投资效能进一步改善。全年自由现金流持续充沛，达到人民币</w:t>
      </w:r>
      <w:r>
        <w:rPr>
          <w:rFonts w:ascii="Times New Roman" w:eastAsia="Times New Roman" w:hAnsi="Times New Roman" w:cs="Times New Roman"/>
          <w:color w:val="000000"/>
          <w:spacing w:val="0"/>
          <w:w w:val="100"/>
          <w:position w:val="0"/>
        </w:rPr>
        <w:t>430</w:t>
      </w:r>
      <w:r>
        <w:rPr>
          <w:color w:val="000000"/>
          <w:spacing w:val="0"/>
          <w:w w:val="100"/>
          <w:position w:val="0"/>
        </w:rPr>
        <w:t>亿元，财务实 力进一步夯实。</w:t>
      </w:r>
    </w:p>
    <w:p>
      <w:pPr>
        <w:pStyle w:val="Style5"/>
        <w:keepNext w:val="0"/>
        <w:keepLines w:val="0"/>
        <w:widowControl w:val="0"/>
        <w:shd w:val="clear" w:color="auto" w:fill="auto"/>
        <w:bidi w:val="0"/>
        <w:spacing w:before="0" w:line="360" w:lineRule="exact"/>
        <w:ind w:left="140" w:right="0" w:firstLine="420"/>
        <w:jc w:val="both"/>
      </w:pPr>
      <w:r>
        <w:rPr>
          <w:color w:val="000000"/>
          <w:spacing w:val="0"/>
          <w:w w:val="100"/>
          <w:position w:val="0"/>
        </w:rPr>
        <w:t>公司高度重视股东回报。经充分考虑公司的良好经营发展和强劲自由现金流，董事会建议派发年 度末期股息每股</w:t>
      </w:r>
      <w:r>
        <w:rPr>
          <w:rFonts w:ascii="Times New Roman" w:eastAsia="Times New Roman" w:hAnsi="Times New Roman" w:cs="Times New Roman"/>
          <w:color w:val="000000"/>
          <w:spacing w:val="0"/>
          <w:w w:val="100"/>
          <w:position w:val="0"/>
        </w:rPr>
        <w:t>0.0391</w:t>
      </w:r>
      <w:r>
        <w:rPr>
          <w:color w:val="000000"/>
          <w:spacing w:val="0"/>
          <w:w w:val="100"/>
          <w:position w:val="0"/>
        </w:rPr>
        <w:t>元（含税），连同已派发的中期股息每股</w:t>
      </w:r>
      <w:r>
        <w:rPr>
          <w:rFonts w:ascii="Times New Roman" w:eastAsia="Times New Roman" w:hAnsi="Times New Roman" w:cs="Times New Roman"/>
          <w:color w:val="000000"/>
          <w:spacing w:val="0"/>
          <w:w w:val="100"/>
          <w:position w:val="0"/>
        </w:rPr>
        <w:t>0.0488</w:t>
      </w:r>
      <w:r>
        <w:rPr>
          <w:color w:val="000000"/>
          <w:spacing w:val="0"/>
          <w:w w:val="100"/>
          <w:position w:val="0"/>
        </w:rPr>
        <w:t>元（含税），全年股息合计 每股</w:t>
      </w:r>
      <w:r>
        <w:rPr>
          <w:rFonts w:ascii="Times New Roman" w:eastAsia="Times New Roman" w:hAnsi="Times New Roman" w:cs="Times New Roman"/>
          <w:color w:val="000000"/>
          <w:spacing w:val="0"/>
          <w:w w:val="100"/>
          <w:position w:val="0"/>
        </w:rPr>
        <w:t>0.0879</w:t>
      </w:r>
      <w:r>
        <w:rPr>
          <w:color w:val="000000"/>
          <w:spacing w:val="0"/>
          <w:w w:val="100"/>
          <w:position w:val="0"/>
        </w:rPr>
        <w:t>元（含税），同比提升</w:t>
      </w:r>
      <w:r>
        <w:rPr>
          <w:rFonts w:ascii="Times New Roman" w:eastAsia="Times New Roman" w:hAnsi="Times New Roman" w:cs="Times New Roman"/>
          <w:color w:val="000000"/>
          <w:spacing w:val="0"/>
          <w:w w:val="100"/>
          <w:position w:val="0"/>
        </w:rPr>
        <w:t>31.4%</w:t>
      </w:r>
      <w:r>
        <w:rPr>
          <w:color w:val="000000"/>
          <w:spacing w:val="0"/>
          <w:w w:val="100"/>
          <w:position w:val="0"/>
        </w:rPr>
        <w:t>。未来公司将继续努力提升盈利能力和股东回报。</w:t>
      </w:r>
    </w:p>
    <w:p>
      <w:pPr>
        <w:pStyle w:val="Style16"/>
        <w:keepNext/>
        <w:keepLines/>
        <w:widowControl w:val="0"/>
        <w:shd w:val="clear" w:color="auto" w:fill="auto"/>
        <w:tabs>
          <w:tab w:pos="1121" w:val="left"/>
        </w:tabs>
        <w:bidi w:val="0"/>
        <w:spacing w:before="0" w:line="362" w:lineRule="exact"/>
        <w:ind w:left="0" w:right="0" w:firstLine="560"/>
        <w:jc w:val="left"/>
      </w:pPr>
      <w:bookmarkStart w:id="75" w:name="bookmark75"/>
      <w:bookmarkStart w:id="76" w:name="bookmark76"/>
      <w:bookmarkStart w:id="77" w:name="bookmark77"/>
      <w:bookmarkStart w:id="78" w:name="bookmark78"/>
      <w:r>
        <w:rPr>
          <w:color w:val="000000"/>
          <w:spacing w:val="0"/>
          <w:w w:val="100"/>
          <w:position w:val="0"/>
        </w:rPr>
        <w:t>（</w:t>
      </w:r>
      <w:bookmarkEnd w:id="77"/>
      <w:r>
        <w:rPr>
          <w:color w:val="000000"/>
          <w:spacing w:val="0"/>
          <w:w w:val="100"/>
          <w:position w:val="0"/>
        </w:rPr>
        <w:t>二）</w:t>
        <w:tab/>
        <w:t>强基固本，练好“基本功”</w:t>
      </w:r>
      <w:bookmarkEnd w:id="75"/>
      <w:bookmarkEnd w:id="76"/>
      <w:bookmarkEnd w:id="78"/>
    </w:p>
    <w:p>
      <w:pPr>
        <w:pStyle w:val="Style5"/>
        <w:keepNext w:val="0"/>
        <w:keepLines w:val="0"/>
        <w:widowControl w:val="0"/>
        <w:shd w:val="clear" w:color="auto" w:fill="auto"/>
        <w:bidi w:val="0"/>
        <w:spacing w:before="0" w:line="365" w:lineRule="exact"/>
        <w:ind w:left="140" w:right="0" w:firstLine="420"/>
        <w:jc w:val="both"/>
      </w:pPr>
      <w:r>
        <w:rPr>
          <w:color w:val="000000"/>
          <w:spacing w:val="0"/>
          <w:w w:val="100"/>
          <w:position w:val="0"/>
        </w:rPr>
        <w:t>公司始终坚持将“基于规模的价值经营”作为基本导向，量质并重推动基础业务发展。着力打造 精品网络，</w:t>
      </w:r>
      <w:r>
        <w:rPr>
          <w:rFonts w:ascii="Times New Roman" w:eastAsia="Times New Roman" w:hAnsi="Times New Roman" w:cs="Times New Roman"/>
          <w:color w:val="000000"/>
          <w:spacing w:val="0"/>
          <w:w w:val="100"/>
          <w:position w:val="0"/>
        </w:rPr>
        <w:t>5G</w:t>
      </w:r>
      <w:r>
        <w:rPr>
          <w:color w:val="000000"/>
          <w:spacing w:val="0"/>
          <w:w w:val="100"/>
          <w:position w:val="0"/>
        </w:rPr>
        <w:t>网络规模及覆盖实现与友商相当，网络运营效能持续提升。一年来，公司基础业务企 稳回升，基础设施能力进步卓有成效，高质量发展根基不断夯实。</w:t>
      </w:r>
    </w:p>
    <w:p>
      <w:pPr>
        <w:pStyle w:val="Style16"/>
        <w:keepNext/>
        <w:keepLines/>
        <w:widowControl w:val="0"/>
        <w:shd w:val="clear" w:color="auto" w:fill="auto"/>
        <w:bidi w:val="0"/>
        <w:spacing w:before="0" w:line="362" w:lineRule="exact"/>
        <w:ind w:left="0" w:right="0" w:firstLine="560"/>
        <w:jc w:val="left"/>
      </w:pPr>
      <w:bookmarkStart w:id="79" w:name="bookmark79"/>
      <w:bookmarkStart w:id="80" w:name="bookmark80"/>
      <w:bookmarkStart w:id="81" w:name="bookmark81"/>
      <w:r>
        <w:rPr>
          <w:color w:val="000000"/>
          <w:spacing w:val="0"/>
          <w:w w:val="100"/>
          <w:position w:val="0"/>
        </w:rPr>
        <w:t>质量为先、规模发展，移动业务再上新台阶</w:t>
      </w:r>
      <w:bookmarkEnd w:id="79"/>
      <w:bookmarkEnd w:id="80"/>
      <w:bookmarkEnd w:id="81"/>
    </w:p>
    <w:p>
      <w:pPr>
        <w:pStyle w:val="Style5"/>
        <w:keepNext w:val="0"/>
        <w:keepLines w:val="0"/>
        <w:widowControl w:val="0"/>
        <w:shd w:val="clear" w:color="auto" w:fill="auto"/>
        <w:bidi w:val="0"/>
        <w:spacing w:before="0" w:after="0" w:line="365" w:lineRule="exact"/>
        <w:ind w:left="140" w:right="0" w:firstLine="420"/>
        <w:jc w:val="both"/>
      </w:pPr>
      <w:r>
        <w:rPr>
          <w:color w:val="000000"/>
          <w:spacing w:val="0"/>
          <w:w w:val="100"/>
          <w:position w:val="0"/>
        </w:rPr>
        <w:t>公司将价值经营作为业务发展的重中之重。紧扣</w:t>
      </w:r>
      <w:r>
        <w:rPr>
          <w:rFonts w:ascii="Times New Roman" w:eastAsia="Times New Roman" w:hAnsi="Times New Roman" w:cs="Times New Roman"/>
          <w:color w:val="000000"/>
          <w:spacing w:val="0"/>
          <w:w w:val="100"/>
          <w:position w:val="0"/>
        </w:rPr>
        <w:t>5G</w:t>
      </w:r>
      <w:r>
        <w:rPr>
          <w:color w:val="000000"/>
          <w:spacing w:val="0"/>
          <w:w w:val="100"/>
          <w:position w:val="0"/>
        </w:rPr>
        <w:t>消费数字化、线上化、融合化的发展趋势， 持续深化</w:t>
      </w:r>
      <w:r>
        <w:rPr>
          <w:rFonts w:ascii="Times New Roman" w:eastAsia="Times New Roman" w:hAnsi="Times New Roman" w:cs="Times New Roman"/>
          <w:color w:val="000000"/>
          <w:spacing w:val="0"/>
          <w:w w:val="100"/>
          <w:position w:val="0"/>
        </w:rPr>
        <w:t>5G</w:t>
      </w:r>
      <w:r>
        <w:rPr>
          <w:color w:val="000000"/>
          <w:spacing w:val="0"/>
          <w:w w:val="100"/>
          <w:position w:val="0"/>
        </w:rPr>
        <w:t>引领，带动移动业务价值、规模双提升。坚持精细化经营，深化用户精准切片和分类施 策，加快存量用户特别是中高端用户升迁</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 xml:space="preserve">完善数字化运营体系，以创新驱动集约化、平台化智 </w:t>
      </w:r>
      <w:r>
        <w:rPr>
          <w:color w:val="000000"/>
          <w:spacing w:val="0"/>
          <w:w w:val="100"/>
          <w:position w:val="0"/>
        </w:rPr>
        <w:t>慧运营；不断优化渠道布局，线上线下融合的新型渠道体系更加强健，联通</w:t>
      </w:r>
      <w:r>
        <w:rPr>
          <w:rFonts w:ascii="Times New Roman" w:eastAsia="Times New Roman" w:hAnsi="Times New Roman" w:cs="Times New Roman"/>
          <w:color w:val="000000"/>
          <w:spacing w:val="0"/>
          <w:w w:val="100"/>
          <w:position w:val="0"/>
        </w:rPr>
        <w:t>APP</w:t>
      </w:r>
      <w:r>
        <w:rPr>
          <w:color w:val="000000"/>
          <w:spacing w:val="0"/>
          <w:w w:val="100"/>
          <w:position w:val="0"/>
        </w:rPr>
        <w:t>品牌全面焕新，率先 实现“一键通办”，月活用户超过</w:t>
      </w:r>
      <w:r>
        <w:rPr>
          <w:rFonts w:ascii="Times New Roman" w:eastAsia="Times New Roman" w:hAnsi="Times New Roman" w:cs="Times New Roman"/>
          <w:color w:val="000000"/>
          <w:spacing w:val="0"/>
          <w:w w:val="100"/>
          <w:position w:val="0"/>
        </w:rPr>
        <w:t>1.2</w:t>
      </w:r>
      <w:r>
        <w:rPr>
          <w:color w:val="000000"/>
          <w:spacing w:val="0"/>
          <w:w w:val="100"/>
          <w:position w:val="0"/>
        </w:rPr>
        <w:t>亿户，</w:t>
      </w:r>
      <w:r>
        <w:rPr>
          <w:rFonts w:ascii="Times New Roman" w:eastAsia="Times New Roman" w:hAnsi="Times New Roman" w:cs="Times New Roman"/>
          <w:color w:val="000000"/>
          <w:spacing w:val="0"/>
          <w:w w:val="100"/>
          <w:position w:val="0"/>
        </w:rPr>
        <w:t>OMO</w:t>
      </w:r>
      <w:r>
        <w:rPr>
          <w:color w:val="000000"/>
          <w:spacing w:val="0"/>
          <w:w w:val="100"/>
          <w:position w:val="0"/>
        </w:rPr>
        <w:t>新型渠道体系初步建成；加快基础业务产品创新 迭代，推进“平台</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+X</w:t>
      </w:r>
      <w:r>
        <w:rPr>
          <w:color w:val="000000"/>
          <w:spacing w:val="0"/>
          <w:w w:val="100"/>
          <w:position w:val="0"/>
        </w:rPr>
        <w:t>”</w:t>
      </w:r>
      <w:r>
        <w:rPr>
          <w:color w:val="000000"/>
          <w:spacing w:val="0"/>
          <w:w w:val="100"/>
          <w:position w:val="0"/>
        </w:rPr>
        <w:t>基础创新产品布局，加强产品内容、权益合作，视频彩铃、通信助理用户 超千万；协同行业友商及产业链上下游，积极开展</w:t>
      </w:r>
      <w:r>
        <w:rPr>
          <w:rFonts w:ascii="Times New Roman" w:eastAsia="Times New Roman" w:hAnsi="Times New Roman" w:cs="Times New Roman"/>
          <w:color w:val="000000"/>
          <w:spacing w:val="0"/>
          <w:w w:val="100"/>
          <w:position w:val="0"/>
        </w:rPr>
        <w:t>5G</w:t>
      </w:r>
      <w:r>
        <w:rPr>
          <w:color w:val="000000"/>
          <w:spacing w:val="0"/>
          <w:w w:val="100"/>
          <w:position w:val="0"/>
        </w:rPr>
        <w:t>消息友好用户体验，开拓</w:t>
      </w:r>
      <w:r>
        <w:rPr>
          <w:rFonts w:ascii="Times New Roman" w:eastAsia="Times New Roman" w:hAnsi="Times New Roman" w:cs="Times New Roman"/>
          <w:color w:val="000000"/>
          <w:spacing w:val="0"/>
          <w:w w:val="100"/>
          <w:position w:val="0"/>
        </w:rPr>
        <w:t>5G</w:t>
      </w:r>
      <w:r>
        <w:rPr>
          <w:color w:val="000000"/>
          <w:spacing w:val="0"/>
          <w:w w:val="100"/>
          <w:position w:val="0"/>
        </w:rPr>
        <w:t>生态新蓝海。</w:t>
      </w:r>
    </w:p>
    <w:p>
      <w:pPr>
        <w:pStyle w:val="Style5"/>
        <w:keepNext w:val="0"/>
        <w:keepLines w:val="0"/>
        <w:widowControl w:val="0"/>
        <w:shd w:val="clear" w:color="auto" w:fill="auto"/>
        <w:bidi w:val="0"/>
        <w:spacing w:before="0" w:after="120" w:line="361" w:lineRule="exact"/>
        <w:ind w:left="14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年，移动主营业务收入达到</w:t>
      </w:r>
      <w:r>
        <w:rPr>
          <w:rFonts w:ascii="Times New Roman" w:eastAsia="Times New Roman" w:hAnsi="Times New Roman" w:cs="Times New Roman"/>
          <w:color w:val="000000"/>
          <w:spacing w:val="0"/>
          <w:w w:val="100"/>
          <w:position w:val="0"/>
        </w:rPr>
        <w:t>1,641</w:t>
      </w:r>
      <w:r>
        <w:rPr>
          <w:color w:val="000000"/>
          <w:spacing w:val="0"/>
          <w:w w:val="100"/>
          <w:position w:val="0"/>
        </w:rPr>
        <w:t>亿元，同比提升</w:t>
      </w:r>
      <w:r>
        <w:rPr>
          <w:rFonts w:ascii="Times New Roman" w:eastAsia="Times New Roman" w:hAnsi="Times New Roman" w:cs="Times New Roman"/>
          <w:color w:val="000000"/>
          <w:spacing w:val="0"/>
          <w:w w:val="100"/>
          <w:position w:val="0"/>
        </w:rPr>
        <w:t>4.8%</w:t>
      </w:r>
      <w:r>
        <w:rPr>
          <w:color w:val="000000"/>
          <w:spacing w:val="0"/>
          <w:w w:val="100"/>
          <w:position w:val="0"/>
        </w:rPr>
        <w:t>，移动出账用户净增达到</w:t>
      </w:r>
      <w:r>
        <w:rPr>
          <w:rFonts w:ascii="Times New Roman" w:eastAsia="Times New Roman" w:hAnsi="Times New Roman" w:cs="Times New Roman"/>
          <w:color w:val="000000"/>
          <w:spacing w:val="0"/>
          <w:w w:val="100"/>
          <w:position w:val="0"/>
        </w:rPr>
        <w:t>1,130</w:t>
      </w:r>
      <w:r>
        <w:rPr>
          <w:color w:val="000000"/>
          <w:spacing w:val="0"/>
          <w:w w:val="100"/>
          <w:position w:val="0"/>
        </w:rPr>
        <w:t>万户， 大幅优于</w:t>
      </w:r>
      <w:r>
        <w:rPr>
          <w:rFonts w:ascii="Times New Roman" w:eastAsia="Times New Roman" w:hAnsi="Times New Roman" w:cs="Times New Roman"/>
          <w:color w:val="000000"/>
          <w:spacing w:val="0"/>
          <w:w w:val="100"/>
          <w:position w:val="0"/>
        </w:rPr>
        <w:t>2020</w:t>
      </w:r>
      <w:r>
        <w:rPr>
          <w:color w:val="000000"/>
          <w:spacing w:val="0"/>
          <w:w w:val="100"/>
          <w:position w:val="0"/>
        </w:rPr>
        <w:t>年的净减</w:t>
      </w:r>
      <w:r>
        <w:rPr>
          <w:rFonts w:ascii="Times New Roman" w:eastAsia="Times New Roman" w:hAnsi="Times New Roman" w:cs="Times New Roman"/>
          <w:color w:val="000000"/>
          <w:spacing w:val="0"/>
          <w:w w:val="100"/>
          <w:position w:val="0"/>
        </w:rPr>
        <w:t>1,266</w:t>
      </w:r>
      <w:r>
        <w:rPr>
          <w:color w:val="000000"/>
          <w:spacing w:val="0"/>
          <w:w w:val="100"/>
          <w:position w:val="0"/>
        </w:rPr>
        <w:t>万户。用户价值持续优化，移动用户</w:t>
      </w:r>
      <w:r>
        <w:rPr>
          <w:rFonts w:ascii="Times New Roman" w:eastAsia="Times New Roman" w:hAnsi="Times New Roman" w:cs="Times New Roman"/>
          <w:color w:val="000000"/>
          <w:spacing w:val="0"/>
          <w:w w:val="100"/>
          <w:position w:val="0"/>
        </w:rPr>
        <w:t>ARPU</w:t>
      </w:r>
      <w:r>
        <w:rPr>
          <w:color w:val="000000"/>
          <w:spacing w:val="0"/>
          <w:w w:val="100"/>
          <w:position w:val="0"/>
        </w:rPr>
        <w:t>达到</w:t>
      </w:r>
      <w:r>
        <w:rPr>
          <w:rFonts w:ascii="Times New Roman" w:eastAsia="Times New Roman" w:hAnsi="Times New Roman" w:cs="Times New Roman"/>
          <w:color w:val="000000"/>
          <w:spacing w:val="0"/>
          <w:w w:val="100"/>
          <w:position w:val="0"/>
        </w:rPr>
        <w:t>43.9</w:t>
      </w:r>
      <w:r>
        <w:rPr>
          <w:color w:val="000000"/>
          <w:spacing w:val="0"/>
          <w:w w:val="100"/>
          <w:position w:val="0"/>
        </w:rPr>
        <w:t>元，同比提升</w:t>
      </w:r>
      <w:r>
        <w:rPr>
          <w:rFonts w:ascii="Times New Roman" w:eastAsia="Times New Roman" w:hAnsi="Times New Roman" w:cs="Times New Roman"/>
          <w:color w:val="000000"/>
          <w:spacing w:val="0"/>
          <w:w w:val="100"/>
          <w:position w:val="0"/>
        </w:rPr>
        <w:t>4.3%</w:t>
      </w:r>
      <w:r>
        <w:rPr>
          <w:color w:val="000000"/>
          <w:spacing w:val="0"/>
          <w:w w:val="100"/>
          <w:position w:val="0"/>
        </w:rPr>
        <w:t>。 流量释放成效显著，手机上网总流量增长</w:t>
      </w:r>
      <w:r>
        <w:rPr>
          <w:rFonts w:ascii="Times New Roman" w:eastAsia="Times New Roman" w:hAnsi="Times New Roman" w:cs="Times New Roman"/>
          <w:color w:val="000000"/>
          <w:spacing w:val="0"/>
          <w:w w:val="100"/>
          <w:position w:val="0"/>
        </w:rPr>
        <w:t>32.2%</w:t>
      </w:r>
      <w:r>
        <w:rPr>
          <w:color w:val="000000"/>
          <w:spacing w:val="0"/>
          <w:w w:val="100"/>
          <w:position w:val="0"/>
        </w:rPr>
        <w:t>，手机用户月户均数据流量达到约</w:t>
      </w:r>
      <w:r>
        <w:rPr>
          <w:rFonts w:ascii="Times New Roman" w:eastAsia="Times New Roman" w:hAnsi="Times New Roman" w:cs="Times New Roman"/>
          <w:color w:val="000000"/>
          <w:spacing w:val="0"/>
          <w:w w:val="100"/>
          <w:position w:val="0"/>
        </w:rPr>
        <w:t>12.7GB</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业务 加速发展，公司</w:t>
      </w:r>
      <w:r>
        <w:rPr>
          <w:rFonts w:ascii="Times New Roman" w:eastAsia="Times New Roman" w:hAnsi="Times New Roman" w:cs="Times New Roman"/>
          <w:color w:val="000000"/>
          <w:spacing w:val="0"/>
          <w:w w:val="100"/>
          <w:position w:val="0"/>
        </w:rPr>
        <w:t>5G</w:t>
      </w:r>
      <w:r>
        <w:rPr>
          <w:color w:val="000000"/>
          <w:spacing w:val="0"/>
          <w:w w:val="100"/>
          <w:position w:val="0"/>
        </w:rPr>
        <w:t>套餐用户达到</w:t>
      </w:r>
      <w:r>
        <w:rPr>
          <w:rFonts w:ascii="Times New Roman" w:eastAsia="Times New Roman" w:hAnsi="Times New Roman" w:cs="Times New Roman"/>
          <w:color w:val="000000"/>
          <w:spacing w:val="0"/>
          <w:w w:val="100"/>
          <w:position w:val="0"/>
        </w:rPr>
        <w:t>1.55</w:t>
      </w:r>
      <w:r>
        <w:rPr>
          <w:color w:val="000000"/>
          <w:spacing w:val="0"/>
          <w:w w:val="100"/>
          <w:position w:val="0"/>
        </w:rPr>
        <w:t>亿户，</w:t>
      </w:r>
      <w:r>
        <w:rPr>
          <w:rFonts w:ascii="Times New Roman" w:eastAsia="Times New Roman" w:hAnsi="Times New Roman" w:cs="Times New Roman"/>
          <w:color w:val="000000"/>
          <w:spacing w:val="0"/>
          <w:w w:val="100"/>
          <w:position w:val="0"/>
        </w:rPr>
        <w:t>5G</w:t>
      </w:r>
      <w:r>
        <w:rPr>
          <w:color w:val="000000"/>
          <w:spacing w:val="0"/>
          <w:w w:val="100"/>
          <w:position w:val="0"/>
        </w:rPr>
        <w:t>套餐用户渗透率超越行业平均，达到</w:t>
      </w:r>
      <w:r>
        <w:rPr>
          <w:rFonts w:ascii="Times New Roman" w:eastAsia="Times New Roman" w:hAnsi="Times New Roman" w:cs="Times New Roman"/>
          <w:color w:val="000000"/>
          <w:spacing w:val="0"/>
          <w:w w:val="100"/>
          <w:position w:val="0"/>
        </w:rPr>
        <w:t>48.9%</w:t>
      </w:r>
      <w:r>
        <w:rPr>
          <w:color w:val="000000"/>
          <w:spacing w:val="0"/>
          <w:w w:val="100"/>
          <w:position w:val="0"/>
        </w:rPr>
        <w:t>。</w:t>
      </w:r>
    </w:p>
    <w:p>
      <w:pPr>
        <w:pStyle w:val="Style16"/>
        <w:keepNext/>
        <w:keepLines/>
        <w:widowControl w:val="0"/>
        <w:shd w:val="clear" w:color="auto" w:fill="auto"/>
        <w:bidi w:val="0"/>
        <w:spacing w:before="0" w:after="120" w:line="361" w:lineRule="exact"/>
        <w:ind w:left="0" w:right="0" w:firstLine="560"/>
        <w:jc w:val="left"/>
      </w:pPr>
      <w:bookmarkStart w:id="82" w:name="bookmark82"/>
      <w:bookmarkStart w:id="83" w:name="bookmark83"/>
      <w:bookmarkStart w:id="84" w:name="bookmark84"/>
      <w:r>
        <w:rPr>
          <w:color w:val="000000"/>
          <w:spacing w:val="0"/>
          <w:w w:val="100"/>
          <w:position w:val="0"/>
        </w:rPr>
        <w:t>“三千兆”融合引领，固网宽带跑出加速度</w:t>
      </w:r>
      <w:bookmarkEnd w:id="82"/>
      <w:bookmarkEnd w:id="83"/>
      <w:bookmarkEnd w:id="84"/>
    </w:p>
    <w:p>
      <w:pPr>
        <w:pStyle w:val="Style5"/>
        <w:keepNext w:val="0"/>
        <w:keepLines w:val="0"/>
        <w:widowControl w:val="0"/>
        <w:shd w:val="clear" w:color="auto" w:fill="auto"/>
        <w:bidi w:val="0"/>
        <w:spacing w:before="0" w:after="0" w:line="361" w:lineRule="exact"/>
        <w:ind w:left="140" w:right="0" w:firstLine="42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5G</w:t>
      </w:r>
      <w:r>
        <w:rPr>
          <w:color w:val="000000"/>
          <w:spacing w:val="0"/>
          <w:w w:val="100"/>
          <w:position w:val="0"/>
        </w:rPr>
        <w:t>引领“三千兆”融合化为核心促进宽移融合发展。面对</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宽带、</w:t>
      </w:r>
      <w:r>
        <w:rPr>
          <w:rFonts w:ascii="Times New Roman" w:eastAsia="Times New Roman" w:hAnsi="Times New Roman" w:cs="Times New Roman"/>
          <w:color w:val="000000"/>
          <w:spacing w:val="0"/>
          <w:w w:val="100"/>
          <w:position w:val="0"/>
        </w:rPr>
        <w:t xml:space="preserve">Wi-Fi </w:t>
      </w:r>
      <w:r>
        <w:rPr>
          <w:color w:val="000000"/>
          <w:spacing w:val="0"/>
          <w:w w:val="100"/>
          <w:position w:val="0"/>
        </w:rPr>
        <w:t>“三千兆” 升级机遇期，公司紧抓技术换代窗口，以连接、平台和应用的“全网融合”为策略主线，夯实宽移融 合底座，满足消费场景化、智能化、多元化需求，体系化推进宽带及智慧家庭业务发展。北方坚持强 宽促移，加快</w:t>
      </w:r>
      <w:r>
        <w:rPr>
          <w:rFonts w:ascii="Times New Roman" w:eastAsia="Times New Roman" w:hAnsi="Times New Roman" w:cs="Times New Roman"/>
          <w:color w:val="000000"/>
          <w:spacing w:val="0"/>
          <w:w w:val="100"/>
          <w:position w:val="0"/>
        </w:rPr>
        <w:t>FTTR</w:t>
      </w:r>
      <w:r>
        <w:rPr>
          <w:color w:val="000000"/>
          <w:spacing w:val="0"/>
          <w:w w:val="100"/>
          <w:position w:val="0"/>
        </w:rPr>
        <w:t>推广，有效填充视频、监控等智慧家庭核心应用，拉动用户价值提升；南方紧抓 发展新契机，以移带宽、移宽协同，加快市场规模突破。联通智家工程师与超</w:t>
      </w:r>
      <w:r>
        <w:rPr>
          <w:rFonts w:ascii="Times New Roman" w:eastAsia="Times New Roman" w:hAnsi="Times New Roman" w:cs="Times New Roman"/>
          <w:color w:val="000000"/>
          <w:spacing w:val="0"/>
          <w:w w:val="100"/>
          <w:position w:val="0"/>
        </w:rPr>
        <w:t>8,000</w:t>
      </w:r>
      <w:r>
        <w:rPr>
          <w:color w:val="000000"/>
          <w:spacing w:val="0"/>
          <w:w w:val="100"/>
          <w:position w:val="0"/>
        </w:rPr>
        <w:t xml:space="preserve">万宽带用户通过 </w:t>
      </w:r>
      <w:r>
        <w:rPr>
          <w:rFonts w:ascii="Times New Roman" w:eastAsia="Times New Roman" w:hAnsi="Times New Roman" w:cs="Times New Roman"/>
          <w:color w:val="000000"/>
          <w:spacing w:val="0"/>
          <w:w w:val="100"/>
          <w:position w:val="0"/>
        </w:rPr>
        <w:t xml:space="preserve">APP </w:t>
      </w:r>
      <w:r>
        <w:rPr>
          <w:color w:val="000000"/>
          <w:spacing w:val="0"/>
          <w:w w:val="100"/>
          <w:position w:val="0"/>
        </w:rPr>
        <w:t>一键对接，快捷响应，进一步提升高品质服务竞争力。</w:t>
      </w:r>
    </w:p>
    <w:p>
      <w:pPr>
        <w:pStyle w:val="Style5"/>
        <w:keepNext w:val="0"/>
        <w:keepLines w:val="0"/>
        <w:widowControl w:val="0"/>
        <w:shd w:val="clear" w:color="auto" w:fill="auto"/>
        <w:bidi w:val="0"/>
        <w:spacing w:before="0" w:after="120" w:line="361" w:lineRule="exact"/>
        <w:ind w:left="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年，公司宽带接入收入同比增长</w:t>
      </w:r>
      <w:r>
        <w:rPr>
          <w:rFonts w:ascii="Times New Roman" w:eastAsia="Times New Roman" w:hAnsi="Times New Roman" w:cs="Times New Roman"/>
          <w:color w:val="000000"/>
          <w:spacing w:val="0"/>
          <w:w w:val="100"/>
          <w:position w:val="0"/>
        </w:rPr>
        <w:t>5.2%</w:t>
      </w:r>
      <w:r>
        <w:rPr>
          <w:color w:val="000000"/>
          <w:spacing w:val="0"/>
          <w:w w:val="100"/>
          <w:position w:val="0"/>
        </w:rPr>
        <w:t>，达到人民币</w:t>
      </w:r>
      <w:r>
        <w:rPr>
          <w:rFonts w:ascii="Times New Roman" w:eastAsia="Times New Roman" w:hAnsi="Times New Roman" w:cs="Times New Roman"/>
          <w:color w:val="000000"/>
          <w:spacing w:val="0"/>
          <w:w w:val="100"/>
          <w:position w:val="0"/>
        </w:rPr>
        <w:t>448</w:t>
      </w:r>
      <w:r>
        <w:rPr>
          <w:color w:val="000000"/>
          <w:spacing w:val="0"/>
          <w:w w:val="100"/>
          <w:position w:val="0"/>
        </w:rPr>
        <w:t>亿元。固网宽带用户全年净增</w:t>
      </w:r>
      <w:r>
        <w:rPr>
          <w:rFonts w:ascii="Times New Roman" w:eastAsia="Times New Roman" w:hAnsi="Times New Roman" w:cs="Times New Roman"/>
          <w:color w:val="000000"/>
          <w:spacing w:val="0"/>
          <w:w w:val="100"/>
          <w:position w:val="0"/>
        </w:rPr>
        <w:t xml:space="preserve">895 </w:t>
      </w:r>
      <w:r>
        <w:rPr>
          <w:color w:val="000000"/>
          <w:spacing w:val="0"/>
          <w:w w:val="100"/>
          <w:position w:val="0"/>
        </w:rPr>
        <w:t>万户，总数达到</w:t>
      </w:r>
      <w:r>
        <w:rPr>
          <w:rFonts w:ascii="Times New Roman" w:eastAsia="Times New Roman" w:hAnsi="Times New Roman" w:cs="Times New Roman"/>
          <w:color w:val="000000"/>
          <w:spacing w:val="0"/>
          <w:w w:val="100"/>
          <w:position w:val="0"/>
        </w:rPr>
        <w:t>9,505</w:t>
      </w:r>
      <w:r>
        <w:rPr>
          <w:color w:val="000000"/>
          <w:spacing w:val="0"/>
          <w:w w:val="100"/>
          <w:position w:val="0"/>
        </w:rPr>
        <w:t>万户，全年净增用户规模创公司历史新高；宽带接入</w:t>
      </w:r>
      <w:r>
        <w:rPr>
          <w:rFonts w:ascii="Times New Roman" w:eastAsia="Times New Roman" w:hAnsi="Times New Roman" w:cs="Times New Roman"/>
          <w:color w:val="000000"/>
          <w:spacing w:val="0"/>
          <w:w w:val="100"/>
          <w:position w:val="0"/>
        </w:rPr>
        <w:t>ARPU</w:t>
      </w:r>
      <w:r>
        <w:rPr>
          <w:color w:val="000000"/>
          <w:spacing w:val="0"/>
          <w:w w:val="100"/>
          <w:position w:val="0"/>
        </w:rPr>
        <w:t>基本维持平稳，达 到</w:t>
      </w:r>
      <w:r>
        <w:rPr>
          <w:rFonts w:ascii="Times New Roman" w:eastAsia="Times New Roman" w:hAnsi="Times New Roman" w:cs="Times New Roman"/>
          <w:color w:val="000000"/>
          <w:spacing w:val="0"/>
          <w:w w:val="100"/>
          <w:position w:val="0"/>
        </w:rPr>
        <w:t>41.3</w:t>
      </w:r>
      <w:r>
        <w:rPr>
          <w:color w:val="000000"/>
          <w:spacing w:val="0"/>
          <w:w w:val="100"/>
          <w:position w:val="0"/>
        </w:rPr>
        <w:t>元，基于规模的价值经营成效显现。融合业务在固网宽带用户中的渗透率达到</w:t>
      </w:r>
      <w:r>
        <w:rPr>
          <w:rFonts w:ascii="Times New Roman" w:eastAsia="Times New Roman" w:hAnsi="Times New Roman" w:cs="Times New Roman"/>
          <w:color w:val="000000"/>
          <w:spacing w:val="0"/>
          <w:w w:val="100"/>
          <w:position w:val="0"/>
        </w:rPr>
        <w:t>71.5%</w:t>
      </w:r>
      <w:r>
        <w:rPr>
          <w:color w:val="000000"/>
          <w:spacing w:val="0"/>
          <w:w w:val="100"/>
          <w:position w:val="0"/>
        </w:rPr>
        <w:t>，同比提 升</w:t>
      </w:r>
      <w:r>
        <w:rPr>
          <w:rFonts w:ascii="Times New Roman" w:eastAsia="Times New Roman" w:hAnsi="Times New Roman" w:cs="Times New Roman"/>
          <w:color w:val="000000"/>
          <w:spacing w:val="0"/>
          <w:w w:val="100"/>
          <w:position w:val="0"/>
        </w:rPr>
        <w:t>7.4</w:t>
      </w:r>
      <w:r>
        <w:rPr>
          <w:color w:val="000000"/>
          <w:spacing w:val="0"/>
          <w:w w:val="100"/>
          <w:position w:val="0"/>
        </w:rPr>
        <w:t>个百分点。</w:t>
      </w:r>
    </w:p>
    <w:p>
      <w:pPr>
        <w:pStyle w:val="Style16"/>
        <w:keepNext/>
        <w:keepLines/>
        <w:widowControl w:val="0"/>
        <w:shd w:val="clear" w:color="auto" w:fill="auto"/>
        <w:bidi w:val="0"/>
        <w:spacing w:before="0" w:after="120" w:line="361" w:lineRule="exact"/>
        <w:ind w:left="0" w:right="0" w:firstLine="560"/>
        <w:jc w:val="left"/>
      </w:pPr>
      <w:bookmarkStart w:id="85" w:name="bookmark85"/>
      <w:bookmarkStart w:id="86" w:name="bookmark86"/>
      <w:bookmarkStart w:id="87" w:name="bookmark87"/>
      <w:r>
        <w:rPr>
          <w:color w:val="000000"/>
          <w:spacing w:val="0"/>
          <w:w w:val="100"/>
          <w:position w:val="0"/>
        </w:rPr>
        <w:t>加快打造精品网络，扎稳筑牢数字根基</w:t>
      </w:r>
      <w:bookmarkEnd w:id="85"/>
      <w:bookmarkEnd w:id="86"/>
      <w:bookmarkEnd w:id="87"/>
    </w:p>
    <w:p>
      <w:pPr>
        <w:pStyle w:val="Style5"/>
        <w:keepNext w:val="0"/>
        <w:keepLines w:val="0"/>
        <w:widowControl w:val="0"/>
        <w:shd w:val="clear" w:color="auto" w:fill="auto"/>
        <w:bidi w:val="0"/>
        <w:spacing w:before="0" w:after="120" w:line="361" w:lineRule="exact"/>
        <w:ind w:left="140" w:right="0" w:firstLine="420"/>
        <w:jc w:val="both"/>
      </w:pPr>
      <w:r>
        <w:rPr>
          <w:color w:val="000000"/>
          <w:spacing w:val="0"/>
          <w:w w:val="100"/>
          <w:position w:val="0"/>
        </w:rPr>
        <w:t>公司把加强精品网络建设作为事关战略全局的关键一环。着力打造新型数字信息基础设施能力和 技术竞争优势，坚持深化网络创新，强化网络能力保障，骨干网平均时延保持行业领先。完善多云生 态，实现产业互联网与沃云、</w:t>
      </w:r>
      <w:r>
        <w:rPr>
          <w:rFonts w:ascii="Times New Roman" w:eastAsia="Times New Roman" w:hAnsi="Times New Roman" w:cs="Times New Roman"/>
          <w:color w:val="000000"/>
          <w:spacing w:val="0"/>
          <w:w w:val="100"/>
          <w:position w:val="0"/>
        </w:rPr>
        <w:t>MEC</w:t>
      </w:r>
      <w:r>
        <w:rPr>
          <w:color w:val="000000"/>
          <w:spacing w:val="0"/>
          <w:w w:val="100"/>
          <w:position w:val="0"/>
        </w:rPr>
        <w:t>云网络自动化对接。发布</w:t>
      </w:r>
      <w:r>
        <w:rPr>
          <w:rFonts w:ascii="Times New Roman" w:eastAsia="Times New Roman" w:hAnsi="Times New Roman" w:cs="Times New Roman"/>
          <w:color w:val="000000"/>
          <w:spacing w:val="0"/>
          <w:w w:val="100"/>
          <w:position w:val="0"/>
        </w:rPr>
        <w:t>CUBE-Net 3.0</w:t>
      </w:r>
      <w:r>
        <w:rPr>
          <w:color w:val="000000"/>
          <w:spacing w:val="0"/>
          <w:w w:val="100"/>
          <w:position w:val="0"/>
        </w:rPr>
        <w:t>网络体系，积极构建“联 接</w:t>
      </w:r>
      <w:r>
        <w:rPr>
          <w:rFonts w:ascii="Times New Roman" w:eastAsia="Times New Roman" w:hAnsi="Times New Roman" w:cs="Times New Roman"/>
          <w:color w:val="000000"/>
          <w:spacing w:val="0"/>
          <w:w w:val="100"/>
          <w:position w:val="0"/>
        </w:rPr>
        <w:t>+</w:t>
      </w:r>
      <w:r>
        <w:rPr>
          <w:color w:val="000000"/>
          <w:spacing w:val="0"/>
          <w:w w:val="100"/>
          <w:position w:val="0"/>
        </w:rPr>
        <w:t>感知</w:t>
      </w:r>
      <w:r>
        <w:rPr>
          <w:rFonts w:ascii="Times New Roman" w:eastAsia="Times New Roman" w:hAnsi="Times New Roman" w:cs="Times New Roman"/>
          <w:color w:val="000000"/>
          <w:spacing w:val="0"/>
          <w:w w:val="100"/>
          <w:position w:val="0"/>
        </w:rPr>
        <w:t>+</w:t>
      </w:r>
      <w:r>
        <w:rPr>
          <w:color w:val="000000"/>
          <w:spacing w:val="0"/>
          <w:w w:val="100"/>
          <w:position w:val="0"/>
        </w:rPr>
        <w:t>计算</w:t>
      </w:r>
      <w:r>
        <w:rPr>
          <w:rFonts w:ascii="Times New Roman" w:eastAsia="Times New Roman" w:hAnsi="Times New Roman" w:cs="Times New Roman"/>
          <w:color w:val="000000"/>
          <w:spacing w:val="0"/>
          <w:w w:val="100"/>
          <w:position w:val="0"/>
        </w:rPr>
        <w:t>+</w:t>
      </w:r>
      <w:r>
        <w:rPr>
          <w:color w:val="000000"/>
          <w:spacing w:val="0"/>
          <w:w w:val="100"/>
          <w:position w:val="0"/>
        </w:rPr>
        <w:t>智能”新一代数字基础设施。通过网络精简、自主运营、共建共享、</w:t>
      </w:r>
      <w:r>
        <w:rPr>
          <w:rFonts w:ascii="Times New Roman" w:eastAsia="Times New Roman" w:hAnsi="Times New Roman" w:cs="Times New Roman"/>
          <w:color w:val="000000"/>
          <w:spacing w:val="0"/>
          <w:w w:val="100"/>
          <w:position w:val="0"/>
        </w:rPr>
        <w:t>AI</w:t>
      </w:r>
      <w:r>
        <w:rPr>
          <w:color w:val="000000"/>
          <w:spacing w:val="0"/>
          <w:w w:val="100"/>
          <w:position w:val="0"/>
        </w:rPr>
        <w:t>应用、精细管 理等多措并举，网络运行效能持续提升。发挥云网数一体优势，完成大网态势感知、安全岛链产品标 准化，形成网络侧主动安全能力和“云、管、端”信息安全服务能力。</w:t>
      </w:r>
      <w:r>
        <w:rPr>
          <w:rFonts w:ascii="Times New Roman" w:eastAsia="Times New Roman" w:hAnsi="Times New Roman" w:cs="Times New Roman"/>
          <w:color w:val="000000"/>
          <w:spacing w:val="0"/>
          <w:w w:val="100"/>
          <w:position w:val="0"/>
        </w:rPr>
        <w:t>2022</w:t>
      </w:r>
      <w:r>
        <w:rPr>
          <w:color w:val="000000"/>
          <w:spacing w:val="0"/>
          <w:w w:val="100"/>
          <w:position w:val="0"/>
        </w:rPr>
        <w:t>年，公司将持续打造</w:t>
      </w:r>
      <w:r>
        <w:rPr>
          <w:rFonts w:ascii="Times New Roman" w:eastAsia="Times New Roman" w:hAnsi="Times New Roman" w:cs="Times New Roman"/>
          <w:color w:val="000000"/>
          <w:spacing w:val="0"/>
          <w:w w:val="100"/>
          <w:position w:val="0"/>
        </w:rPr>
        <w:t xml:space="preserve">5G </w:t>
      </w:r>
      <w:r>
        <w:rPr>
          <w:color w:val="000000"/>
          <w:spacing w:val="0"/>
          <w:w w:val="100"/>
          <w:position w:val="0"/>
        </w:rPr>
        <w:t>精品网、千兆宽带精品网、政企精品网和高品质算力网络，推进网络运营智能化，进一步构筑公司高 质量发展的基石。</w:t>
      </w:r>
    </w:p>
    <w:p>
      <w:pPr>
        <w:pStyle w:val="Style16"/>
        <w:keepNext/>
        <w:keepLines/>
        <w:widowControl w:val="0"/>
        <w:shd w:val="clear" w:color="auto" w:fill="auto"/>
        <w:bidi w:val="0"/>
        <w:spacing w:before="0" w:after="120" w:line="361" w:lineRule="exact"/>
        <w:ind w:left="0" w:right="0" w:firstLine="560"/>
        <w:jc w:val="left"/>
      </w:pPr>
      <w:bookmarkStart w:id="88" w:name="bookmark88"/>
      <w:bookmarkStart w:id="89" w:name="bookmark89"/>
      <w:bookmarkStart w:id="90" w:name="bookmark90"/>
      <w:bookmarkStart w:id="91" w:name="bookmark91"/>
      <w:r>
        <w:rPr>
          <w:color w:val="000000"/>
          <w:spacing w:val="0"/>
          <w:w w:val="100"/>
          <w:position w:val="0"/>
        </w:rPr>
        <w:t>（</w:t>
      </w:r>
      <w:bookmarkEnd w:id="90"/>
      <w:r>
        <w:rPr>
          <w:color w:val="000000"/>
          <w:spacing w:val="0"/>
          <w:w w:val="100"/>
          <w:position w:val="0"/>
        </w:rPr>
        <w:t>二）守正创新，挥好“组合拳”</w:t>
      </w:r>
      <w:bookmarkEnd w:id="88"/>
      <w:bookmarkEnd w:id="89"/>
      <w:bookmarkEnd w:id="91"/>
    </w:p>
    <w:p>
      <w:pPr>
        <w:pStyle w:val="Style5"/>
        <w:keepNext w:val="0"/>
        <w:keepLines w:val="0"/>
        <w:widowControl w:val="0"/>
        <w:shd w:val="clear" w:color="auto" w:fill="auto"/>
        <w:bidi w:val="0"/>
        <w:spacing w:before="0" w:after="120" w:line="360" w:lineRule="exact"/>
        <w:ind w:left="140" w:right="0" w:firstLine="420"/>
        <w:jc w:val="left"/>
      </w:pPr>
      <w:r>
        <w:rPr>
          <w:color w:val="000000"/>
          <w:spacing w:val="0"/>
          <w:w w:val="100"/>
          <w:position w:val="0"/>
        </w:rPr>
        <w:t>公司始终坚持创新在企业发展全局中的核心地位，推动市场与创新双轮驱动高质量发展。一年来， 公司创新能力加快形成，产业互联网收入持续增长，“五大中台”核心能力基本建成，数据治理体系 不断完善，在数字化转型之路上迈出新的步伐。</w:t>
      </w:r>
    </w:p>
    <w:p>
      <w:pPr>
        <w:pStyle w:val="Style16"/>
        <w:keepNext/>
        <w:keepLines/>
        <w:widowControl w:val="0"/>
        <w:shd w:val="clear" w:color="auto" w:fill="auto"/>
        <w:bidi w:val="0"/>
        <w:spacing w:before="0" w:after="120" w:line="361" w:lineRule="exact"/>
        <w:ind w:left="0" w:right="0" w:firstLine="560"/>
        <w:jc w:val="left"/>
      </w:pPr>
      <w:bookmarkStart w:id="92" w:name="bookmark92"/>
      <w:bookmarkStart w:id="93" w:name="bookmark93"/>
      <w:bookmarkStart w:id="94" w:name="bookmark94"/>
      <w:r>
        <w:rPr>
          <w:color w:val="000000"/>
          <w:spacing w:val="0"/>
          <w:w w:val="100"/>
          <w:position w:val="0"/>
        </w:rPr>
        <w:t>自主研发活力更强，创新业务释放新动能</w:t>
      </w:r>
      <w:bookmarkEnd w:id="92"/>
      <w:bookmarkEnd w:id="93"/>
      <w:bookmarkEnd w:id="94"/>
    </w:p>
    <w:p>
      <w:pPr>
        <w:pStyle w:val="Style5"/>
        <w:keepNext w:val="0"/>
        <w:keepLines w:val="0"/>
        <w:widowControl w:val="0"/>
        <w:shd w:val="clear" w:color="auto" w:fill="auto"/>
        <w:bidi w:val="0"/>
        <w:spacing w:before="0" w:after="0" w:line="355" w:lineRule="exact"/>
        <w:ind w:left="140" w:right="0" w:firstLine="420"/>
        <w:jc w:val="both"/>
      </w:pPr>
      <w:r>
        <w:rPr>
          <w:color w:val="000000"/>
          <w:spacing w:val="0"/>
          <w:w w:val="100"/>
          <w:position w:val="0"/>
        </w:rPr>
        <w:t>公司持之以恒发力创新领域，以云大物智链安基座为五大赛道奠定坚实基础。产业互联网方面， 年内，公司紧抓“东数西算”新机遇，倾力打造“联接</w:t>
      </w:r>
      <w:r>
        <w:rPr>
          <w:rFonts w:ascii="Times New Roman" w:eastAsia="Times New Roman" w:hAnsi="Times New Roman" w:cs="Times New Roman"/>
          <w:color w:val="000000"/>
          <w:spacing w:val="0"/>
          <w:w w:val="100"/>
          <w:position w:val="0"/>
        </w:rPr>
        <w:t>+</w:t>
      </w:r>
      <w:r>
        <w:rPr>
          <w:color w:val="000000"/>
          <w:spacing w:val="0"/>
          <w:w w:val="100"/>
          <w:position w:val="0"/>
        </w:rPr>
        <w:t>感知</w:t>
      </w:r>
      <w:r>
        <w:rPr>
          <w:rFonts w:ascii="Times New Roman" w:eastAsia="Times New Roman" w:hAnsi="Times New Roman" w:cs="Times New Roman"/>
          <w:color w:val="000000"/>
          <w:spacing w:val="0"/>
          <w:w w:val="100"/>
          <w:position w:val="0"/>
        </w:rPr>
        <w:t>+</w:t>
      </w:r>
      <w:r>
        <w:rPr>
          <w:color w:val="000000"/>
          <w:spacing w:val="0"/>
          <w:w w:val="100"/>
          <w:position w:val="0"/>
        </w:rPr>
        <w:t>计算</w:t>
      </w:r>
      <w:r>
        <w:rPr>
          <w:rFonts w:ascii="Times New Roman" w:eastAsia="Times New Roman" w:hAnsi="Times New Roman" w:cs="Times New Roman"/>
          <w:color w:val="000000"/>
          <w:spacing w:val="0"/>
          <w:w w:val="100"/>
          <w:position w:val="0"/>
        </w:rPr>
        <w:t>+</w:t>
      </w:r>
      <w:r>
        <w:rPr>
          <w:color w:val="000000"/>
          <w:spacing w:val="0"/>
          <w:w w:val="100"/>
          <w:position w:val="0"/>
        </w:rPr>
        <w:t xml:space="preserve">智能”的算网一体化服务，全国 </w:t>
      </w:r>
      <w:r>
        <w:rPr>
          <w:color w:val="000000"/>
          <w:spacing w:val="0"/>
          <w:w w:val="100"/>
          <w:position w:val="0"/>
        </w:rPr>
        <w:t>打造云网边一体化、分布合理、绿色集约的</w:t>
      </w:r>
      <w:r>
        <w:rPr>
          <w:color w:val="000000"/>
          <w:spacing w:val="0"/>
          <w:w w:val="100"/>
          <w:position w:val="0"/>
        </w:rPr>
        <w:t>“</w:t>
      </w:r>
      <w:r>
        <w:rPr>
          <w:rFonts w:ascii="Times New Roman" w:eastAsia="Times New Roman" w:hAnsi="Times New Roman" w:cs="Times New Roman"/>
          <w:color w:val="000000"/>
          <w:spacing w:val="0"/>
          <w:w w:val="100"/>
          <w:position w:val="0"/>
        </w:rPr>
        <w:t>5+4+31+X</w:t>
      </w:r>
      <w:r>
        <w:rPr>
          <w:color w:val="000000"/>
          <w:spacing w:val="0"/>
          <w:w w:val="100"/>
          <w:position w:val="0"/>
        </w:rPr>
        <w:t>”新型数据中心体系；“联通云”全面焕新 升级，形成云原生和虚拟化双引擎，发布物联感知云、数海存储云、智能视频云等七大场景云；融合 “联通链”及人工智能，大数据平台日处理能力突破</w:t>
      </w:r>
      <w:r>
        <w:rPr>
          <w:rFonts w:ascii="Times New Roman" w:eastAsia="Times New Roman" w:hAnsi="Times New Roman" w:cs="Times New Roman"/>
          <w:color w:val="000000"/>
          <w:spacing w:val="0"/>
          <w:w w:val="100"/>
          <w:position w:val="0"/>
        </w:rPr>
        <w:t>200TB</w:t>
      </w:r>
      <w:r>
        <w:rPr>
          <w:color w:val="000000"/>
          <w:spacing w:val="0"/>
          <w:w w:val="100"/>
          <w:position w:val="0"/>
        </w:rPr>
        <w:t>；</w:t>
      </w:r>
      <w:r>
        <w:rPr>
          <w:color w:val="000000"/>
          <w:spacing w:val="0"/>
          <w:w w:val="100"/>
          <w:position w:val="0"/>
        </w:rPr>
        <w:t xml:space="preserve">持续做大物联网连接规模，加快向连接 </w:t>
      </w:r>
      <w:r>
        <w:rPr>
          <w:rFonts w:ascii="Times New Roman" w:eastAsia="Times New Roman" w:hAnsi="Times New Roman" w:cs="Times New Roman"/>
          <w:color w:val="000000"/>
          <w:spacing w:val="0"/>
          <w:w w:val="100"/>
          <w:position w:val="0"/>
        </w:rPr>
        <w:t>+</w:t>
      </w:r>
      <w:r>
        <w:rPr>
          <w:color w:val="000000"/>
          <w:spacing w:val="0"/>
          <w:w w:val="100"/>
          <w:position w:val="0"/>
        </w:rPr>
        <w:t>非连接的融合应用转型，物联网市场份额持续提升；积极布局安全市场，安全产品形成规模复制能 力。公司坚持创新驱动，坚定不移向创新人才倾斜资源配置，加大投入强度，夯实基础能力平台，持 续加强在数字政府、智慧城市、工业互联网、医疗健康、生态环境等领域自研产品供给，关键核心能 力自主化大幅提升，融合应用水平实现突破。</w:t>
      </w:r>
      <w:r>
        <w:rPr>
          <w:rFonts w:ascii="Times New Roman" w:eastAsia="Times New Roman" w:hAnsi="Times New Roman" w:cs="Times New Roman"/>
          <w:color w:val="000000"/>
          <w:spacing w:val="0"/>
          <w:w w:val="100"/>
          <w:position w:val="0"/>
        </w:rPr>
        <w:t>5G</w:t>
      </w:r>
      <w:r>
        <w:rPr>
          <w:color w:val="000000"/>
          <w:spacing w:val="0"/>
          <w:w w:val="100"/>
          <w:position w:val="0"/>
        </w:rPr>
        <w:t>行业应用方面，公司整合内外资源，深入实施</w:t>
      </w:r>
      <w:r>
        <w:rPr>
          <w:rFonts w:ascii="Times New Roman" w:eastAsia="Times New Roman" w:hAnsi="Times New Roman" w:cs="Times New Roman"/>
          <w:color w:val="000000"/>
          <w:spacing w:val="0"/>
          <w:w w:val="100"/>
          <w:position w:val="0"/>
        </w:rPr>
        <w:t>5G</w:t>
      </w:r>
      <w:r>
        <w:rPr>
          <w:color w:val="000000"/>
          <w:spacing w:val="0"/>
          <w:w w:val="100"/>
          <w:position w:val="0"/>
        </w:rPr>
        <w:t>应 用“扬帆”行动计划，开展“强基行动、引擎行动、护航行动、共创行动、绽放行动”五大专项行动， 以</w:t>
      </w:r>
      <w:r>
        <w:rPr>
          <w:rFonts w:ascii="Times New Roman" w:eastAsia="Times New Roman" w:hAnsi="Times New Roman" w:cs="Times New Roman"/>
          <w:color w:val="000000"/>
          <w:spacing w:val="0"/>
          <w:w w:val="100"/>
          <w:position w:val="0"/>
        </w:rPr>
        <w:t>5G</w:t>
      </w:r>
      <w:r>
        <w:rPr>
          <w:color w:val="000000"/>
          <w:spacing w:val="0"/>
          <w:w w:val="100"/>
          <w:position w:val="0"/>
        </w:rPr>
        <w:t>应用新产品、新业态、新模式助力千行百业数字化转型和智能化升级。持续打造并迭代</w:t>
      </w:r>
      <w:r>
        <w:rPr>
          <w:rFonts w:ascii="Times New Roman" w:eastAsia="Times New Roman" w:hAnsi="Times New Roman" w:cs="Times New Roman"/>
          <w:color w:val="000000"/>
          <w:spacing w:val="0"/>
          <w:w w:val="100"/>
          <w:position w:val="0"/>
        </w:rPr>
        <w:t>5G</w:t>
      </w:r>
      <w:r>
        <w:rPr>
          <w:color w:val="000000"/>
          <w:spacing w:val="0"/>
          <w:w w:val="100"/>
          <w:position w:val="0"/>
        </w:rPr>
        <w:t>工 业互联网、智慧城市、医疗、教育、文旅等行业基线化解决方案；夯实</w:t>
      </w:r>
      <w:r>
        <w:rPr>
          <w:rFonts w:ascii="Times New Roman" w:eastAsia="Times New Roman" w:hAnsi="Times New Roman" w:cs="Times New Roman"/>
          <w:color w:val="000000"/>
          <w:spacing w:val="0"/>
          <w:w w:val="100"/>
          <w:position w:val="0"/>
        </w:rPr>
        <w:t>5G</w:t>
      </w:r>
      <w:r>
        <w:rPr>
          <w:color w:val="000000"/>
          <w:spacing w:val="0"/>
          <w:w w:val="100"/>
          <w:position w:val="0"/>
        </w:rPr>
        <w:t xml:space="preserve">行业融合标准研制，做大 </w:t>
      </w:r>
      <w:r>
        <w:rPr>
          <w:rFonts w:ascii="Times New Roman" w:eastAsia="Times New Roman" w:hAnsi="Times New Roman" w:cs="Times New Roman"/>
          <w:color w:val="000000"/>
          <w:spacing w:val="0"/>
          <w:w w:val="100"/>
          <w:position w:val="0"/>
        </w:rPr>
        <w:t>5G</w:t>
      </w:r>
      <w:r>
        <w:rPr>
          <w:color w:val="000000"/>
          <w:spacing w:val="0"/>
          <w:w w:val="100"/>
          <w:position w:val="0"/>
        </w:rPr>
        <w:t>应用创新联盟，优化</w:t>
      </w:r>
      <w:r>
        <w:rPr>
          <w:rFonts w:ascii="Times New Roman" w:eastAsia="Times New Roman" w:hAnsi="Times New Roman" w:cs="Times New Roman"/>
          <w:color w:val="000000"/>
          <w:spacing w:val="0"/>
          <w:w w:val="100"/>
          <w:position w:val="0"/>
        </w:rPr>
        <w:t>5G</w:t>
      </w:r>
      <w:r>
        <w:rPr>
          <w:color w:val="000000"/>
          <w:spacing w:val="0"/>
          <w:w w:val="100"/>
          <w:position w:val="0"/>
        </w:rPr>
        <w:t>生态开放平台；持续加大研发投入，在双碳物联网、</w:t>
      </w:r>
      <w:r>
        <w:rPr>
          <w:rFonts w:ascii="Times New Roman" w:eastAsia="Times New Roman" w:hAnsi="Times New Roman" w:cs="Times New Roman"/>
          <w:color w:val="000000"/>
          <w:spacing w:val="0"/>
          <w:w w:val="100"/>
          <w:position w:val="0"/>
        </w:rPr>
        <w:t>5G+</w:t>
      </w:r>
      <w:r>
        <w:rPr>
          <w:color w:val="000000"/>
          <w:spacing w:val="0"/>
          <w:w w:val="100"/>
          <w:position w:val="0"/>
        </w:rPr>
        <w:t>车路协同、</w:t>
      </w:r>
      <w:r>
        <w:rPr>
          <w:rFonts w:ascii="Times New Roman" w:eastAsia="Times New Roman" w:hAnsi="Times New Roman" w:cs="Times New Roman"/>
          <w:color w:val="000000"/>
          <w:spacing w:val="0"/>
          <w:w w:val="100"/>
          <w:position w:val="0"/>
        </w:rPr>
        <w:t xml:space="preserve">5G+ </w:t>
      </w:r>
      <w:r>
        <w:rPr>
          <w:color w:val="000000"/>
          <w:spacing w:val="0"/>
          <w:w w:val="100"/>
          <w:position w:val="0"/>
        </w:rPr>
        <w:t>北斗、智慧法务、智慧养老等领域开展产品孵化。核心技术研发方面，年内，公司加大在科研方面的 投入，研发费用同比增长</w:t>
      </w:r>
      <w:r>
        <w:rPr>
          <w:rFonts w:ascii="Times New Roman" w:eastAsia="Times New Roman" w:hAnsi="Times New Roman" w:cs="Times New Roman"/>
          <w:color w:val="000000"/>
          <w:spacing w:val="0"/>
          <w:w w:val="100"/>
          <w:position w:val="0"/>
        </w:rPr>
        <w:t>61.7%</w:t>
      </w:r>
      <w:r>
        <w:rPr>
          <w:color w:val="000000"/>
          <w:spacing w:val="0"/>
          <w:w w:val="100"/>
          <w:position w:val="0"/>
        </w:rPr>
        <w:t>，科技创新人员占比达到</w:t>
      </w:r>
      <w:r>
        <w:rPr>
          <w:rFonts w:ascii="Times New Roman" w:eastAsia="Times New Roman" w:hAnsi="Times New Roman" w:cs="Times New Roman"/>
          <w:color w:val="000000"/>
          <w:spacing w:val="0"/>
          <w:w w:val="100"/>
          <w:position w:val="0"/>
        </w:rPr>
        <w:t>22%</w:t>
      </w:r>
      <w:r>
        <w:rPr>
          <w:color w:val="000000"/>
          <w:spacing w:val="0"/>
          <w:w w:val="100"/>
          <w:position w:val="0"/>
        </w:rPr>
        <w:t>，授权专利数达到</w:t>
      </w:r>
      <w:r>
        <w:rPr>
          <w:rFonts w:ascii="Times New Roman" w:eastAsia="Times New Roman" w:hAnsi="Times New Roman" w:cs="Times New Roman"/>
          <w:color w:val="000000"/>
          <w:spacing w:val="0"/>
          <w:w w:val="100"/>
          <w:position w:val="0"/>
        </w:rPr>
        <w:t>1,128</w:t>
      </w:r>
      <w:r>
        <w:rPr>
          <w:color w:val="000000"/>
          <w:spacing w:val="0"/>
          <w:w w:val="100"/>
          <w:position w:val="0"/>
        </w:rPr>
        <w:t>件，同比大幅 增长</w:t>
      </w:r>
      <w:r>
        <w:rPr>
          <w:rFonts w:ascii="Times New Roman" w:eastAsia="Times New Roman" w:hAnsi="Times New Roman" w:cs="Times New Roman"/>
          <w:color w:val="000000"/>
          <w:spacing w:val="0"/>
          <w:w w:val="100"/>
          <w:position w:val="0"/>
        </w:rPr>
        <w:t>120%</w:t>
      </w:r>
      <w:r>
        <w:rPr>
          <w:color w:val="000000"/>
          <w:spacing w:val="0"/>
          <w:w w:val="100"/>
          <w:position w:val="0"/>
        </w:rPr>
        <w:t>；公司主导高精度时频同步芯片首次实现国产化替代，打破了国外对于相关技术的垄断， 为</w:t>
      </w:r>
      <w:r>
        <w:rPr>
          <w:rFonts w:ascii="Times New Roman" w:eastAsia="Times New Roman" w:hAnsi="Times New Roman" w:cs="Times New Roman"/>
          <w:color w:val="000000"/>
          <w:spacing w:val="0"/>
          <w:w w:val="100"/>
          <w:position w:val="0"/>
        </w:rPr>
        <w:t>5G</w:t>
      </w:r>
      <w:r>
        <w:rPr>
          <w:color w:val="000000"/>
          <w:spacing w:val="0"/>
          <w:w w:val="100"/>
          <w:position w:val="0"/>
        </w:rPr>
        <w:t>网络提供了可靠、低误差的时间基准精度。</w:t>
      </w:r>
    </w:p>
    <w:p>
      <w:pPr>
        <w:pStyle w:val="Style5"/>
        <w:keepNext w:val="0"/>
        <w:keepLines w:val="0"/>
        <w:widowControl w:val="0"/>
        <w:shd w:val="clear" w:color="auto" w:fill="auto"/>
        <w:bidi w:val="0"/>
        <w:spacing w:before="0" w:line="361" w:lineRule="exact"/>
        <w:ind w:left="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年，产业互联网业务收入同比增长</w:t>
      </w:r>
      <w:r>
        <w:rPr>
          <w:rFonts w:ascii="Times New Roman" w:eastAsia="Times New Roman" w:hAnsi="Times New Roman" w:cs="Times New Roman"/>
          <w:color w:val="000000"/>
          <w:spacing w:val="0"/>
          <w:w w:val="100"/>
          <w:position w:val="0"/>
        </w:rPr>
        <w:t>28.2%</w:t>
      </w:r>
      <w:r>
        <w:rPr>
          <w:color w:val="000000"/>
          <w:spacing w:val="0"/>
          <w:w w:val="100"/>
          <w:position w:val="0"/>
        </w:rPr>
        <w:t>，达到人民币</w:t>
      </w:r>
      <w:r>
        <w:rPr>
          <w:rFonts w:ascii="Times New Roman" w:eastAsia="Times New Roman" w:hAnsi="Times New Roman" w:cs="Times New Roman"/>
          <w:color w:val="000000"/>
          <w:spacing w:val="0"/>
          <w:w w:val="100"/>
          <w:position w:val="0"/>
        </w:rPr>
        <w:t>548</w:t>
      </w:r>
      <w:r>
        <w:rPr>
          <w:color w:val="000000"/>
          <w:spacing w:val="0"/>
          <w:w w:val="100"/>
          <w:position w:val="0"/>
        </w:rPr>
        <w:t>亿元，占整体主营业务收入比例 达到</w:t>
      </w:r>
      <w:r>
        <w:rPr>
          <w:rFonts w:ascii="Times New Roman" w:eastAsia="Times New Roman" w:hAnsi="Times New Roman" w:cs="Times New Roman"/>
          <w:color w:val="000000"/>
          <w:spacing w:val="0"/>
          <w:w w:val="100"/>
          <w:position w:val="0"/>
        </w:rPr>
        <w:t>18.5%</w:t>
      </w:r>
      <w:r>
        <w:rPr>
          <w:color w:val="000000"/>
          <w:spacing w:val="0"/>
          <w:w w:val="100"/>
          <w:position w:val="0"/>
        </w:rPr>
        <w:t>。其中联通云收入人民币</w:t>
      </w:r>
      <w:r>
        <w:rPr>
          <w:rFonts w:ascii="Times New Roman" w:eastAsia="Times New Roman" w:hAnsi="Times New Roman" w:cs="Times New Roman"/>
          <w:color w:val="000000"/>
          <w:spacing w:val="0"/>
          <w:w w:val="100"/>
          <w:position w:val="0"/>
        </w:rPr>
        <w:t>163</w:t>
      </w:r>
      <w:r>
        <w:rPr>
          <w:color w:val="000000"/>
          <w:spacing w:val="0"/>
          <w:w w:val="100"/>
          <w:position w:val="0"/>
        </w:rPr>
        <w:t>亿元，同比增长</w:t>
      </w:r>
      <w:r>
        <w:rPr>
          <w:rFonts w:ascii="Times New Roman" w:eastAsia="Times New Roman" w:hAnsi="Times New Roman" w:cs="Times New Roman"/>
          <w:color w:val="000000"/>
          <w:spacing w:val="0"/>
          <w:w w:val="100"/>
          <w:position w:val="0"/>
        </w:rPr>
        <w:t>46.3%</w:t>
      </w:r>
      <w:r>
        <w:rPr>
          <w:color w:val="000000"/>
          <w:spacing w:val="0"/>
          <w:w w:val="100"/>
          <w:position w:val="0"/>
        </w:rPr>
        <w:t>。受创新业务良好增长拉动，公司固 网主营业务收入达到人民币</w:t>
      </w:r>
      <w:r>
        <w:rPr>
          <w:rFonts w:ascii="Times New Roman" w:eastAsia="Times New Roman" w:hAnsi="Times New Roman" w:cs="Times New Roman"/>
          <w:color w:val="000000"/>
          <w:spacing w:val="0"/>
          <w:w w:val="100"/>
          <w:position w:val="0"/>
        </w:rPr>
        <w:t>1,296</w:t>
      </w:r>
      <w:r>
        <w:rPr>
          <w:color w:val="000000"/>
          <w:spacing w:val="0"/>
          <w:w w:val="100"/>
          <w:position w:val="0"/>
        </w:rPr>
        <w:t>亿元，同比增长</w:t>
      </w:r>
      <w:r>
        <w:rPr>
          <w:rFonts w:ascii="Times New Roman" w:eastAsia="Times New Roman" w:hAnsi="Times New Roman" w:cs="Times New Roman"/>
          <w:color w:val="000000"/>
          <w:spacing w:val="0"/>
          <w:w w:val="100"/>
          <w:position w:val="0"/>
        </w:rPr>
        <w:t>10.9%</w:t>
      </w:r>
      <w:r>
        <w:rPr>
          <w:color w:val="000000"/>
          <w:spacing w:val="0"/>
          <w:w w:val="100"/>
          <w:position w:val="0"/>
        </w:rPr>
        <w:t>。未来，公司将继续加快打造自主创新平台 能力和重点产品，持续提升行业竞争力和业务价值。</w:t>
      </w:r>
    </w:p>
    <w:p>
      <w:pPr>
        <w:pStyle w:val="Style16"/>
        <w:keepNext/>
        <w:keepLines/>
        <w:widowControl w:val="0"/>
        <w:shd w:val="clear" w:color="auto" w:fill="auto"/>
        <w:bidi w:val="0"/>
        <w:spacing w:before="0" w:line="361" w:lineRule="exact"/>
        <w:ind w:left="0" w:right="0" w:firstLine="560"/>
        <w:jc w:val="left"/>
      </w:pPr>
      <w:bookmarkStart w:id="95" w:name="bookmark95"/>
      <w:bookmarkStart w:id="96" w:name="bookmark96"/>
      <w:bookmarkStart w:id="97" w:name="bookmark97"/>
      <w:r>
        <w:rPr>
          <w:color w:val="000000"/>
          <w:spacing w:val="0"/>
          <w:w w:val="100"/>
          <w:position w:val="0"/>
        </w:rPr>
        <w:t>核心能力全面建成，智慧运营取得新突破</w:t>
      </w:r>
      <w:bookmarkEnd w:id="95"/>
      <w:bookmarkEnd w:id="96"/>
      <w:bookmarkEnd w:id="97"/>
    </w:p>
    <w:p>
      <w:pPr>
        <w:pStyle w:val="Style5"/>
        <w:keepNext w:val="0"/>
        <w:keepLines w:val="0"/>
        <w:widowControl w:val="0"/>
        <w:shd w:val="clear" w:color="auto" w:fill="auto"/>
        <w:bidi w:val="0"/>
        <w:spacing w:before="0" w:line="359" w:lineRule="exact"/>
        <w:ind w:left="140" w:right="0" w:firstLine="420"/>
        <w:jc w:val="both"/>
      </w:pPr>
      <w:r>
        <w:rPr>
          <w:color w:val="000000"/>
          <w:spacing w:val="0"/>
          <w:w w:val="100"/>
          <w:position w:val="0"/>
        </w:rPr>
        <w:t>公司坚持创新运营驱动业务发展，数字化转型持续推进。年内，发布“联通智慧大脑”，核心业 务系统、客户系统、智慧中台、大数据、数字化底座实现</w:t>
      </w:r>
      <w:r>
        <w:rPr>
          <w:rFonts w:ascii="Times New Roman" w:eastAsia="Times New Roman" w:hAnsi="Times New Roman" w:cs="Times New Roman"/>
          <w:color w:val="000000"/>
          <w:spacing w:val="0"/>
          <w:w w:val="100"/>
          <w:position w:val="0"/>
        </w:rPr>
        <w:t>100%</w:t>
      </w:r>
      <w:r>
        <w:rPr>
          <w:color w:val="000000"/>
          <w:spacing w:val="0"/>
          <w:w w:val="100"/>
          <w:position w:val="0"/>
        </w:rPr>
        <w:t>集约。坚持“平台</w:t>
      </w:r>
      <w:r>
        <w:rPr>
          <w:rFonts w:ascii="Times New Roman" w:eastAsia="Times New Roman" w:hAnsi="Times New Roman" w:cs="Times New Roman"/>
          <w:color w:val="000000"/>
          <w:spacing w:val="0"/>
          <w:w w:val="100"/>
          <w:position w:val="0"/>
        </w:rPr>
        <w:t>+</w:t>
      </w:r>
      <w:r>
        <w:rPr>
          <w:color w:val="000000"/>
          <w:spacing w:val="0"/>
          <w:w w:val="100"/>
          <w:position w:val="0"/>
        </w:rPr>
        <w:t xml:space="preserve">应用”架构，完成 </w:t>
      </w:r>
      <w:r>
        <w:rPr>
          <w:rFonts w:ascii="Times New Roman" w:eastAsia="Times New Roman" w:hAnsi="Times New Roman" w:cs="Times New Roman"/>
          <w:color w:val="000000"/>
          <w:spacing w:val="0"/>
          <w:w w:val="100"/>
          <w:position w:val="0"/>
        </w:rPr>
        <w:t>48</w:t>
      </w:r>
      <w:r>
        <w:rPr>
          <w:color w:val="000000"/>
          <w:spacing w:val="0"/>
          <w:w w:val="100"/>
          <w:position w:val="0"/>
        </w:rPr>
        <w:t>个中心、</w:t>
      </w:r>
      <w:r>
        <w:rPr>
          <w:rFonts w:ascii="Times New Roman" w:eastAsia="Times New Roman" w:hAnsi="Times New Roman" w:cs="Times New Roman"/>
          <w:color w:val="000000"/>
          <w:spacing w:val="0"/>
          <w:w w:val="100"/>
          <w:position w:val="0"/>
        </w:rPr>
        <w:t>6</w:t>
      </w:r>
      <w:r>
        <w:rPr>
          <w:color w:val="000000"/>
          <w:spacing w:val="0"/>
          <w:w w:val="100"/>
          <w:position w:val="0"/>
        </w:rPr>
        <w:t>个平台、</w:t>
      </w:r>
      <w:r>
        <w:rPr>
          <w:rFonts w:ascii="Times New Roman" w:eastAsia="Times New Roman" w:hAnsi="Times New Roman" w:cs="Times New Roman"/>
          <w:color w:val="000000"/>
          <w:spacing w:val="0"/>
          <w:w w:val="100"/>
          <w:position w:val="0"/>
        </w:rPr>
        <w:t>9</w:t>
      </w:r>
      <w:r>
        <w:rPr>
          <w:color w:val="000000"/>
          <w:spacing w:val="0"/>
          <w:w w:val="100"/>
          <w:position w:val="0"/>
        </w:rPr>
        <w:t>项能力建设，公众、政企、数据、网络、管理“五大中台”核心能力基本建 成。</w:t>
      </w:r>
      <w:r>
        <w:rPr>
          <w:rFonts w:ascii="Times New Roman" w:eastAsia="Times New Roman" w:hAnsi="Times New Roman" w:cs="Times New Roman"/>
          <w:color w:val="000000"/>
          <w:spacing w:val="0"/>
          <w:w w:val="100"/>
          <w:position w:val="0"/>
        </w:rPr>
        <w:t>31</w:t>
      </w:r>
      <w:r>
        <w:rPr>
          <w:color w:val="000000"/>
          <w:spacing w:val="0"/>
          <w:w w:val="100"/>
          <w:position w:val="0"/>
        </w:rPr>
        <w:t>省</w:t>
      </w:r>
      <w:r>
        <w:rPr>
          <w:rFonts w:ascii="Times New Roman" w:eastAsia="Times New Roman" w:hAnsi="Times New Roman" w:cs="Times New Roman"/>
          <w:color w:val="000000"/>
          <w:spacing w:val="0"/>
          <w:w w:val="100"/>
          <w:position w:val="0"/>
        </w:rPr>
        <w:t>10010</w:t>
      </w:r>
      <w:r>
        <w:rPr>
          <w:color w:val="000000"/>
          <w:spacing w:val="0"/>
          <w:w w:val="100"/>
          <w:position w:val="0"/>
        </w:rPr>
        <w:t>热线全量集约，智慧客服完成</w:t>
      </w:r>
      <w:r>
        <w:rPr>
          <w:rFonts w:ascii="Times New Roman" w:eastAsia="Times New Roman" w:hAnsi="Times New Roman" w:cs="Times New Roman"/>
          <w:color w:val="000000"/>
          <w:spacing w:val="0"/>
          <w:w w:val="100"/>
          <w:position w:val="0"/>
        </w:rPr>
        <w:t>31</w:t>
      </w:r>
      <w:r>
        <w:rPr>
          <w:color w:val="000000"/>
          <w:spacing w:val="0"/>
          <w:w w:val="100"/>
          <w:position w:val="0"/>
        </w:rPr>
        <w:t>省和</w:t>
      </w:r>
      <w:r>
        <w:rPr>
          <w:rFonts w:ascii="Times New Roman" w:eastAsia="Times New Roman" w:hAnsi="Times New Roman" w:cs="Times New Roman"/>
          <w:color w:val="000000"/>
          <w:spacing w:val="0"/>
          <w:w w:val="100"/>
          <w:position w:val="0"/>
        </w:rPr>
        <w:t>2</w:t>
      </w:r>
      <w:r>
        <w:rPr>
          <w:color w:val="000000"/>
          <w:spacing w:val="0"/>
          <w:w w:val="100"/>
          <w:position w:val="0"/>
        </w:rPr>
        <w:t>基地集约，服务超过</w:t>
      </w:r>
      <w:r>
        <w:rPr>
          <w:rFonts w:ascii="Times New Roman" w:eastAsia="Times New Roman" w:hAnsi="Times New Roman" w:cs="Times New Roman"/>
          <w:color w:val="000000"/>
          <w:spacing w:val="0"/>
          <w:w w:val="100"/>
          <w:position w:val="0"/>
        </w:rPr>
        <w:t>4</w:t>
      </w:r>
      <w:r>
        <w:rPr>
          <w:color w:val="000000"/>
          <w:spacing w:val="0"/>
          <w:w w:val="100"/>
          <w:position w:val="0"/>
        </w:rPr>
        <w:t xml:space="preserve">亿用户，通过大数据 </w:t>
      </w:r>
      <w:r>
        <w:rPr>
          <w:rFonts w:ascii="Times New Roman" w:eastAsia="Times New Roman" w:hAnsi="Times New Roman" w:cs="Times New Roman"/>
          <w:color w:val="000000"/>
          <w:spacing w:val="0"/>
          <w:w w:val="100"/>
          <w:position w:val="0"/>
        </w:rPr>
        <w:t>+AI</w:t>
      </w:r>
      <w:r>
        <w:rPr>
          <w:color w:val="000000"/>
          <w:spacing w:val="0"/>
          <w:w w:val="100"/>
          <w:position w:val="0"/>
        </w:rPr>
        <w:t>提供“更懂客户”的个性化服务，智能化服务占比达到</w:t>
      </w:r>
      <w:r>
        <w:rPr>
          <w:rFonts w:ascii="Times New Roman" w:eastAsia="Times New Roman" w:hAnsi="Times New Roman" w:cs="Times New Roman"/>
          <w:color w:val="000000"/>
          <w:spacing w:val="0"/>
          <w:w w:val="100"/>
          <w:position w:val="0"/>
        </w:rPr>
        <w:t>80%</w:t>
      </w:r>
      <w:r>
        <w:rPr>
          <w:color w:val="000000"/>
          <w:spacing w:val="0"/>
          <w:w w:val="100"/>
          <w:position w:val="0"/>
        </w:rPr>
        <w:t>。公司流程治理持续强化，敏捷赋能 效果显现，全生产场景支撑能力大幅提升。</w:t>
      </w:r>
    </w:p>
    <w:p>
      <w:pPr>
        <w:pStyle w:val="Style16"/>
        <w:keepNext/>
        <w:keepLines/>
        <w:widowControl w:val="0"/>
        <w:shd w:val="clear" w:color="auto" w:fill="auto"/>
        <w:bidi w:val="0"/>
        <w:spacing w:before="0" w:line="361" w:lineRule="exact"/>
        <w:ind w:left="0" w:right="0" w:firstLine="560"/>
        <w:jc w:val="left"/>
      </w:pPr>
      <w:bookmarkStart w:id="100" w:name="bookmark100"/>
      <w:bookmarkStart w:id="101" w:name="bookmark101"/>
      <w:bookmarkStart w:id="98" w:name="bookmark98"/>
      <w:bookmarkStart w:id="99" w:name="bookmark99"/>
      <w:r>
        <w:rPr>
          <w:color w:val="000000"/>
          <w:spacing w:val="0"/>
          <w:w w:val="100"/>
          <w:position w:val="0"/>
        </w:rPr>
        <w:t>（</w:t>
      </w:r>
      <w:bookmarkEnd w:id="100"/>
      <w:r>
        <w:rPr>
          <w:color w:val="000000"/>
          <w:spacing w:val="0"/>
          <w:w w:val="100"/>
          <w:position w:val="0"/>
        </w:rPr>
        <w:t>三）融合开放，打好“团体赛”</w:t>
      </w:r>
      <w:bookmarkEnd w:id="101"/>
      <w:bookmarkEnd w:id="98"/>
      <w:bookmarkEnd w:id="99"/>
    </w:p>
    <w:p>
      <w:pPr>
        <w:pStyle w:val="Style5"/>
        <w:keepNext w:val="0"/>
        <w:keepLines w:val="0"/>
        <w:widowControl w:val="0"/>
        <w:shd w:val="clear" w:color="auto" w:fill="auto"/>
        <w:bidi w:val="0"/>
        <w:spacing w:before="0" w:line="360" w:lineRule="exact"/>
        <w:ind w:left="140" w:right="0" w:firstLine="420"/>
        <w:jc w:val="both"/>
      </w:pPr>
      <w:r>
        <w:rPr>
          <w:color w:val="000000"/>
          <w:spacing w:val="0"/>
          <w:w w:val="100"/>
          <w:position w:val="0"/>
        </w:rPr>
        <w:t>公司始终坚持要素融合、市场融通，主动融入数字经济发展浪潮，高水平深化融合开放，构建高 质量发展生态。</w:t>
      </w:r>
    </w:p>
    <w:p>
      <w:pPr>
        <w:pStyle w:val="Style16"/>
        <w:keepNext/>
        <w:keepLines/>
        <w:widowControl w:val="0"/>
        <w:shd w:val="clear" w:color="auto" w:fill="auto"/>
        <w:bidi w:val="0"/>
        <w:spacing w:before="0" w:line="361" w:lineRule="exact"/>
        <w:ind w:left="0" w:right="0" w:firstLine="560"/>
        <w:jc w:val="left"/>
      </w:pPr>
      <w:bookmarkStart w:id="102" w:name="bookmark102"/>
      <w:bookmarkStart w:id="103" w:name="bookmark103"/>
      <w:bookmarkStart w:id="104" w:name="bookmark104"/>
      <w:r>
        <w:rPr>
          <w:color w:val="000000"/>
          <w:spacing w:val="0"/>
          <w:w w:val="100"/>
          <w:position w:val="0"/>
        </w:rPr>
        <w:t>行业生态稳步向好，共建共享拓展新空间</w:t>
      </w:r>
      <w:bookmarkEnd w:id="102"/>
      <w:bookmarkEnd w:id="103"/>
      <w:bookmarkEnd w:id="104"/>
    </w:p>
    <w:p>
      <w:pPr>
        <w:pStyle w:val="Style5"/>
        <w:keepNext w:val="0"/>
        <w:keepLines w:val="0"/>
        <w:widowControl w:val="0"/>
        <w:shd w:val="clear" w:color="auto" w:fill="auto"/>
        <w:bidi w:val="0"/>
        <w:spacing w:before="0" w:after="120" w:line="360" w:lineRule="exact"/>
        <w:ind w:left="140" w:right="0" w:firstLine="42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5G</w:t>
      </w:r>
      <w:r>
        <w:rPr>
          <w:color w:val="000000"/>
          <w:spacing w:val="0"/>
          <w:w w:val="100"/>
          <w:position w:val="0"/>
        </w:rPr>
        <w:t>等新型数字信息基础设施建设为契机，持续深入推动共建共享。继续与中国电信紧密 合作，新开通</w:t>
      </w:r>
      <w:r>
        <w:rPr>
          <w:rFonts w:ascii="Times New Roman" w:eastAsia="Times New Roman" w:hAnsi="Times New Roman" w:cs="Times New Roman"/>
          <w:color w:val="000000"/>
          <w:spacing w:val="0"/>
          <w:w w:val="100"/>
          <w:position w:val="0"/>
        </w:rPr>
        <w:t>5G</w:t>
      </w:r>
      <w:r>
        <w:rPr>
          <w:color w:val="000000"/>
          <w:spacing w:val="0"/>
          <w:w w:val="100"/>
          <w:position w:val="0"/>
        </w:rPr>
        <w:t>基站</w:t>
      </w:r>
      <w:r>
        <w:rPr>
          <w:rFonts w:ascii="Times New Roman" w:eastAsia="Times New Roman" w:hAnsi="Times New Roman" w:cs="Times New Roman"/>
          <w:color w:val="000000"/>
          <w:spacing w:val="0"/>
          <w:w w:val="100"/>
          <w:position w:val="0"/>
        </w:rPr>
        <w:t>31</w:t>
      </w:r>
      <w:r>
        <w:rPr>
          <w:color w:val="000000"/>
          <w:spacing w:val="0"/>
          <w:w w:val="100"/>
          <w:position w:val="0"/>
        </w:rPr>
        <w:t>万站，双方累计开通</w:t>
      </w:r>
      <w:r>
        <w:rPr>
          <w:rFonts w:ascii="Times New Roman" w:eastAsia="Times New Roman" w:hAnsi="Times New Roman" w:cs="Times New Roman"/>
          <w:color w:val="000000"/>
          <w:spacing w:val="0"/>
          <w:w w:val="100"/>
          <w:position w:val="0"/>
        </w:rPr>
        <w:t>5G</w:t>
      </w:r>
      <w:r>
        <w:rPr>
          <w:color w:val="000000"/>
          <w:spacing w:val="0"/>
          <w:w w:val="100"/>
          <w:position w:val="0"/>
        </w:rPr>
        <w:t>基站</w:t>
      </w:r>
      <w:r>
        <w:rPr>
          <w:rFonts w:ascii="Times New Roman" w:eastAsia="Times New Roman" w:hAnsi="Times New Roman" w:cs="Times New Roman"/>
          <w:color w:val="000000"/>
          <w:spacing w:val="0"/>
          <w:w w:val="100"/>
          <w:position w:val="0"/>
        </w:rPr>
        <w:t>69</w:t>
      </w:r>
      <w:r>
        <w:rPr>
          <w:color w:val="000000"/>
          <w:spacing w:val="0"/>
          <w:w w:val="100"/>
          <w:position w:val="0"/>
        </w:rPr>
        <w:t>万站，建成全球规模最大的</w:t>
      </w:r>
      <w:r>
        <w:rPr>
          <w:rFonts w:ascii="Times New Roman" w:eastAsia="Times New Roman" w:hAnsi="Times New Roman" w:cs="Times New Roman"/>
          <w:color w:val="000000"/>
          <w:spacing w:val="0"/>
          <w:w w:val="100"/>
          <w:position w:val="0"/>
        </w:rPr>
        <w:t>5G</w:t>
      </w:r>
      <w:r>
        <w:rPr>
          <w:color w:val="000000"/>
          <w:spacing w:val="0"/>
          <w:w w:val="100"/>
          <w:position w:val="0"/>
        </w:rPr>
        <w:t>共建共享网 络。</w:t>
      </w:r>
      <w:r>
        <w:rPr>
          <w:rFonts w:ascii="Times New Roman" w:eastAsia="Times New Roman" w:hAnsi="Times New Roman" w:cs="Times New Roman"/>
          <w:color w:val="000000"/>
          <w:spacing w:val="0"/>
          <w:w w:val="100"/>
          <w:position w:val="0"/>
        </w:rPr>
        <w:t>4G</w:t>
      </w:r>
      <w:r>
        <w:rPr>
          <w:color w:val="000000"/>
          <w:spacing w:val="0"/>
          <w:w w:val="100"/>
          <w:position w:val="0"/>
        </w:rPr>
        <w:t>共享规模进一步突破，双方共享</w:t>
      </w:r>
      <w:r>
        <w:rPr>
          <w:rFonts w:ascii="Times New Roman" w:eastAsia="Times New Roman" w:hAnsi="Times New Roman" w:cs="Times New Roman"/>
          <w:color w:val="000000"/>
          <w:spacing w:val="0"/>
          <w:w w:val="100"/>
          <w:position w:val="0"/>
        </w:rPr>
        <w:t>4G</w:t>
      </w:r>
      <w:r>
        <w:rPr>
          <w:color w:val="000000"/>
          <w:spacing w:val="0"/>
          <w:w w:val="100"/>
          <w:position w:val="0"/>
        </w:rPr>
        <w:t>基站</w:t>
      </w:r>
      <w:r>
        <w:rPr>
          <w:rFonts w:ascii="Times New Roman" w:eastAsia="Times New Roman" w:hAnsi="Times New Roman" w:cs="Times New Roman"/>
          <w:color w:val="000000"/>
          <w:spacing w:val="0"/>
          <w:w w:val="100"/>
          <w:position w:val="0"/>
        </w:rPr>
        <w:t>66</w:t>
      </w:r>
      <w:r>
        <w:rPr>
          <w:color w:val="000000"/>
          <w:spacing w:val="0"/>
          <w:w w:val="100"/>
          <w:position w:val="0"/>
        </w:rPr>
        <w:t>万站。通过</w:t>
      </w:r>
      <w:r>
        <w:rPr>
          <w:rFonts w:ascii="Times New Roman" w:eastAsia="Times New Roman" w:hAnsi="Times New Roman" w:cs="Times New Roman"/>
          <w:color w:val="000000"/>
          <w:spacing w:val="0"/>
          <w:w w:val="100"/>
          <w:position w:val="0"/>
        </w:rPr>
        <w:t>4G/5G</w:t>
      </w:r>
      <w:r>
        <w:rPr>
          <w:color w:val="000000"/>
          <w:spacing w:val="0"/>
          <w:w w:val="100"/>
          <w:position w:val="0"/>
        </w:rPr>
        <w:t>网络共建共享，公司积极助力 “碳达峰、碳中和”双碳目标，每年预计可节约用电超过</w:t>
      </w:r>
      <w:r>
        <w:rPr>
          <w:rFonts w:ascii="Times New Roman" w:eastAsia="Times New Roman" w:hAnsi="Times New Roman" w:cs="Times New Roman"/>
          <w:color w:val="000000"/>
          <w:spacing w:val="0"/>
          <w:w w:val="100"/>
          <w:position w:val="0"/>
        </w:rPr>
        <w:t>175</w:t>
      </w:r>
      <w:r>
        <w:rPr>
          <w:color w:val="000000"/>
          <w:spacing w:val="0"/>
          <w:w w:val="100"/>
          <w:position w:val="0"/>
        </w:rPr>
        <w:t>亿度、累计减排二氧化碳超过</w:t>
      </w:r>
      <w:r>
        <w:rPr>
          <w:rFonts w:ascii="Times New Roman" w:eastAsia="Times New Roman" w:hAnsi="Times New Roman" w:cs="Times New Roman"/>
          <w:color w:val="000000"/>
          <w:spacing w:val="0"/>
          <w:w w:val="100"/>
          <w:position w:val="0"/>
        </w:rPr>
        <w:t>600</w:t>
      </w:r>
      <w:r>
        <w:rPr>
          <w:color w:val="000000"/>
          <w:spacing w:val="0"/>
          <w:w w:val="100"/>
          <w:position w:val="0"/>
        </w:rPr>
        <w:t>万吨， 并累计为双方节省投资超过人民币</w:t>
      </w:r>
      <w:r>
        <w:rPr>
          <w:rFonts w:ascii="Times New Roman" w:eastAsia="Times New Roman" w:hAnsi="Times New Roman" w:cs="Times New Roman"/>
          <w:color w:val="000000"/>
          <w:spacing w:val="0"/>
          <w:w w:val="100"/>
          <w:position w:val="0"/>
        </w:rPr>
        <w:t>2,100</w:t>
      </w:r>
      <w:r>
        <w:rPr>
          <w:color w:val="000000"/>
          <w:spacing w:val="0"/>
          <w:w w:val="100"/>
          <w:position w:val="0"/>
        </w:rPr>
        <w:t xml:space="preserve">亿元。同时，公司致力于进一步扩大共建共享深度广度，推 </w:t>
      </w:r>
      <w:r>
        <w:rPr>
          <w:color w:val="000000"/>
          <w:spacing w:val="0"/>
          <w:w w:val="100"/>
          <w:position w:val="0"/>
        </w:rPr>
        <w:t>动科技创新、</w:t>
      </w:r>
      <w:r>
        <w:rPr>
          <w:rFonts w:ascii="Times New Roman" w:eastAsia="Times New Roman" w:hAnsi="Times New Roman" w:cs="Times New Roman"/>
          <w:color w:val="000000"/>
          <w:spacing w:val="0"/>
          <w:w w:val="100"/>
          <w:position w:val="0"/>
        </w:rPr>
        <w:t>IDC</w:t>
      </w:r>
      <w:r>
        <w:rPr>
          <w:color w:val="000000"/>
          <w:spacing w:val="0"/>
          <w:w w:val="100"/>
          <w:position w:val="0"/>
        </w:rPr>
        <w:t>等云网融合领域的合作共享，推进传输线路、管道光缆、机房天面、分布系统基础 设施和重点业务平台的共建共享与共维共优。</w:t>
      </w:r>
    </w:p>
    <w:p>
      <w:pPr>
        <w:pStyle w:val="Style16"/>
        <w:keepNext/>
        <w:keepLines/>
        <w:widowControl w:val="0"/>
        <w:shd w:val="clear" w:color="auto" w:fill="auto"/>
        <w:bidi w:val="0"/>
        <w:spacing w:before="0" w:after="120" w:line="360" w:lineRule="exact"/>
        <w:ind w:left="0" w:right="0" w:firstLine="560"/>
        <w:jc w:val="left"/>
      </w:pPr>
      <w:bookmarkStart w:id="105" w:name="bookmark105"/>
      <w:bookmarkStart w:id="106" w:name="bookmark106"/>
      <w:bookmarkStart w:id="107" w:name="bookmark107"/>
      <w:r>
        <w:rPr>
          <w:color w:val="000000"/>
          <w:spacing w:val="0"/>
          <w:w w:val="100"/>
          <w:position w:val="0"/>
        </w:rPr>
        <w:t>要素资源加速融通，协同合作共创新价值</w:t>
      </w:r>
      <w:bookmarkEnd w:id="105"/>
      <w:bookmarkEnd w:id="106"/>
      <w:bookmarkEnd w:id="107"/>
    </w:p>
    <w:p>
      <w:pPr>
        <w:pStyle w:val="Style5"/>
        <w:keepNext w:val="0"/>
        <w:keepLines w:val="0"/>
        <w:widowControl w:val="0"/>
        <w:shd w:val="clear" w:color="auto" w:fill="auto"/>
        <w:bidi w:val="0"/>
        <w:spacing w:before="0" w:after="120" w:line="360" w:lineRule="exact"/>
        <w:ind w:left="140" w:right="0" w:firstLine="420"/>
        <w:jc w:val="both"/>
      </w:pPr>
      <w:r>
        <w:rPr>
          <w:color w:val="000000"/>
          <w:spacing w:val="0"/>
          <w:w w:val="100"/>
          <w:position w:val="0"/>
        </w:rPr>
        <w:t>公司主动作为，积极推进与国家部委、地方政府、企事业单位等加强战略合作，深化开放合作广 度深度，服务经济社会数字化转型；积极构建与战投伙伴、行业友商、系统厂商、科技公司、社会力 量的生态合作圈，携手行业共同推进价值创造；加强股权投资管理，采用参股、并购方式通过产投协 同延展产业领域，助力主业收入规模增长；依托“直投</w:t>
      </w:r>
      <w:r>
        <w:rPr>
          <w:rFonts w:ascii="Times New Roman" w:eastAsia="Times New Roman" w:hAnsi="Times New Roman" w:cs="Times New Roman"/>
          <w:color w:val="000000"/>
          <w:spacing w:val="0"/>
          <w:w w:val="100"/>
          <w:position w:val="0"/>
        </w:rPr>
        <w:t>+</w:t>
      </w:r>
      <w:r>
        <w:rPr>
          <w:color w:val="000000"/>
          <w:spacing w:val="0"/>
          <w:w w:val="100"/>
          <w:position w:val="0"/>
        </w:rPr>
        <w:t>基金</w:t>
      </w:r>
      <w:r>
        <w:rPr>
          <w:rFonts w:ascii="Times New Roman" w:eastAsia="Times New Roman" w:hAnsi="Times New Roman" w:cs="Times New Roman"/>
          <w:color w:val="000000"/>
          <w:spacing w:val="0"/>
          <w:w w:val="100"/>
          <w:position w:val="0"/>
        </w:rPr>
        <w:t>+</w:t>
      </w:r>
      <w:r>
        <w:rPr>
          <w:color w:val="000000"/>
          <w:spacing w:val="0"/>
          <w:w w:val="100"/>
          <w:position w:val="0"/>
        </w:rPr>
        <w:t>孵化”投资者平台在创新领域布局，推 动开放合作生态。</w:t>
      </w:r>
    </w:p>
    <w:p>
      <w:pPr>
        <w:pStyle w:val="Style16"/>
        <w:keepNext/>
        <w:keepLines/>
        <w:widowControl w:val="0"/>
        <w:numPr>
          <w:ilvl w:val="0"/>
          <w:numId w:val="1"/>
        </w:numPr>
        <w:shd w:val="clear" w:color="auto" w:fill="auto"/>
        <w:tabs>
          <w:tab w:pos="1098" w:val="left"/>
        </w:tabs>
        <w:bidi w:val="0"/>
        <w:spacing w:before="0" w:after="120" w:line="360" w:lineRule="exact"/>
        <w:ind w:left="0" w:right="0" w:firstLine="560"/>
        <w:jc w:val="left"/>
      </w:pPr>
      <w:bookmarkStart w:id="108" w:name="bookmark108"/>
      <w:bookmarkStart w:id="109" w:name="bookmark109"/>
      <w:bookmarkStart w:id="110" w:name="bookmark110"/>
      <w:bookmarkStart w:id="111" w:name="bookmark111"/>
      <w:bookmarkEnd w:id="110"/>
      <w:r>
        <w:rPr>
          <w:color w:val="000000"/>
          <w:spacing w:val="0"/>
          <w:w w:val="100"/>
          <w:position w:val="0"/>
        </w:rPr>
        <w:t>社会责任和公司治理</w:t>
      </w:r>
      <w:bookmarkEnd w:id="108"/>
      <w:bookmarkEnd w:id="109"/>
      <w:bookmarkEnd w:id="111"/>
    </w:p>
    <w:p>
      <w:pPr>
        <w:pStyle w:val="Style5"/>
        <w:keepNext w:val="0"/>
        <w:keepLines w:val="0"/>
        <w:widowControl w:val="0"/>
        <w:shd w:val="clear" w:color="auto" w:fill="auto"/>
        <w:bidi w:val="0"/>
        <w:spacing w:before="0" w:after="0" w:line="360" w:lineRule="exact"/>
        <w:ind w:left="140" w:right="0" w:firstLine="420"/>
        <w:jc w:val="both"/>
      </w:pPr>
      <w:r>
        <w:rPr>
          <w:color w:val="000000"/>
          <w:spacing w:val="0"/>
          <w:w w:val="100"/>
          <w:position w:val="0"/>
        </w:rPr>
        <w:t>公司积极主动服务和融入国家战略，坚决履行使命担当，在数字化、网络化、智能化发展中让人 民群众有更多获得感、幸福感、安全感。作为北京</w:t>
      </w:r>
      <w:r>
        <w:rPr>
          <w:rFonts w:ascii="Times New Roman" w:eastAsia="Times New Roman" w:hAnsi="Times New Roman" w:cs="Times New Roman"/>
          <w:color w:val="000000"/>
          <w:spacing w:val="0"/>
          <w:w w:val="100"/>
          <w:position w:val="0"/>
        </w:rPr>
        <w:t>2022</w:t>
      </w:r>
      <w:r>
        <w:rPr>
          <w:color w:val="000000"/>
          <w:spacing w:val="0"/>
          <w:w w:val="100"/>
          <w:position w:val="0"/>
        </w:rPr>
        <w:t>年冬奥会和冬残奥会唯一官方通信服务合作 伙伴，以“绿色办奥、共享办奥、开放办奥、廉洁办奥”理念为根本遵循，认真贯彻落实“简约、安 全、精彩”的办赛要求，围绕“智慧冬奥”战略，全面实现网络保障零失误、赛事服务零投诉、保障 人员零感染，圆满完成冬奥会通信安全保障任务。首次将</w:t>
      </w:r>
      <w:r>
        <w:rPr>
          <w:rFonts w:ascii="Times New Roman" w:eastAsia="Times New Roman" w:hAnsi="Times New Roman" w:cs="Times New Roman"/>
          <w:color w:val="000000"/>
          <w:spacing w:val="0"/>
          <w:w w:val="100"/>
          <w:position w:val="0"/>
        </w:rPr>
        <w:t>IPv6</w:t>
      </w:r>
      <w:r>
        <w:rPr>
          <w:rFonts w:ascii="Times New Roman" w:eastAsia="Times New Roman" w:hAnsi="Times New Roman" w:cs="Times New Roman"/>
          <w:color w:val="000000"/>
          <w:spacing w:val="0"/>
          <w:w w:val="100"/>
          <w:position w:val="0"/>
        </w:rPr>
        <w:t>+</w:t>
      </w:r>
      <w:r>
        <w:rPr>
          <w:color w:val="000000"/>
          <w:spacing w:val="0"/>
          <w:w w:val="100"/>
          <w:position w:val="0"/>
        </w:rPr>
        <w:t>技术运用于冬奥专网，通过网络切片、 分段路由、时延调优等能力为北京冬奥转播提供高品质的网络服务。落实“双碳”部署，推进绿色低 碳循环发展，积极推进共建共享。持续加快数字乡村建设，助力农业农村现代化，巩固拓展脱贫攻坚 成果同乡村振兴有效衔接。积极响应“一带一路”倡议，服务雄安新区、粤港澳大湾区、长三角一体 化等国家战略规划，积极推动国内国际双循环相互促进，加速构建区域协调发展新格局。围绕防疫、 文体、教育、医疗、环保、公益等领域，打造惠民应用、助力社会公益。关心关爱员工生活，帮助员 工成长发展。</w:t>
      </w:r>
    </w:p>
    <w:p>
      <w:pPr>
        <w:pStyle w:val="Style5"/>
        <w:keepNext w:val="0"/>
        <w:keepLines w:val="0"/>
        <w:widowControl w:val="0"/>
        <w:shd w:val="clear" w:color="auto" w:fill="auto"/>
        <w:bidi w:val="0"/>
        <w:spacing w:before="0" w:after="120" w:line="360" w:lineRule="exact"/>
        <w:ind w:left="140" w:right="0" w:firstLine="420"/>
        <w:jc w:val="both"/>
      </w:pPr>
      <w:r>
        <w:rPr>
          <w:color w:val="000000"/>
          <w:spacing w:val="0"/>
          <w:w w:val="100"/>
          <w:position w:val="0"/>
        </w:rPr>
        <w:t>公司持续完善治理机制，提升执行力，强化风险管理和内部控制，为企业持续健康发展提供坚实 保障。今年以来，公司荣获多项嘉许，包括于</w:t>
      </w:r>
      <w:r>
        <w:rPr>
          <w:rFonts w:ascii="Times New Roman" w:eastAsia="Times New Roman" w:hAnsi="Times New Roman" w:cs="Times New Roman"/>
          <w:color w:val="000000"/>
          <w:spacing w:val="0"/>
          <w:w w:val="100"/>
          <w:position w:val="0"/>
        </w:rPr>
        <w:t>2021</w:t>
      </w:r>
      <w:r>
        <w:rPr>
          <w:color w:val="000000"/>
          <w:spacing w:val="0"/>
          <w:w w:val="100"/>
          <w:position w:val="0"/>
        </w:rPr>
        <w:t>年《财富全球</w:t>
      </w:r>
      <w:r>
        <w:rPr>
          <w:rFonts w:ascii="Times New Roman" w:eastAsia="Times New Roman" w:hAnsi="Times New Roman" w:cs="Times New Roman"/>
          <w:color w:val="000000"/>
          <w:spacing w:val="0"/>
          <w:w w:val="100"/>
          <w:position w:val="0"/>
        </w:rPr>
        <w:t>500</w:t>
      </w:r>
      <w:r>
        <w:rPr>
          <w:color w:val="000000"/>
          <w:spacing w:val="0"/>
          <w:w w:val="100"/>
          <w:position w:val="0"/>
        </w:rPr>
        <w:t>强企业》中排名第</w:t>
      </w:r>
      <w:r>
        <w:rPr>
          <w:rFonts w:ascii="Times New Roman" w:eastAsia="Times New Roman" w:hAnsi="Times New Roman" w:cs="Times New Roman"/>
          <w:color w:val="000000"/>
          <w:spacing w:val="0"/>
          <w:w w:val="100"/>
          <w:position w:val="0"/>
        </w:rPr>
        <w:t>260</w:t>
      </w:r>
      <w:r>
        <w:rPr>
          <w:color w:val="000000"/>
          <w:spacing w:val="0"/>
          <w:w w:val="100"/>
          <w:position w:val="0"/>
        </w:rPr>
        <w:t xml:space="preserve">位，于 </w:t>
      </w:r>
      <w:r>
        <w:rPr>
          <w:rFonts w:ascii="Times New Roman" w:eastAsia="Times New Roman" w:hAnsi="Times New Roman" w:cs="Times New Roman"/>
          <w:color w:val="000000"/>
          <w:spacing w:val="0"/>
          <w:w w:val="100"/>
          <w:position w:val="0"/>
        </w:rPr>
        <w:t>2021</w:t>
      </w:r>
      <w:r>
        <w:rPr>
          <w:color w:val="000000"/>
          <w:spacing w:val="0"/>
          <w:w w:val="100"/>
          <w:position w:val="0"/>
        </w:rPr>
        <w:t>年《福布斯全球上市公司</w:t>
      </w:r>
      <w:r>
        <w:rPr>
          <w:rFonts w:ascii="Times New Roman" w:eastAsia="Times New Roman" w:hAnsi="Times New Roman" w:cs="Times New Roman"/>
          <w:color w:val="000000"/>
          <w:spacing w:val="0"/>
          <w:w w:val="100"/>
          <w:position w:val="0"/>
        </w:rPr>
        <w:t>2000</w:t>
      </w:r>
      <w:r>
        <w:rPr>
          <w:color w:val="000000"/>
          <w:spacing w:val="0"/>
          <w:w w:val="100"/>
          <w:position w:val="0"/>
        </w:rPr>
        <w:t>强》中排名第</w:t>
      </w:r>
      <w:r>
        <w:rPr>
          <w:rFonts w:ascii="Times New Roman" w:eastAsia="Times New Roman" w:hAnsi="Times New Roman" w:cs="Times New Roman"/>
          <w:color w:val="000000"/>
          <w:spacing w:val="0"/>
          <w:w w:val="100"/>
          <w:position w:val="0"/>
        </w:rPr>
        <w:t>276</w:t>
      </w:r>
      <w:r>
        <w:rPr>
          <w:color w:val="000000"/>
          <w:spacing w:val="0"/>
          <w:w w:val="100"/>
          <w:position w:val="0"/>
        </w:rPr>
        <w:t>位；是全国所有上市公司中仅有的</w:t>
      </w:r>
      <w:r>
        <w:rPr>
          <w:rFonts w:ascii="Times New Roman" w:eastAsia="Times New Roman" w:hAnsi="Times New Roman" w:cs="Times New Roman"/>
          <w:color w:val="000000"/>
          <w:spacing w:val="0"/>
          <w:w w:val="100"/>
          <w:position w:val="0"/>
        </w:rPr>
        <w:t>7</w:t>
      </w:r>
      <w:r>
        <w:rPr>
          <w:color w:val="000000"/>
          <w:spacing w:val="0"/>
          <w:w w:val="100"/>
          <w:position w:val="0"/>
        </w:rPr>
        <w:t>家同时获 中国上市公司协会“董事会办公室最佳实践案例”和“业绩说明会最佳实践案例”两大权威奖项的单 位之一；本公司控股子公司</w:t>
      </w:r>
      <w:r>
        <w:rPr>
          <w:rFonts w:ascii="Times New Roman" w:eastAsia="Times New Roman" w:hAnsi="Times New Roman" w:cs="Times New Roman"/>
          <w:color w:val="000000"/>
          <w:spacing w:val="0"/>
          <w:w w:val="100"/>
          <w:position w:val="0"/>
        </w:rPr>
        <w:t>-</w:t>
      </w:r>
      <w:r>
        <w:rPr>
          <w:color w:val="000000"/>
          <w:spacing w:val="0"/>
          <w:w w:val="100"/>
          <w:position w:val="0"/>
        </w:rPr>
        <w:t>联通红筹公司获《金融亚洲》</w:t>
      </w:r>
      <w:r>
        <w:rPr>
          <w:color w:val="000000"/>
          <w:spacing w:val="0"/>
          <w:w w:val="100"/>
          <w:position w:val="0"/>
        </w:rPr>
        <w:t>(</w:t>
      </w:r>
      <w:r>
        <w:rPr>
          <w:rFonts w:ascii="Times New Roman" w:eastAsia="Times New Roman" w:hAnsi="Times New Roman" w:cs="Times New Roman"/>
          <w:color w:val="000000"/>
          <w:spacing w:val="0"/>
          <w:w w:val="100"/>
          <w:position w:val="0"/>
        </w:rPr>
        <w:t>Finance Asia</w:t>
      </w:r>
      <w:r>
        <w:rPr>
          <w:color w:val="000000"/>
          <w:spacing w:val="0"/>
          <w:w w:val="100"/>
          <w:position w:val="0"/>
        </w:rPr>
        <w:t>)评选为“亚洲最佳电信公 司”第一名及“中国最佳管理上市公司”第一名，获《机构投资者》</w:t>
      </w:r>
      <w:r>
        <w:rPr>
          <w:color w:val="000000"/>
          <w:spacing w:val="0"/>
          <w:w w:val="100"/>
          <w:position w:val="0"/>
        </w:rPr>
        <w:t>(</w:t>
      </w:r>
      <w:r>
        <w:rPr>
          <w:rFonts w:ascii="Times New Roman" w:eastAsia="Times New Roman" w:hAnsi="Times New Roman" w:cs="Times New Roman"/>
          <w:color w:val="000000"/>
          <w:spacing w:val="0"/>
          <w:w w:val="100"/>
          <w:position w:val="0"/>
        </w:rPr>
        <w:t>Institutional Investor</w:t>
      </w:r>
      <w:r>
        <w:rPr>
          <w:color w:val="000000"/>
          <w:spacing w:val="0"/>
          <w:w w:val="100"/>
          <w:position w:val="0"/>
        </w:rPr>
        <w:t>)</w:t>
      </w:r>
      <w:r>
        <w:rPr>
          <w:color w:val="000000"/>
          <w:spacing w:val="0"/>
          <w:w w:val="100"/>
          <w:position w:val="0"/>
        </w:rPr>
        <w:t>连续第六 年评选为“亚洲最受尊崇电信企业”第一名。</w:t>
      </w:r>
    </w:p>
    <w:p>
      <w:pPr>
        <w:pStyle w:val="Style16"/>
        <w:keepNext/>
        <w:keepLines/>
        <w:widowControl w:val="0"/>
        <w:numPr>
          <w:ilvl w:val="0"/>
          <w:numId w:val="1"/>
        </w:numPr>
        <w:shd w:val="clear" w:color="auto" w:fill="auto"/>
        <w:tabs>
          <w:tab w:pos="1098" w:val="left"/>
        </w:tabs>
        <w:bidi w:val="0"/>
        <w:spacing w:before="0" w:after="120" w:line="360" w:lineRule="exact"/>
        <w:ind w:left="0" w:right="0" w:firstLine="560"/>
        <w:jc w:val="left"/>
      </w:pPr>
      <w:bookmarkStart w:id="112" w:name="bookmark112"/>
      <w:bookmarkStart w:id="113" w:name="bookmark113"/>
      <w:bookmarkStart w:id="114" w:name="bookmark114"/>
      <w:bookmarkStart w:id="115" w:name="bookmark115"/>
      <w:bookmarkEnd w:id="114"/>
      <w:r>
        <w:rPr>
          <w:color w:val="000000"/>
          <w:spacing w:val="0"/>
          <w:w w:val="100"/>
          <w:position w:val="0"/>
        </w:rPr>
        <w:t>未来展望</w:t>
      </w:r>
      <w:bookmarkEnd w:id="112"/>
      <w:bookmarkEnd w:id="113"/>
      <w:bookmarkEnd w:id="115"/>
    </w:p>
    <w:p>
      <w:pPr>
        <w:pStyle w:val="Style5"/>
        <w:keepNext w:val="0"/>
        <w:keepLines w:val="0"/>
        <w:widowControl w:val="0"/>
        <w:shd w:val="clear" w:color="auto" w:fill="auto"/>
        <w:bidi w:val="0"/>
        <w:spacing w:before="0" w:after="0" w:line="362" w:lineRule="exact"/>
        <w:ind w:left="140" w:right="0" w:firstLine="420"/>
        <w:jc w:val="both"/>
      </w:pPr>
      <w:r>
        <w:rPr>
          <w:color w:val="000000"/>
          <w:spacing w:val="0"/>
          <w:w w:val="100"/>
          <w:position w:val="0"/>
        </w:rPr>
        <w:t>数字经济正推动生产方式、生活方式和治理方式深刻变革，成为经济社会持续健康发展的强大动 力源。以</w:t>
      </w:r>
      <w:r>
        <w:rPr>
          <w:rFonts w:ascii="Times New Roman" w:eastAsia="Times New Roman" w:hAnsi="Times New Roman" w:cs="Times New Roman"/>
          <w:color w:val="000000"/>
          <w:spacing w:val="0"/>
          <w:w w:val="100"/>
          <w:position w:val="0"/>
        </w:rPr>
        <w:t>5G</w:t>
      </w:r>
      <w:r>
        <w:rPr>
          <w:color w:val="000000"/>
          <w:spacing w:val="0"/>
          <w:w w:val="100"/>
          <w:position w:val="0"/>
        </w:rPr>
        <w:t>为代表的数字技术加速与实体经济融合，各行各业数字化转型进程加快，为数字经济发 展带来广阔空间，预计到</w:t>
      </w:r>
      <w:r>
        <w:rPr>
          <w:rFonts w:ascii="Times New Roman" w:eastAsia="Times New Roman" w:hAnsi="Times New Roman" w:cs="Times New Roman"/>
          <w:color w:val="000000"/>
          <w:spacing w:val="0"/>
          <w:w w:val="100"/>
          <w:position w:val="0"/>
        </w:rPr>
        <w:t>2025</w:t>
      </w:r>
      <w:r>
        <w:rPr>
          <w:color w:val="000000"/>
          <w:spacing w:val="0"/>
          <w:w w:val="100"/>
          <w:position w:val="0"/>
        </w:rPr>
        <w:t>年，数字经济核心产业增加值占</w:t>
      </w:r>
      <w:r>
        <w:rPr>
          <w:rFonts w:ascii="Times New Roman" w:eastAsia="Times New Roman" w:hAnsi="Times New Roman" w:cs="Times New Roman"/>
          <w:color w:val="000000"/>
          <w:spacing w:val="0"/>
          <w:w w:val="100"/>
          <w:position w:val="0"/>
        </w:rPr>
        <w:t>GDP</w:t>
      </w:r>
      <w:r>
        <w:rPr>
          <w:color w:val="000000"/>
          <w:spacing w:val="0"/>
          <w:w w:val="100"/>
          <w:position w:val="0"/>
        </w:rPr>
        <w:t>比重将达到</w:t>
      </w:r>
      <w:r>
        <w:rPr>
          <w:rFonts w:ascii="Times New Roman" w:eastAsia="Times New Roman" w:hAnsi="Times New Roman" w:cs="Times New Roman"/>
          <w:color w:val="000000"/>
          <w:spacing w:val="0"/>
          <w:w w:val="100"/>
          <w:position w:val="0"/>
        </w:rPr>
        <w:t>10%</w:t>
      </w:r>
      <w:r>
        <w:rPr>
          <w:color w:val="000000"/>
          <w:spacing w:val="0"/>
          <w:w w:val="100"/>
          <w:position w:val="0"/>
          <w:vertAlign w:val="superscript"/>
        </w:rPr>
        <w:t>1</w:t>
      </w:r>
      <w:r>
        <w:rPr>
          <w:color w:val="000000"/>
          <w:spacing w:val="0"/>
          <w:w w:val="100"/>
          <w:position w:val="0"/>
        </w:rPr>
        <w:t>。</w:t>
      </w:r>
      <w:r>
        <w:rPr>
          <w:color w:val="000000"/>
          <w:spacing w:val="0"/>
          <w:w w:val="100"/>
          <w:position w:val="0"/>
        </w:rPr>
        <w:t>信息通信运 营商作为数字信息基础设施建设、服务、运营的“国家队”，有能力、更有义务以更加积极的态度参 与到数字化革命浪潮中，为经济社会发展畅通信息大动脉、构筑数字新底座，推动数字经济、数字生 活和数字治理发展，为国家战略科技升级贡献力量。</w:t>
      </w:r>
    </w:p>
    <w:p>
      <w:pPr>
        <w:pStyle w:val="Style5"/>
        <w:keepNext w:val="0"/>
        <w:keepLines w:val="0"/>
        <w:widowControl w:val="0"/>
        <w:shd w:val="clear" w:color="auto" w:fill="auto"/>
        <w:bidi w:val="0"/>
        <w:spacing w:before="0" w:after="440" w:line="362" w:lineRule="exact"/>
        <w:ind w:left="14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 xml:space="preserve">年是中国联通全面贯彻落实新战略规划的起跑之年。中国联通将持续全面贯彻新发展理念， 服务构建新发展格局，推动高质量发展，围绕“网络强国、数字中国、智慧社会”建设，以贯彻落实 </w:t>
      </w:r>
      <w:r>
        <w:rPr>
          <w:color w:val="000000"/>
          <w:spacing w:val="0"/>
          <w:w w:val="100"/>
          <w:position w:val="0"/>
        </w:rPr>
        <w:t>公司“</w:t>
      </w:r>
      <w:r>
        <w:rPr>
          <w:rFonts w:ascii="Times New Roman" w:eastAsia="Times New Roman" w:hAnsi="Times New Roman" w:cs="Times New Roman"/>
          <w:color w:val="000000"/>
          <w:spacing w:val="0"/>
          <w:w w:val="100"/>
          <w:position w:val="0"/>
        </w:rPr>
        <w:t>1+8+2</w:t>
      </w:r>
      <w:r>
        <w:rPr>
          <w:color w:val="000000"/>
          <w:spacing w:val="0"/>
          <w:w w:val="100"/>
          <w:position w:val="0"/>
        </w:rPr>
        <w:t>”战略规划体系为工作主线，聚焦五大主责主业，稳增长、优网络、抓改革、提能力、 强协同、防风险，为股东、客户及社会创造更大价值。</w:t>
      </w:r>
    </w:p>
    <w:p>
      <w:pPr>
        <w:pStyle w:val="Style39"/>
        <w:keepNext w:val="0"/>
        <w:keepLines w:val="0"/>
        <w:widowControl w:val="0"/>
        <w:shd w:val="clear" w:color="auto" w:fill="auto"/>
        <w:bidi w:val="0"/>
        <w:spacing w:before="0" w:after="540" w:line="240" w:lineRule="auto"/>
        <w:ind w:left="0" w:right="0" w:firstLine="50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：国家《“十四五”数字经济发展规划》</w:t>
      </w:r>
    </w:p>
    <w:p>
      <w:pPr>
        <w:pStyle w:val="Style16"/>
        <w:keepNext/>
        <w:keepLines/>
        <w:widowControl w:val="0"/>
        <w:shd w:val="clear" w:color="auto" w:fill="auto"/>
        <w:tabs>
          <w:tab w:pos="558" w:val="left"/>
        </w:tabs>
        <w:bidi w:val="0"/>
        <w:spacing w:before="0"/>
        <w:ind w:left="0" w:right="0" w:firstLine="140"/>
        <w:jc w:val="left"/>
      </w:pPr>
      <w:bookmarkStart w:id="116" w:name="bookmark116"/>
      <w:bookmarkStart w:id="117" w:name="bookmark117"/>
      <w:bookmarkStart w:id="118" w:name="bookmark118"/>
      <w:bookmarkStart w:id="119" w:name="bookmark119"/>
      <w:r>
        <w:rPr>
          <w:color w:val="000000"/>
          <w:spacing w:val="0"/>
          <w:w w:val="100"/>
          <w:position w:val="0"/>
        </w:rPr>
        <w:t>二</w:t>
      </w:r>
      <w:bookmarkEnd w:id="118"/>
      <w:r>
        <w:rPr>
          <w:color w:val="000000"/>
          <w:spacing w:val="0"/>
          <w:w w:val="100"/>
          <w:position w:val="0"/>
        </w:rPr>
        <w:t>、</w:t>
        <w:tab/>
        <w:t>报告期内公司所处行业情况</w:t>
      </w:r>
      <w:bookmarkEnd w:id="116"/>
      <w:bookmarkEnd w:id="117"/>
      <w:bookmarkEnd w:id="119"/>
    </w:p>
    <w:p>
      <w:pPr>
        <w:pStyle w:val="Style5"/>
        <w:keepNext w:val="0"/>
        <w:keepLines w:val="0"/>
        <w:widowControl w:val="0"/>
        <w:shd w:val="clear" w:color="auto" w:fill="auto"/>
        <w:bidi w:val="0"/>
        <w:spacing w:before="0" w:line="360" w:lineRule="exact"/>
        <w:ind w:left="14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年，我国通信业全面贯彻党的十九大和十九届历次全会精神，深入落实党中央、国务院决策 部署，积极推进网络强国、数字中国建设和智慧社会建设，</w:t>
      </w:r>
      <w:r>
        <w:rPr>
          <w:rFonts w:ascii="Times New Roman" w:eastAsia="Times New Roman" w:hAnsi="Times New Roman" w:cs="Times New Roman"/>
          <w:color w:val="000000"/>
          <w:spacing w:val="0"/>
          <w:w w:val="100"/>
          <w:position w:val="0"/>
        </w:rPr>
        <w:t>5G</w:t>
      </w:r>
      <w:r>
        <w:rPr>
          <w:color w:val="000000"/>
          <w:spacing w:val="0"/>
          <w:w w:val="100"/>
          <w:position w:val="0"/>
        </w:rPr>
        <w:t>和千兆光网等新型信息基础设施建设 覆盖和应用普及全面加速，为打造数字经济新优势、增强经济发展新动能提供有力支撑。行业发展质 量和增长水平进一步提升，实现了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的良好开局。</w:t>
      </w:r>
    </w:p>
    <w:p>
      <w:pPr>
        <w:pStyle w:val="Style5"/>
        <w:keepNext w:val="0"/>
        <w:keepLines w:val="0"/>
        <w:widowControl w:val="0"/>
        <w:shd w:val="clear" w:color="auto" w:fill="auto"/>
        <w:bidi w:val="0"/>
        <w:spacing w:before="0" w:line="363" w:lineRule="exact"/>
        <w:ind w:left="14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年，我国电信业量收保持较快增长，呈现稳中向好态势。全年电信业务收入较上年增长</w:t>
      </w:r>
      <w:r>
        <w:rPr>
          <w:rFonts w:ascii="Times New Roman" w:eastAsia="Times New Roman" w:hAnsi="Times New Roman" w:cs="Times New Roman"/>
          <w:color w:val="000000"/>
          <w:spacing w:val="0"/>
          <w:w w:val="100"/>
          <w:position w:val="0"/>
        </w:rPr>
        <w:t>8%</w:t>
      </w:r>
      <w:r>
        <w:rPr>
          <w:color w:val="000000"/>
          <w:spacing w:val="0"/>
          <w:w w:val="100"/>
          <w:position w:val="0"/>
        </w:rPr>
        <w:t>， 增速同比提升超</w:t>
      </w:r>
      <w:r>
        <w:rPr>
          <w:rFonts w:ascii="Times New Roman" w:eastAsia="Times New Roman" w:hAnsi="Times New Roman" w:cs="Times New Roman"/>
          <w:color w:val="000000"/>
          <w:spacing w:val="0"/>
          <w:w w:val="100"/>
          <w:position w:val="0"/>
        </w:rPr>
        <w:t>4</w:t>
      </w:r>
      <w:r>
        <w:rPr>
          <w:color w:val="000000"/>
          <w:spacing w:val="0"/>
          <w:w w:val="100"/>
          <w:position w:val="0"/>
        </w:rPr>
        <w:t>个百分点。其中，云计算、大数据、数据中心等面向企业的新兴数字化服务快速发 展，拉动电信业务收入增长</w:t>
      </w:r>
      <w:r>
        <w:rPr>
          <w:rFonts w:ascii="Times New Roman" w:eastAsia="Times New Roman" w:hAnsi="Times New Roman" w:cs="Times New Roman"/>
          <w:color w:val="000000"/>
          <w:spacing w:val="0"/>
          <w:w w:val="100"/>
          <w:position w:val="0"/>
        </w:rPr>
        <w:t>3.6</w:t>
      </w:r>
      <w:r>
        <w:rPr>
          <w:color w:val="000000"/>
          <w:spacing w:val="0"/>
          <w:w w:val="100"/>
          <w:position w:val="0"/>
        </w:rPr>
        <w:t>个百分点，成为收入增长第一拉动力；固定、移动数据及互联网业务 继续发挥稳定器作用，对电信业务收入增长贡献率为</w:t>
      </w:r>
      <w:r>
        <w:rPr>
          <w:rFonts w:ascii="Times New Roman" w:eastAsia="Times New Roman" w:hAnsi="Times New Roman" w:cs="Times New Roman"/>
          <w:color w:val="000000"/>
          <w:spacing w:val="0"/>
          <w:w w:val="100"/>
          <w:position w:val="0"/>
        </w:rPr>
        <w:t>39.4%</w:t>
      </w:r>
      <w:r>
        <w:rPr>
          <w:color w:val="000000"/>
          <w:spacing w:val="0"/>
          <w:w w:val="100"/>
          <w:position w:val="0"/>
        </w:rPr>
        <w:t>。</w:t>
      </w:r>
    </w:p>
    <w:p>
      <w:pPr>
        <w:pStyle w:val="Style5"/>
        <w:keepNext w:val="0"/>
        <w:keepLines w:val="0"/>
        <w:widowControl w:val="0"/>
        <w:shd w:val="clear" w:color="auto" w:fill="auto"/>
        <w:bidi w:val="0"/>
        <w:spacing w:before="0" w:line="353" w:lineRule="exact"/>
        <w:ind w:left="140" w:right="0"/>
        <w:jc w:val="both"/>
      </w:pPr>
      <w:r>
        <w:rPr>
          <w:color w:val="000000"/>
          <w:spacing w:val="0"/>
          <w:w w:val="100"/>
          <w:position w:val="0"/>
        </w:rPr>
        <w:t>疫情影响下，非接触性服务普及率大幅提升，用户对网上购物、在线办公等移动互联网应用的依 赖度加深。</w:t>
      </w:r>
      <w:r>
        <w:rPr>
          <w:rFonts w:ascii="Times New Roman" w:eastAsia="Times New Roman" w:hAnsi="Times New Roman" w:cs="Times New Roman"/>
          <w:color w:val="000000"/>
          <w:spacing w:val="0"/>
          <w:w w:val="100"/>
          <w:position w:val="0"/>
        </w:rPr>
        <w:t>2021</w:t>
      </w:r>
      <w:r>
        <w:rPr>
          <w:color w:val="000000"/>
          <w:spacing w:val="0"/>
          <w:w w:val="100"/>
          <w:position w:val="0"/>
        </w:rPr>
        <w:t>年，全年移动互联网接入流量同比增长超</w:t>
      </w:r>
      <w:r>
        <w:rPr>
          <w:rFonts w:ascii="Times New Roman" w:eastAsia="Times New Roman" w:hAnsi="Times New Roman" w:cs="Times New Roman"/>
          <w:color w:val="000000"/>
          <w:spacing w:val="0"/>
          <w:w w:val="100"/>
          <w:position w:val="0"/>
        </w:rPr>
        <w:t>30%</w:t>
      </w:r>
      <w:r>
        <w:rPr>
          <w:color w:val="000000"/>
          <w:spacing w:val="0"/>
          <w:w w:val="100"/>
          <w:position w:val="0"/>
        </w:rPr>
        <w:t>，移动互联网月户均流量</w:t>
      </w:r>
      <w:r>
        <w:rPr>
          <w:color w:val="000000"/>
          <w:spacing w:val="0"/>
          <w:w w:val="100"/>
          <w:position w:val="0"/>
        </w:rPr>
        <w:t>（</w:t>
      </w:r>
      <w:r>
        <w:rPr>
          <w:rFonts w:ascii="Times New Roman" w:eastAsia="Times New Roman" w:hAnsi="Times New Roman" w:cs="Times New Roman"/>
          <w:color w:val="000000"/>
          <w:spacing w:val="0"/>
          <w:w w:val="100"/>
          <w:position w:val="0"/>
        </w:rPr>
        <w:t>DOU</w:t>
      </w:r>
      <w:r>
        <w:rPr>
          <w:color w:val="000000"/>
          <w:spacing w:val="0"/>
          <w:w w:val="100"/>
          <w:position w:val="0"/>
        </w:rPr>
        <w:t>）</w:t>
      </w:r>
      <w:r>
        <w:rPr>
          <w:color w:val="000000"/>
          <w:spacing w:val="0"/>
          <w:w w:val="100"/>
          <w:position w:val="0"/>
        </w:rPr>
        <w:t xml:space="preserve">超 </w:t>
      </w:r>
      <w:r>
        <w:rPr>
          <w:rFonts w:ascii="Times New Roman" w:eastAsia="Times New Roman" w:hAnsi="Times New Roman" w:cs="Times New Roman"/>
          <w:color w:val="000000"/>
          <w:spacing w:val="0"/>
          <w:w w:val="100"/>
          <w:position w:val="0"/>
        </w:rPr>
        <w:t>13GB/</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月。</w:t>
      </w:r>
    </w:p>
    <w:p>
      <w:pPr>
        <w:pStyle w:val="Style5"/>
        <w:keepNext w:val="0"/>
        <w:keepLines w:val="0"/>
        <w:widowControl w:val="0"/>
        <w:shd w:val="clear" w:color="auto" w:fill="auto"/>
        <w:bidi w:val="0"/>
        <w:spacing w:before="0" w:after="440" w:line="362" w:lineRule="exact"/>
        <w:ind w:left="14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年，全行业加快</w:t>
      </w:r>
      <w:r>
        <w:rPr>
          <w:rFonts w:ascii="Times New Roman" w:eastAsia="Times New Roman" w:hAnsi="Times New Roman" w:cs="Times New Roman"/>
          <w:color w:val="000000"/>
          <w:spacing w:val="0"/>
          <w:w w:val="100"/>
          <w:position w:val="0"/>
        </w:rPr>
        <w:t>“</w:t>
      </w:r>
      <w:r>
        <w:rPr>
          <w:color w:val="000000"/>
          <w:spacing w:val="0"/>
          <w:w w:val="100"/>
          <w:position w:val="0"/>
        </w:rPr>
        <w:t>双千兆</w:t>
      </w:r>
      <w:r>
        <w:rPr>
          <w:rFonts w:ascii="Times New Roman" w:eastAsia="Times New Roman" w:hAnsi="Times New Roman" w:cs="Times New Roman"/>
          <w:color w:val="000000"/>
          <w:spacing w:val="0"/>
          <w:w w:val="100"/>
          <w:position w:val="0"/>
        </w:rPr>
        <w:t>”</w:t>
      </w:r>
      <w:r>
        <w:rPr>
          <w:color w:val="000000"/>
          <w:spacing w:val="0"/>
          <w:w w:val="100"/>
          <w:position w:val="0"/>
        </w:rPr>
        <w:t>建设，推动国家大数据中心发展，构建云网融合新型基础设施，赋 能社会数字化转型的供给能力不断提升，并持续推进电信普遍服务，全国所有行政村实现</w:t>
      </w:r>
      <w:r>
        <w:rPr>
          <w:rFonts w:ascii="Times New Roman" w:eastAsia="Times New Roman" w:hAnsi="Times New Roman" w:cs="Times New Roman"/>
          <w:color w:val="000000"/>
          <w:spacing w:val="0"/>
          <w:w w:val="100"/>
          <w:position w:val="0"/>
        </w:rPr>
        <w:t>“</w:t>
      </w:r>
      <w:r>
        <w:rPr>
          <w:color w:val="000000"/>
          <w:spacing w:val="0"/>
          <w:w w:val="100"/>
          <w:position w:val="0"/>
        </w:rPr>
        <w:t>村村通宽 带</w:t>
      </w:r>
      <w:r>
        <w:rPr>
          <w:rFonts w:ascii="Times New Roman" w:eastAsia="Times New Roman" w:hAnsi="Times New Roman" w:cs="Times New Roman"/>
          <w:color w:val="000000"/>
          <w:spacing w:val="0"/>
          <w:w w:val="100"/>
          <w:position w:val="0"/>
        </w:rPr>
        <w:t>”</w:t>
      </w:r>
      <w:r>
        <w:rPr>
          <w:color w:val="000000"/>
          <w:spacing w:val="0"/>
          <w:w w:val="100"/>
          <w:position w:val="0"/>
        </w:rPr>
        <w:t>。目前我国已建成全球最大</w:t>
      </w:r>
      <w:r>
        <w:rPr>
          <w:rFonts w:ascii="Times New Roman" w:eastAsia="Times New Roman" w:hAnsi="Times New Roman" w:cs="Times New Roman"/>
          <w:color w:val="000000"/>
          <w:spacing w:val="0"/>
          <w:w w:val="100"/>
          <w:position w:val="0"/>
        </w:rPr>
        <w:t>5G</w:t>
      </w:r>
      <w:r>
        <w:rPr>
          <w:color w:val="000000"/>
          <w:spacing w:val="0"/>
          <w:w w:val="100"/>
          <w:position w:val="0"/>
        </w:rPr>
        <w:t>网，全年</w:t>
      </w:r>
      <w:r>
        <w:rPr>
          <w:rFonts w:ascii="Times New Roman" w:eastAsia="Times New Roman" w:hAnsi="Times New Roman" w:cs="Times New Roman"/>
          <w:color w:val="000000"/>
          <w:spacing w:val="0"/>
          <w:w w:val="100"/>
          <w:position w:val="0"/>
        </w:rPr>
        <w:t>5G</w:t>
      </w:r>
      <w:r>
        <w:rPr>
          <w:color w:val="000000"/>
          <w:spacing w:val="0"/>
          <w:w w:val="100"/>
          <w:position w:val="0"/>
        </w:rPr>
        <w:t>投资</w:t>
      </w:r>
      <w:r>
        <w:rPr>
          <w:rFonts w:ascii="Times New Roman" w:eastAsia="Times New Roman" w:hAnsi="Times New Roman" w:cs="Times New Roman"/>
          <w:color w:val="000000"/>
          <w:spacing w:val="0"/>
          <w:w w:val="100"/>
          <w:position w:val="0"/>
        </w:rPr>
        <w:t>1,849</w:t>
      </w:r>
      <w:r>
        <w:rPr>
          <w:color w:val="000000"/>
          <w:spacing w:val="0"/>
          <w:w w:val="100"/>
          <w:position w:val="0"/>
        </w:rPr>
        <w:t>亿元，占电信固定资产投资比达</w:t>
      </w:r>
      <w:r>
        <w:rPr>
          <w:rFonts w:ascii="Times New Roman" w:eastAsia="Times New Roman" w:hAnsi="Times New Roman" w:cs="Times New Roman"/>
          <w:color w:val="000000"/>
          <w:spacing w:val="0"/>
          <w:w w:val="100"/>
          <w:position w:val="0"/>
        </w:rPr>
        <w:t>45.6%</w:t>
      </w:r>
      <w:r>
        <w:rPr>
          <w:color w:val="000000"/>
          <w:spacing w:val="0"/>
          <w:w w:val="100"/>
          <w:position w:val="0"/>
        </w:rPr>
        <w:t>， 累计建成并开通</w:t>
      </w:r>
      <w:r>
        <w:rPr>
          <w:rFonts w:ascii="Times New Roman" w:eastAsia="Times New Roman" w:hAnsi="Times New Roman" w:cs="Times New Roman"/>
          <w:color w:val="000000"/>
          <w:spacing w:val="0"/>
          <w:w w:val="100"/>
          <w:position w:val="0"/>
        </w:rPr>
        <w:t>5G</w:t>
      </w:r>
      <w:r>
        <w:rPr>
          <w:color w:val="000000"/>
          <w:spacing w:val="0"/>
          <w:w w:val="100"/>
          <w:position w:val="0"/>
        </w:rPr>
        <w:t>基站</w:t>
      </w:r>
      <w:r>
        <w:rPr>
          <w:rFonts w:ascii="Times New Roman" w:eastAsia="Times New Roman" w:hAnsi="Times New Roman" w:cs="Times New Roman"/>
          <w:color w:val="000000"/>
          <w:spacing w:val="0"/>
          <w:w w:val="100"/>
          <w:position w:val="0"/>
        </w:rPr>
        <w:t>142.5</w:t>
      </w:r>
      <w:r>
        <w:rPr>
          <w:color w:val="000000"/>
          <w:spacing w:val="0"/>
          <w:w w:val="100"/>
          <w:position w:val="0"/>
        </w:rPr>
        <w:t>万个，其中共建共享</w:t>
      </w:r>
      <w:r>
        <w:rPr>
          <w:rFonts w:ascii="Times New Roman" w:eastAsia="Times New Roman" w:hAnsi="Times New Roman" w:cs="Times New Roman"/>
          <w:color w:val="000000"/>
          <w:spacing w:val="0"/>
          <w:w w:val="100"/>
          <w:position w:val="0"/>
        </w:rPr>
        <w:t>5G</w:t>
      </w:r>
      <w:r>
        <w:rPr>
          <w:color w:val="000000"/>
          <w:spacing w:val="0"/>
          <w:w w:val="100"/>
          <w:position w:val="0"/>
        </w:rPr>
        <w:t>基站达</w:t>
      </w:r>
      <w:r>
        <w:rPr>
          <w:rFonts w:ascii="Times New Roman" w:eastAsia="Times New Roman" w:hAnsi="Times New Roman" w:cs="Times New Roman"/>
          <w:color w:val="000000"/>
          <w:spacing w:val="0"/>
          <w:w w:val="100"/>
          <w:position w:val="0"/>
        </w:rPr>
        <w:t>84</w:t>
      </w:r>
      <w:r>
        <w:rPr>
          <w:color w:val="000000"/>
          <w:spacing w:val="0"/>
          <w:w w:val="100"/>
          <w:position w:val="0"/>
        </w:rPr>
        <w:t>万个，实现覆盖全国所有地级市城 区、超过</w:t>
      </w:r>
      <w:r>
        <w:rPr>
          <w:rFonts w:ascii="Times New Roman" w:eastAsia="Times New Roman" w:hAnsi="Times New Roman" w:cs="Times New Roman"/>
          <w:color w:val="000000"/>
          <w:spacing w:val="0"/>
          <w:w w:val="100"/>
          <w:position w:val="0"/>
        </w:rPr>
        <w:t>98%</w:t>
      </w:r>
      <w:r>
        <w:rPr>
          <w:color w:val="000000"/>
          <w:spacing w:val="0"/>
          <w:w w:val="100"/>
          <w:position w:val="0"/>
        </w:rPr>
        <w:t>的县城城区和</w:t>
      </w:r>
      <w:r>
        <w:rPr>
          <w:rFonts w:ascii="Times New Roman" w:eastAsia="Times New Roman" w:hAnsi="Times New Roman" w:cs="Times New Roman"/>
          <w:color w:val="000000"/>
          <w:spacing w:val="0"/>
          <w:w w:val="100"/>
          <w:position w:val="0"/>
        </w:rPr>
        <w:t>80%</w:t>
      </w:r>
      <w:r>
        <w:rPr>
          <w:color w:val="000000"/>
          <w:spacing w:val="0"/>
          <w:w w:val="100"/>
          <w:position w:val="0"/>
        </w:rPr>
        <w:t>的乡镇镇区，并逐步向有需求的农村地区推进。全国已有超过</w:t>
      </w:r>
      <w:r>
        <w:rPr>
          <w:rFonts w:ascii="Times New Roman" w:eastAsia="Times New Roman" w:hAnsi="Times New Roman" w:cs="Times New Roman"/>
          <w:color w:val="000000"/>
          <w:spacing w:val="0"/>
          <w:w w:val="100"/>
          <w:position w:val="0"/>
        </w:rPr>
        <w:t>300</w:t>
      </w:r>
      <w:r>
        <w:rPr>
          <w:color w:val="000000"/>
          <w:spacing w:val="0"/>
          <w:w w:val="100"/>
          <w:position w:val="0"/>
        </w:rPr>
        <w:t>个 城市启动千兆光纤宽带网络建设，截至</w:t>
      </w:r>
      <w:r>
        <w:rPr>
          <w:rFonts w:ascii="Times New Roman" w:eastAsia="Times New Roman" w:hAnsi="Times New Roman" w:cs="Times New Roman"/>
          <w:color w:val="000000"/>
          <w:spacing w:val="0"/>
          <w:w w:val="100"/>
          <w:position w:val="0"/>
        </w:rPr>
        <w:t>2021</w:t>
      </w:r>
      <w:r>
        <w:rPr>
          <w:color w:val="000000"/>
          <w:spacing w:val="0"/>
          <w:w w:val="100"/>
          <w:position w:val="0"/>
        </w:rPr>
        <w:t>年底已建成</w:t>
      </w:r>
      <w:r>
        <w:rPr>
          <w:rFonts w:ascii="Times New Roman" w:eastAsia="Times New Roman" w:hAnsi="Times New Roman" w:cs="Times New Roman"/>
          <w:color w:val="000000"/>
          <w:spacing w:val="0"/>
          <w:w w:val="100"/>
          <w:position w:val="0"/>
        </w:rPr>
        <w:t>10G PON</w:t>
      </w:r>
      <w:r>
        <w:rPr>
          <w:color w:val="000000"/>
          <w:spacing w:val="0"/>
          <w:w w:val="100"/>
          <w:position w:val="0"/>
        </w:rPr>
        <w:t xml:space="preserve">端口 </w:t>
      </w:r>
      <w:r>
        <w:rPr>
          <w:rFonts w:ascii="Times New Roman" w:eastAsia="Times New Roman" w:hAnsi="Times New Roman" w:cs="Times New Roman"/>
          <w:color w:val="000000"/>
          <w:spacing w:val="0"/>
          <w:w w:val="100"/>
          <w:position w:val="0"/>
        </w:rPr>
        <w:t>786</w:t>
      </w:r>
      <w:r>
        <w:rPr>
          <w:color w:val="000000"/>
          <w:spacing w:val="0"/>
          <w:w w:val="100"/>
          <w:position w:val="0"/>
        </w:rPr>
        <w:t>万个，具备覆盖</w:t>
      </w:r>
      <w:r>
        <w:rPr>
          <w:rFonts w:ascii="Times New Roman" w:eastAsia="Times New Roman" w:hAnsi="Times New Roman" w:cs="Times New Roman"/>
          <w:color w:val="000000"/>
          <w:spacing w:val="0"/>
          <w:w w:val="100"/>
          <w:position w:val="0"/>
        </w:rPr>
        <w:t>3</w:t>
      </w:r>
      <w:r>
        <w:rPr>
          <w:color w:val="000000"/>
          <w:spacing w:val="0"/>
          <w:w w:val="100"/>
          <w:position w:val="0"/>
        </w:rPr>
        <w:t>亿户家 庭的能力。</w:t>
      </w:r>
    </w:p>
    <w:p>
      <w:pPr>
        <w:pStyle w:val="Style16"/>
        <w:keepNext/>
        <w:keepLines/>
        <w:widowControl w:val="0"/>
        <w:shd w:val="clear" w:color="auto" w:fill="auto"/>
        <w:tabs>
          <w:tab w:pos="563" w:val="left"/>
        </w:tabs>
        <w:bidi w:val="0"/>
        <w:spacing w:before="0"/>
        <w:ind w:left="0" w:right="0" w:firstLine="140"/>
        <w:jc w:val="left"/>
      </w:pPr>
      <w:bookmarkStart w:id="120" w:name="bookmark120"/>
      <w:bookmarkStart w:id="121" w:name="bookmark121"/>
      <w:bookmarkStart w:id="122" w:name="bookmark122"/>
      <w:bookmarkStart w:id="123" w:name="bookmark123"/>
      <w:r>
        <w:rPr>
          <w:color w:val="000000"/>
          <w:spacing w:val="0"/>
          <w:w w:val="100"/>
          <w:position w:val="0"/>
        </w:rPr>
        <w:t>三</w:t>
      </w:r>
      <w:bookmarkEnd w:id="122"/>
      <w:r>
        <w:rPr>
          <w:color w:val="000000"/>
          <w:spacing w:val="0"/>
          <w:w w:val="100"/>
          <w:position w:val="0"/>
        </w:rPr>
        <w:t>、</w:t>
        <w:tab/>
        <w:t>报告期内公司从事的业务情况</w:t>
      </w:r>
      <w:bookmarkEnd w:id="120"/>
      <w:bookmarkEnd w:id="121"/>
      <w:bookmarkEnd w:id="123"/>
    </w:p>
    <w:p>
      <w:pPr>
        <w:pStyle w:val="Style5"/>
        <w:keepNext w:val="0"/>
        <w:keepLines w:val="0"/>
        <w:widowControl w:val="0"/>
        <w:shd w:val="clear" w:color="auto" w:fill="auto"/>
        <w:bidi w:val="0"/>
        <w:spacing w:before="0" w:line="360" w:lineRule="exact"/>
        <w:ind w:left="14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年，中国联通以</w:t>
      </w:r>
      <w:r>
        <w:rPr>
          <w:rFonts w:ascii="Times New Roman" w:eastAsia="Times New Roman" w:hAnsi="Times New Roman" w:cs="Times New Roman"/>
          <w:color w:val="000000"/>
          <w:spacing w:val="0"/>
          <w:w w:val="100"/>
          <w:position w:val="0"/>
        </w:rPr>
        <w:t>“</w:t>
      </w:r>
      <w:r>
        <w:rPr>
          <w:color w:val="000000"/>
          <w:spacing w:val="0"/>
          <w:w w:val="100"/>
          <w:position w:val="0"/>
        </w:rPr>
        <w:t>强基固本、守正创新、融合开放</w:t>
      </w:r>
      <w:r>
        <w:rPr>
          <w:rFonts w:ascii="Times New Roman" w:eastAsia="Times New Roman" w:hAnsi="Times New Roman" w:cs="Times New Roman"/>
          <w:color w:val="000000"/>
          <w:spacing w:val="0"/>
          <w:w w:val="100"/>
          <w:position w:val="0"/>
        </w:rPr>
        <w:t>”</w:t>
      </w:r>
      <w:r>
        <w:rPr>
          <w:color w:val="000000"/>
          <w:spacing w:val="0"/>
          <w:w w:val="100"/>
          <w:position w:val="0"/>
        </w:rPr>
        <w:t>的战略升级，积极主动服务国家战略和融 入新发展格局，坚定推动高质量发展，持续发挥</w:t>
      </w:r>
      <w:r>
        <w:rPr>
          <w:rFonts w:ascii="Times New Roman" w:eastAsia="Times New Roman" w:hAnsi="Times New Roman" w:cs="Times New Roman"/>
          <w:color w:val="000000"/>
          <w:spacing w:val="0"/>
          <w:w w:val="100"/>
          <w:position w:val="0"/>
        </w:rPr>
        <w:t>IT</w:t>
      </w:r>
      <w:r>
        <w:rPr>
          <w:color w:val="000000"/>
          <w:spacing w:val="0"/>
          <w:w w:val="100"/>
          <w:position w:val="0"/>
        </w:rPr>
        <w:t>集约化优势，大力推进数字化转型和服务模式创 新，以</w:t>
      </w:r>
      <w:r>
        <w:rPr>
          <w:rFonts w:ascii="Times New Roman" w:eastAsia="Times New Roman" w:hAnsi="Times New Roman" w:cs="Times New Roman"/>
          <w:color w:val="000000"/>
          <w:spacing w:val="0"/>
          <w:w w:val="100"/>
          <w:position w:val="0"/>
        </w:rPr>
        <w:t>5G</w:t>
      </w:r>
      <w:r>
        <w:rPr>
          <w:color w:val="000000"/>
          <w:spacing w:val="0"/>
          <w:w w:val="100"/>
          <w:position w:val="0"/>
        </w:rPr>
        <w:t>业务为引领，强化融合经营，提升用户发展。</w:t>
      </w:r>
    </w:p>
    <w:p>
      <w:pPr>
        <w:pStyle w:val="Style16"/>
        <w:keepNext/>
        <w:keepLines/>
        <w:widowControl w:val="0"/>
        <w:shd w:val="clear" w:color="auto" w:fill="auto"/>
        <w:bidi w:val="0"/>
        <w:spacing w:before="0"/>
        <w:ind w:left="0" w:right="0" w:firstLine="500"/>
        <w:jc w:val="left"/>
      </w:pPr>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1</w:t>
      </w:r>
      <w:r>
        <w:rPr>
          <w:color w:val="000000"/>
          <w:spacing w:val="0"/>
          <w:w w:val="100"/>
          <w:position w:val="0"/>
        </w:rPr>
        <w:t>移动业务</w:t>
      </w:r>
      <w:bookmarkEnd w:id="124"/>
      <w:bookmarkEnd w:id="125"/>
      <w:bookmarkEnd w:id="126"/>
    </w:p>
    <w:p>
      <w:pPr>
        <w:pStyle w:val="Style5"/>
        <w:keepNext w:val="0"/>
        <w:keepLines w:val="0"/>
        <w:widowControl w:val="0"/>
        <w:shd w:val="clear" w:color="auto" w:fill="auto"/>
        <w:bidi w:val="0"/>
        <w:spacing w:before="0" w:line="360" w:lineRule="exact"/>
        <w:ind w:left="140" w:right="0"/>
        <w:jc w:val="both"/>
      </w:pPr>
      <w:r>
        <w:rPr>
          <w:color w:val="000000"/>
          <w:spacing w:val="0"/>
          <w:w w:val="100"/>
          <w:position w:val="0"/>
        </w:rPr>
        <w:t>中国联通坚持价值为先、体验领先、规模突破，全力实施</w:t>
      </w:r>
      <w:r>
        <w:rPr>
          <w:rFonts w:ascii="Times New Roman" w:eastAsia="Times New Roman" w:hAnsi="Times New Roman" w:cs="Times New Roman"/>
          <w:color w:val="000000"/>
          <w:spacing w:val="0"/>
          <w:w w:val="100"/>
          <w:position w:val="0"/>
        </w:rPr>
        <w:t>5G</w:t>
      </w:r>
      <w:r>
        <w:rPr>
          <w:color w:val="000000"/>
          <w:spacing w:val="0"/>
          <w:w w:val="100"/>
          <w:position w:val="0"/>
        </w:rPr>
        <w:t>引领融合化、群组化发展，以</w:t>
      </w:r>
      <w:r>
        <w:rPr>
          <w:rFonts w:ascii="Times New Roman" w:eastAsia="Times New Roman" w:hAnsi="Times New Roman" w:cs="Times New Roman"/>
          <w:color w:val="000000"/>
          <w:spacing w:val="0"/>
          <w:w w:val="100"/>
          <w:position w:val="0"/>
        </w:rPr>
        <w:t xml:space="preserve">5G </w:t>
      </w:r>
      <w:r>
        <w:rPr>
          <w:color w:val="000000"/>
          <w:spacing w:val="0"/>
          <w:w w:val="100"/>
          <w:position w:val="0"/>
        </w:rPr>
        <w:t>引领质效规模发展。推进新用户发展即</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重点市场和细分人群</w:t>
      </w:r>
      <w:r>
        <w:rPr>
          <w:rFonts w:ascii="Times New Roman" w:eastAsia="Times New Roman" w:hAnsi="Times New Roman" w:cs="Times New Roman"/>
          <w:color w:val="000000"/>
          <w:spacing w:val="0"/>
          <w:w w:val="100"/>
          <w:position w:val="0"/>
        </w:rPr>
        <w:t>5G</w:t>
      </w:r>
      <w:r>
        <w:rPr>
          <w:color w:val="000000"/>
          <w:spacing w:val="0"/>
          <w:w w:val="100"/>
          <w:position w:val="0"/>
        </w:rPr>
        <w:t>场景化突破；推进存量用户</w:t>
      </w:r>
      <w:r>
        <w:rPr>
          <w:rFonts w:ascii="Times New Roman" w:eastAsia="Times New Roman" w:hAnsi="Times New Roman" w:cs="Times New Roman"/>
          <w:color w:val="000000"/>
          <w:spacing w:val="0"/>
          <w:w w:val="100"/>
          <w:position w:val="0"/>
        </w:rPr>
        <w:t xml:space="preserve">5G </w:t>
      </w:r>
      <w:r>
        <w:rPr>
          <w:color w:val="000000"/>
          <w:spacing w:val="0"/>
          <w:w w:val="100"/>
          <w:position w:val="0"/>
        </w:rPr>
        <w:t>化，基于大数据精确分析和场景化深刻洞察，对客户精细切片、精准施策；推进</w:t>
      </w:r>
      <w:r>
        <w:rPr>
          <w:rFonts w:ascii="Times New Roman" w:eastAsia="Times New Roman" w:hAnsi="Times New Roman" w:cs="Times New Roman"/>
          <w:color w:val="000000"/>
          <w:spacing w:val="0"/>
          <w:w w:val="100"/>
          <w:position w:val="0"/>
        </w:rPr>
        <w:t>5G</w:t>
      </w:r>
      <w:r>
        <w:rPr>
          <w:color w:val="000000"/>
          <w:spacing w:val="0"/>
          <w:w w:val="100"/>
          <w:position w:val="0"/>
        </w:rPr>
        <w:t>多量纲产品创新， 确保资费合约与产品竞争力，推进</w:t>
      </w:r>
      <w:r>
        <w:rPr>
          <w:rFonts w:ascii="Times New Roman" w:eastAsia="Times New Roman" w:hAnsi="Times New Roman" w:cs="Times New Roman"/>
          <w:color w:val="000000"/>
          <w:spacing w:val="0"/>
          <w:w w:val="100"/>
          <w:position w:val="0"/>
        </w:rPr>
        <w:t>5G</w:t>
      </w:r>
      <w:r>
        <w:rPr>
          <w:color w:val="000000"/>
          <w:spacing w:val="0"/>
          <w:w w:val="100"/>
          <w:position w:val="0"/>
        </w:rPr>
        <w:t>套餐对全量客户全覆盖，加强</w:t>
      </w:r>
      <w:r>
        <w:rPr>
          <w:rFonts w:ascii="Times New Roman" w:eastAsia="Times New Roman" w:hAnsi="Times New Roman" w:cs="Times New Roman"/>
          <w:color w:val="000000"/>
          <w:spacing w:val="0"/>
          <w:w w:val="100"/>
          <w:position w:val="0"/>
        </w:rPr>
        <w:t>5G</w:t>
      </w:r>
      <w:r>
        <w:rPr>
          <w:color w:val="000000"/>
          <w:spacing w:val="0"/>
          <w:w w:val="100"/>
          <w:position w:val="0"/>
        </w:rPr>
        <w:t>用户合约化、融合化发展； 增强资费与合约灵活度，加强</w:t>
      </w:r>
      <w:r>
        <w:rPr>
          <w:rFonts w:ascii="Times New Roman" w:eastAsia="Times New Roman" w:hAnsi="Times New Roman" w:cs="Times New Roman"/>
          <w:color w:val="000000"/>
          <w:spacing w:val="0"/>
          <w:w w:val="100"/>
          <w:position w:val="0"/>
        </w:rPr>
        <w:t>5G</w:t>
      </w:r>
      <w:r>
        <w:rPr>
          <w:color w:val="000000"/>
          <w:spacing w:val="0"/>
          <w:w w:val="100"/>
          <w:position w:val="0"/>
        </w:rPr>
        <w:t>核心应用打造差异化；推动</w:t>
      </w:r>
      <w:r>
        <w:rPr>
          <w:rFonts w:ascii="Times New Roman" w:eastAsia="Times New Roman" w:hAnsi="Times New Roman" w:cs="Times New Roman"/>
          <w:color w:val="000000"/>
          <w:spacing w:val="0"/>
          <w:w w:val="100"/>
          <w:position w:val="0"/>
        </w:rPr>
        <w:t>5G</w:t>
      </w:r>
      <w:r>
        <w:rPr>
          <w:color w:val="000000"/>
          <w:spacing w:val="0"/>
          <w:w w:val="100"/>
          <w:position w:val="0"/>
        </w:rPr>
        <w:t xml:space="preserve">终端、泛终端产业创新发展；推进 </w:t>
      </w:r>
      <w:r>
        <w:rPr>
          <w:rFonts w:ascii="Times New Roman" w:eastAsia="Times New Roman" w:hAnsi="Times New Roman" w:cs="Times New Roman"/>
          <w:color w:val="000000"/>
          <w:spacing w:val="0"/>
          <w:w w:val="100"/>
          <w:position w:val="0"/>
        </w:rPr>
        <w:t>5G</w:t>
      </w:r>
      <w:r>
        <w:rPr>
          <w:color w:val="000000"/>
          <w:spacing w:val="0"/>
          <w:w w:val="100"/>
          <w:position w:val="0"/>
        </w:rPr>
        <w:t>端网业服协同。公司深化推进全面数字化转型，提升数字化营销服务能力，推进“平台</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+X”</w:t>
      </w:r>
      <w:r>
        <w:rPr>
          <w:color w:val="000000"/>
          <w:spacing w:val="0"/>
          <w:w w:val="100"/>
          <w:position w:val="0"/>
        </w:rPr>
        <w:t>产 品模式转型，加强全产品统筹管理与一体化开发运营能力，面向</w:t>
      </w:r>
      <w:r>
        <w:rPr>
          <w:rFonts w:ascii="Times New Roman" w:eastAsia="Times New Roman" w:hAnsi="Times New Roman" w:cs="Times New Roman"/>
          <w:color w:val="000000"/>
          <w:spacing w:val="0"/>
          <w:w w:val="100"/>
          <w:position w:val="0"/>
        </w:rPr>
        <w:t>2C</w:t>
      </w:r>
      <w:r>
        <w:rPr>
          <w:color w:val="000000"/>
          <w:spacing w:val="0"/>
          <w:w w:val="100"/>
          <w:position w:val="0"/>
        </w:rPr>
        <w:t>、</w:t>
      </w:r>
      <w:r>
        <w:rPr>
          <w:rFonts w:ascii="Times New Roman" w:eastAsia="Times New Roman" w:hAnsi="Times New Roman" w:cs="Times New Roman"/>
          <w:color w:val="000000"/>
          <w:spacing w:val="0"/>
          <w:w w:val="100"/>
          <w:position w:val="0"/>
        </w:rPr>
        <w:t>2H</w:t>
      </w:r>
      <w:r>
        <w:rPr>
          <w:color w:val="000000"/>
          <w:spacing w:val="0"/>
          <w:w w:val="100"/>
          <w:position w:val="0"/>
        </w:rPr>
        <w:t>、</w:t>
      </w:r>
      <w:r>
        <w:rPr>
          <w:rFonts w:ascii="Times New Roman" w:eastAsia="Times New Roman" w:hAnsi="Times New Roman" w:cs="Times New Roman"/>
          <w:color w:val="000000"/>
          <w:spacing w:val="0"/>
          <w:w w:val="100"/>
          <w:position w:val="0"/>
        </w:rPr>
        <w:t>2B2C</w:t>
      </w:r>
      <w:r>
        <w:rPr>
          <w:color w:val="000000"/>
          <w:spacing w:val="0"/>
          <w:w w:val="100"/>
          <w:position w:val="0"/>
        </w:rPr>
        <w:t>市场，成功推出了联 通数村、联通智家、联通云犀等平台。终端数字化运营和供应链生态加速健全，公司持续开放了终端 运营体系，保障了终端供应稳定，升级了数字化供应链能力；消费金融工具赋能广泛深入，金融受理 门店数超过</w:t>
      </w:r>
      <w:r>
        <w:rPr>
          <w:rFonts w:ascii="Times New Roman" w:eastAsia="Times New Roman" w:hAnsi="Times New Roman" w:cs="Times New Roman"/>
          <w:color w:val="000000"/>
          <w:spacing w:val="0"/>
          <w:w w:val="100"/>
          <w:position w:val="0"/>
        </w:rPr>
        <w:t>10</w:t>
      </w:r>
      <w:r>
        <w:rPr>
          <w:color w:val="000000"/>
          <w:spacing w:val="0"/>
          <w:w w:val="100"/>
          <w:position w:val="0"/>
        </w:rPr>
        <w:t>万家。截至</w:t>
      </w:r>
      <w:r>
        <w:rPr>
          <w:rFonts w:ascii="Times New Roman" w:eastAsia="Times New Roman" w:hAnsi="Times New Roman" w:cs="Times New Roman"/>
          <w:color w:val="000000"/>
          <w:spacing w:val="0"/>
          <w:w w:val="100"/>
          <w:position w:val="0"/>
        </w:rPr>
        <w:t>2021</w:t>
      </w:r>
      <w:r>
        <w:rPr>
          <w:color w:val="000000"/>
          <w:spacing w:val="0"/>
          <w:w w:val="100"/>
          <w:position w:val="0"/>
        </w:rPr>
        <w:t>年底，本公司拥有移动出账用户约</w:t>
      </w:r>
      <w:r>
        <w:rPr>
          <w:rFonts w:ascii="Times New Roman" w:eastAsia="Times New Roman" w:hAnsi="Times New Roman" w:cs="Times New Roman"/>
          <w:color w:val="000000"/>
          <w:spacing w:val="0"/>
          <w:w w:val="100"/>
          <w:position w:val="0"/>
        </w:rPr>
        <w:t>31,712</w:t>
      </w:r>
      <w:r>
        <w:rPr>
          <w:color w:val="000000"/>
          <w:spacing w:val="0"/>
          <w:w w:val="100"/>
          <w:position w:val="0"/>
        </w:rPr>
        <w:t>万，年累计净增</w:t>
      </w:r>
      <w:r>
        <w:rPr>
          <w:rFonts w:ascii="Times New Roman" w:eastAsia="Times New Roman" w:hAnsi="Times New Roman" w:cs="Times New Roman"/>
          <w:color w:val="000000"/>
          <w:spacing w:val="0"/>
          <w:w w:val="100"/>
          <w:position w:val="0"/>
        </w:rPr>
        <w:t>1,130</w:t>
      </w:r>
      <w:r>
        <w:rPr>
          <w:color w:val="000000"/>
          <w:spacing w:val="0"/>
          <w:w w:val="100"/>
          <w:position w:val="0"/>
        </w:rPr>
        <w:t xml:space="preserve">万户； </w:t>
      </w:r>
      <w:r>
        <w:rPr>
          <w:rFonts w:ascii="Times New Roman" w:eastAsia="Times New Roman" w:hAnsi="Times New Roman" w:cs="Times New Roman"/>
          <w:color w:val="000000"/>
          <w:spacing w:val="0"/>
          <w:w w:val="100"/>
          <w:position w:val="0"/>
        </w:rPr>
        <w:t>5G</w:t>
      </w:r>
      <w:r>
        <w:rPr>
          <w:color w:val="000000"/>
          <w:spacing w:val="0"/>
          <w:w w:val="100"/>
          <w:position w:val="0"/>
        </w:rPr>
        <w:t>套餐用户累计到达</w:t>
      </w:r>
      <w:r>
        <w:rPr>
          <w:rFonts w:ascii="Times New Roman" w:eastAsia="Times New Roman" w:hAnsi="Times New Roman" w:cs="Times New Roman"/>
          <w:color w:val="000000"/>
          <w:spacing w:val="0"/>
          <w:w w:val="100"/>
          <w:position w:val="0"/>
        </w:rPr>
        <w:t>15,493</w:t>
      </w:r>
      <w:r>
        <w:rPr>
          <w:color w:val="000000"/>
          <w:spacing w:val="0"/>
          <w:w w:val="100"/>
          <w:position w:val="0"/>
        </w:rPr>
        <w:t>万户，年累计净增</w:t>
      </w:r>
      <w:r>
        <w:rPr>
          <w:rFonts w:ascii="Times New Roman" w:eastAsia="Times New Roman" w:hAnsi="Times New Roman" w:cs="Times New Roman"/>
          <w:color w:val="000000"/>
          <w:spacing w:val="0"/>
          <w:w w:val="100"/>
          <w:position w:val="0"/>
        </w:rPr>
        <w:t>8,410</w:t>
      </w:r>
      <w:r>
        <w:rPr>
          <w:color w:val="000000"/>
          <w:spacing w:val="0"/>
          <w:w w:val="100"/>
          <w:position w:val="0"/>
        </w:rPr>
        <w:t>万户。</w:t>
      </w:r>
    </w:p>
    <w:p>
      <w:pPr>
        <w:pStyle w:val="Style16"/>
        <w:keepNext/>
        <w:keepLines/>
        <w:widowControl w:val="0"/>
        <w:shd w:val="clear" w:color="auto" w:fill="auto"/>
        <w:bidi w:val="0"/>
        <w:spacing w:before="0" w:line="359" w:lineRule="exact"/>
        <w:ind w:left="0" w:right="0" w:firstLine="560"/>
        <w:jc w:val="left"/>
      </w:pPr>
      <w:bookmarkStart w:id="127" w:name="bookmark127"/>
      <w:bookmarkStart w:id="128" w:name="bookmark128"/>
      <w:bookmarkStart w:id="129" w:name="bookmark129"/>
      <w:r>
        <w:rPr>
          <w:i/>
          <w:iCs/>
          <w:color w:val="000000"/>
          <w:spacing w:val="0"/>
          <w:w w:val="100"/>
          <w:position w:val="0"/>
        </w:rPr>
        <w:t>2</w:t>
      </w:r>
      <w:r>
        <w:rPr>
          <w:color w:val="000000"/>
          <w:spacing w:val="0"/>
          <w:w w:val="100"/>
          <w:position w:val="0"/>
        </w:rPr>
        <w:t>固网业务</w:t>
      </w:r>
      <w:bookmarkEnd w:id="127"/>
      <w:bookmarkEnd w:id="128"/>
      <w:bookmarkEnd w:id="129"/>
    </w:p>
    <w:p>
      <w:pPr>
        <w:pStyle w:val="Style5"/>
        <w:keepNext w:val="0"/>
        <w:keepLines w:val="0"/>
        <w:widowControl w:val="0"/>
        <w:shd w:val="clear" w:color="auto" w:fill="auto"/>
        <w:bidi w:val="0"/>
        <w:spacing w:before="0" w:line="359" w:lineRule="exact"/>
        <w:ind w:left="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年，中国联通在固网业务发展方面，坚持</w:t>
      </w:r>
      <w:r>
        <w:rPr>
          <w:rFonts w:ascii="Times New Roman" w:eastAsia="Times New Roman" w:hAnsi="Times New Roman" w:cs="Times New Roman"/>
          <w:color w:val="000000"/>
          <w:spacing w:val="0"/>
          <w:w w:val="100"/>
          <w:position w:val="0"/>
        </w:rPr>
        <w:t>“</w:t>
      </w:r>
      <w:r>
        <w:rPr>
          <w:color w:val="000000"/>
          <w:spacing w:val="0"/>
          <w:w w:val="100"/>
          <w:position w:val="0"/>
        </w:rPr>
        <w:t>端网业营服信''全面协同，坚持</w:t>
      </w:r>
      <w:r>
        <w:rPr>
          <w:rFonts w:ascii="Times New Roman" w:eastAsia="Times New Roman" w:hAnsi="Times New Roman" w:cs="Times New Roman"/>
          <w:color w:val="000000"/>
          <w:spacing w:val="0"/>
          <w:w w:val="100"/>
          <w:position w:val="0"/>
        </w:rPr>
        <w:t>“</w:t>
      </w:r>
      <w:r>
        <w:rPr>
          <w:color w:val="000000"/>
          <w:spacing w:val="0"/>
          <w:w w:val="100"/>
          <w:position w:val="0"/>
        </w:rPr>
        <w:t>三千兆''为引领， 建立了以市场为牵引的端网业服协同联动机制，全面提升宽带资源接入能力和资源管理能力，实现宽 带营销与资源能力协同发展。推进千兆网络建设，强化南方宽带能力建设，聚焦高价值区域，加快千 兆小区建设改造，持续开展宽带测速提速活动，盘活资源，全面提高网络资源效益。依托冬奥品牌优 势，全面强化千兆宽带发展，为实现北方全面领先、南方定点超越的经营目标奠定基础。以宽带流程 全链条优化为抓手，构建家庭用户</w:t>
      </w:r>
      <w:r>
        <w:rPr>
          <w:rFonts w:ascii="Times New Roman" w:eastAsia="Times New Roman" w:hAnsi="Times New Roman" w:cs="Times New Roman"/>
          <w:color w:val="000000"/>
          <w:spacing w:val="0"/>
          <w:w w:val="100"/>
          <w:position w:val="0"/>
        </w:rPr>
        <w:t>“</w:t>
      </w:r>
      <w:r>
        <w:rPr>
          <w:color w:val="000000"/>
          <w:spacing w:val="0"/>
          <w:w w:val="100"/>
          <w:position w:val="0"/>
        </w:rPr>
        <w:t>两网一中台</w:t>
      </w:r>
      <w:r>
        <w:rPr>
          <w:rFonts w:ascii="Times New Roman" w:eastAsia="Times New Roman" w:hAnsi="Times New Roman" w:cs="Times New Roman"/>
          <w:color w:val="000000"/>
          <w:spacing w:val="0"/>
          <w:w w:val="100"/>
          <w:position w:val="0"/>
        </w:rPr>
        <w:t>”</w:t>
      </w:r>
      <w:r>
        <w:rPr>
          <w:color w:val="000000"/>
          <w:spacing w:val="0"/>
          <w:w w:val="100"/>
          <w:position w:val="0"/>
        </w:rPr>
        <w:t>数字化运营体系，优化资源配置，推进高效能治理。 将固话纳入家庭套餐，盘活固话码号资源，推出固话视频彩铃、企业名片等创新应用。</w:t>
      </w:r>
      <w:r>
        <w:rPr>
          <w:rFonts w:ascii="Times New Roman" w:eastAsia="Times New Roman" w:hAnsi="Times New Roman" w:cs="Times New Roman"/>
          <w:color w:val="000000"/>
          <w:spacing w:val="0"/>
          <w:w w:val="100"/>
          <w:position w:val="0"/>
        </w:rPr>
        <w:t>2021</w:t>
      </w:r>
      <w:r>
        <w:rPr>
          <w:color w:val="000000"/>
          <w:spacing w:val="0"/>
          <w:w w:val="100"/>
          <w:position w:val="0"/>
        </w:rPr>
        <w:t>年宽带收 入完成人民币</w:t>
      </w:r>
      <w:r>
        <w:rPr>
          <w:rFonts w:ascii="Times New Roman" w:eastAsia="Times New Roman" w:hAnsi="Times New Roman" w:cs="Times New Roman"/>
          <w:color w:val="000000"/>
          <w:spacing w:val="0"/>
          <w:w w:val="100"/>
          <w:position w:val="0"/>
        </w:rPr>
        <w:t>448</w:t>
      </w:r>
      <w:r>
        <w:rPr>
          <w:color w:val="000000"/>
          <w:spacing w:val="0"/>
          <w:w w:val="100"/>
          <w:position w:val="0"/>
        </w:rPr>
        <w:t>亿元，同比增长</w:t>
      </w:r>
      <w:r>
        <w:rPr>
          <w:rFonts w:ascii="Times New Roman" w:eastAsia="Times New Roman" w:hAnsi="Times New Roman" w:cs="Times New Roman"/>
          <w:color w:val="000000"/>
          <w:spacing w:val="0"/>
          <w:w w:val="100"/>
          <w:position w:val="0"/>
        </w:rPr>
        <w:t>5.2%</w:t>
      </w:r>
      <w:r>
        <w:rPr>
          <w:color w:val="000000"/>
          <w:spacing w:val="0"/>
          <w:w w:val="100"/>
          <w:position w:val="0"/>
        </w:rPr>
        <w:t>。全年宽带用户净增</w:t>
      </w:r>
      <w:r>
        <w:rPr>
          <w:rFonts w:ascii="Times New Roman" w:eastAsia="Times New Roman" w:hAnsi="Times New Roman" w:cs="Times New Roman"/>
          <w:color w:val="000000"/>
          <w:spacing w:val="0"/>
          <w:w w:val="100"/>
          <w:position w:val="0"/>
        </w:rPr>
        <w:t>895</w:t>
      </w:r>
      <w:r>
        <w:rPr>
          <w:color w:val="000000"/>
          <w:spacing w:val="0"/>
          <w:w w:val="100"/>
          <w:position w:val="0"/>
        </w:rPr>
        <w:t>万户，达到</w:t>
      </w:r>
      <w:r>
        <w:rPr>
          <w:rFonts w:ascii="Times New Roman" w:eastAsia="Times New Roman" w:hAnsi="Times New Roman" w:cs="Times New Roman"/>
          <w:color w:val="000000"/>
          <w:spacing w:val="0"/>
          <w:w w:val="100"/>
          <w:position w:val="0"/>
        </w:rPr>
        <w:t>9505</w:t>
      </w:r>
      <w:r>
        <w:rPr>
          <w:color w:val="000000"/>
          <w:spacing w:val="0"/>
          <w:w w:val="100"/>
          <w:position w:val="0"/>
        </w:rPr>
        <w:t>万户，宽带用户接 入</w:t>
      </w:r>
      <w:r>
        <w:rPr>
          <w:rFonts w:ascii="Times New Roman" w:eastAsia="Times New Roman" w:hAnsi="Times New Roman" w:cs="Times New Roman"/>
          <w:color w:val="000000"/>
          <w:spacing w:val="0"/>
          <w:w w:val="100"/>
          <w:position w:val="0"/>
        </w:rPr>
        <w:t>ARPU</w:t>
      </w:r>
      <w:r>
        <w:rPr>
          <w:color w:val="000000"/>
          <w:spacing w:val="0"/>
          <w:w w:val="100"/>
          <w:position w:val="0"/>
        </w:rPr>
        <w:t>为人民币</w:t>
      </w:r>
      <w:r>
        <w:rPr>
          <w:rFonts w:ascii="Times New Roman" w:eastAsia="Times New Roman" w:hAnsi="Times New Roman" w:cs="Times New Roman"/>
          <w:color w:val="000000"/>
          <w:spacing w:val="0"/>
          <w:w w:val="100"/>
          <w:position w:val="0"/>
        </w:rPr>
        <w:t>41.3</w:t>
      </w:r>
      <w:r>
        <w:rPr>
          <w:color w:val="000000"/>
          <w:spacing w:val="0"/>
          <w:w w:val="100"/>
          <w:position w:val="0"/>
        </w:rPr>
        <w:t>元；</w:t>
      </w:r>
      <w:r>
        <w:rPr>
          <w:rFonts w:ascii="Times New Roman" w:eastAsia="Times New Roman" w:hAnsi="Times New Roman" w:cs="Times New Roman"/>
          <w:color w:val="000000"/>
          <w:spacing w:val="0"/>
          <w:w w:val="100"/>
          <w:position w:val="0"/>
        </w:rPr>
        <w:t>FTTH</w:t>
      </w:r>
      <w:r>
        <w:rPr>
          <w:color w:val="000000"/>
          <w:spacing w:val="0"/>
          <w:w w:val="100"/>
          <w:position w:val="0"/>
        </w:rPr>
        <w:t>用户占比达到</w:t>
      </w:r>
      <w:r>
        <w:rPr>
          <w:rFonts w:ascii="Times New Roman" w:eastAsia="Times New Roman" w:hAnsi="Times New Roman" w:cs="Times New Roman"/>
          <w:color w:val="000000"/>
          <w:spacing w:val="0"/>
          <w:w w:val="100"/>
          <w:position w:val="0"/>
        </w:rPr>
        <w:t>88%</w:t>
      </w:r>
      <w:r>
        <w:rPr>
          <w:color w:val="000000"/>
          <w:spacing w:val="0"/>
          <w:w w:val="100"/>
          <w:position w:val="0"/>
        </w:rPr>
        <w:t>。</w:t>
      </w:r>
    </w:p>
    <w:p>
      <w:pPr>
        <w:pStyle w:val="Style16"/>
        <w:keepNext/>
        <w:keepLines/>
        <w:widowControl w:val="0"/>
        <w:shd w:val="clear" w:color="auto" w:fill="auto"/>
        <w:bidi w:val="0"/>
        <w:spacing w:before="0" w:line="359" w:lineRule="exact"/>
        <w:ind w:left="0" w:right="0" w:firstLine="560"/>
        <w:jc w:val="left"/>
      </w:pPr>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3</w:t>
      </w:r>
      <w:r>
        <w:rPr>
          <w:color w:val="000000"/>
          <w:spacing w:val="0"/>
          <w:w w:val="100"/>
          <w:position w:val="0"/>
        </w:rPr>
        <w:t>产业互联网</w:t>
      </w:r>
      <w:bookmarkEnd w:id="130"/>
      <w:bookmarkEnd w:id="131"/>
      <w:bookmarkEnd w:id="132"/>
    </w:p>
    <w:p>
      <w:pPr>
        <w:pStyle w:val="Style5"/>
        <w:keepNext w:val="0"/>
        <w:keepLines w:val="0"/>
        <w:widowControl w:val="0"/>
        <w:shd w:val="clear" w:color="auto" w:fill="auto"/>
        <w:bidi w:val="0"/>
        <w:spacing w:before="0" w:line="359" w:lineRule="exact"/>
        <w:ind w:left="140" w:right="0" w:firstLine="420"/>
        <w:jc w:val="both"/>
      </w:pPr>
      <w:r>
        <w:rPr>
          <w:color w:val="000000"/>
          <w:spacing w:val="0"/>
          <w:w w:val="100"/>
          <w:position w:val="0"/>
        </w:rPr>
        <w:t xml:space="preserve">云计算方面，联通云作为数字化转型和融合创新的底座，为客户提供包括云资源、云平台、云服 务、云集成、云互联、云安全等一体化融合创新解决方案。通过统一技术架构、统一 </w:t>
      </w:r>
      <w:r>
        <w:rPr>
          <w:rFonts w:ascii="Times New Roman" w:eastAsia="Times New Roman" w:hAnsi="Times New Roman" w:cs="Times New Roman"/>
          <w:color w:val="000000"/>
          <w:spacing w:val="0"/>
          <w:w w:val="100"/>
          <w:position w:val="0"/>
        </w:rPr>
        <w:t>PaaS</w:t>
      </w:r>
      <w:r>
        <w:rPr>
          <w:color w:val="000000"/>
          <w:spacing w:val="0"/>
          <w:w w:val="100"/>
          <w:position w:val="0"/>
        </w:rPr>
        <w:t>平台提升 算力算效，全面布局大计算，通过技术升级、产品升级、服务升级、生态升级全面升级联通云。支持 架构开放、双引擎基座和多场景部署，大物智链安等</w:t>
      </w:r>
      <w:r>
        <w:rPr>
          <w:rFonts w:ascii="Times New Roman" w:eastAsia="Times New Roman" w:hAnsi="Times New Roman" w:cs="Times New Roman"/>
          <w:color w:val="000000"/>
          <w:spacing w:val="0"/>
          <w:w w:val="100"/>
          <w:position w:val="0"/>
        </w:rPr>
        <w:t>PaaS</w:t>
      </w:r>
      <w:r>
        <w:rPr>
          <w:color w:val="000000"/>
          <w:spacing w:val="0"/>
          <w:w w:val="100"/>
          <w:position w:val="0"/>
        </w:rPr>
        <w:t>产品与</w:t>
      </w:r>
      <w:r>
        <w:rPr>
          <w:rFonts w:ascii="Times New Roman" w:eastAsia="Times New Roman" w:hAnsi="Times New Roman" w:cs="Times New Roman"/>
          <w:color w:val="000000"/>
          <w:spacing w:val="0"/>
          <w:w w:val="100"/>
          <w:position w:val="0"/>
        </w:rPr>
        <w:t>IaaS</w:t>
      </w:r>
      <w:r>
        <w:rPr>
          <w:color w:val="000000"/>
          <w:spacing w:val="0"/>
          <w:w w:val="100"/>
          <w:position w:val="0"/>
        </w:rPr>
        <w:t>产品深度融合，基础产品品类 不断丰富，基础产品性能大幅提升，推出</w:t>
      </w:r>
      <w:r>
        <w:rPr>
          <w:rFonts w:ascii="Times New Roman" w:eastAsia="Times New Roman" w:hAnsi="Times New Roman" w:cs="Times New Roman"/>
          <w:color w:val="000000"/>
          <w:spacing w:val="0"/>
          <w:w w:val="100"/>
          <w:position w:val="0"/>
        </w:rPr>
        <w:t>7</w:t>
      </w:r>
      <w:r>
        <w:rPr>
          <w:color w:val="000000"/>
          <w:spacing w:val="0"/>
          <w:w w:val="100"/>
          <w:position w:val="0"/>
        </w:rPr>
        <w:t>大场景云产品，助力千行百业数字化转型。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联通 云''收入人民币</w:t>
      </w:r>
      <w:r>
        <w:rPr>
          <w:rFonts w:ascii="Times New Roman" w:eastAsia="Times New Roman" w:hAnsi="Times New Roman" w:cs="Times New Roman"/>
          <w:color w:val="000000"/>
          <w:spacing w:val="0"/>
          <w:w w:val="100"/>
          <w:position w:val="0"/>
        </w:rPr>
        <w:t>163</w:t>
      </w:r>
      <w:r>
        <w:rPr>
          <w:color w:val="000000"/>
          <w:spacing w:val="0"/>
          <w:w w:val="100"/>
          <w:position w:val="0"/>
        </w:rPr>
        <w:t>亿元。</w:t>
      </w:r>
    </w:p>
    <w:p>
      <w:pPr>
        <w:pStyle w:val="Style5"/>
        <w:keepNext w:val="0"/>
        <w:keepLines w:val="0"/>
        <w:widowControl w:val="0"/>
        <w:shd w:val="clear" w:color="auto" w:fill="auto"/>
        <w:bidi w:val="0"/>
        <w:spacing w:before="0" w:line="364" w:lineRule="exact"/>
        <w:ind w:left="140" w:right="0" w:firstLine="420"/>
        <w:jc w:val="both"/>
      </w:pPr>
      <w:r>
        <w:rPr>
          <w:color w:val="000000"/>
          <w:spacing w:val="0"/>
          <w:w w:val="100"/>
          <w:position w:val="0"/>
        </w:rPr>
        <w:t>大数据方面，升级数据应用服务、数据技术服务、数据安全服务、</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区块链服务能力，聚焦政 务、金融、文旅、交通等行业，优化政务大数据、金融大数据、文旅大数据、行业</w:t>
      </w:r>
      <w:r>
        <w:rPr>
          <w:rFonts w:ascii="Times New Roman" w:eastAsia="Times New Roman" w:hAnsi="Times New Roman" w:cs="Times New Roman"/>
          <w:color w:val="000000"/>
          <w:spacing w:val="0"/>
          <w:w w:val="100"/>
          <w:position w:val="0"/>
        </w:rPr>
        <w:t>AI</w:t>
      </w:r>
      <w:r>
        <w:rPr>
          <w:color w:val="000000"/>
          <w:spacing w:val="0"/>
          <w:w w:val="100"/>
          <w:position w:val="0"/>
        </w:rPr>
        <w:t>产品及</w:t>
      </w:r>
      <w:r>
        <w:rPr>
          <w:rFonts w:ascii="Times New Roman" w:eastAsia="Times New Roman" w:hAnsi="Times New Roman" w:cs="Times New Roman"/>
          <w:color w:val="000000"/>
          <w:spacing w:val="0"/>
          <w:w w:val="100"/>
          <w:position w:val="0"/>
        </w:rPr>
        <w:t>“</w:t>
      </w:r>
      <w:r>
        <w:rPr>
          <w:color w:val="000000"/>
          <w:spacing w:val="0"/>
          <w:w w:val="100"/>
          <w:position w:val="0"/>
        </w:rPr>
        <w:t>行业</w:t>
      </w:r>
      <w:r>
        <w:rPr>
          <w:rFonts w:ascii="Times New Roman" w:eastAsia="Times New Roman" w:hAnsi="Times New Roman" w:cs="Times New Roman"/>
          <w:color w:val="000000"/>
          <w:spacing w:val="0"/>
          <w:w w:val="100"/>
          <w:position w:val="0"/>
        </w:rPr>
        <w:t xml:space="preserve">+ </w:t>
      </w:r>
      <w:r>
        <w:rPr>
          <w:color w:val="000000"/>
          <w:spacing w:val="0"/>
          <w:w w:val="100"/>
          <w:position w:val="0"/>
        </w:rPr>
        <w:t>区块链</w:t>
      </w:r>
      <w:r>
        <w:rPr>
          <w:rFonts w:ascii="Times New Roman" w:eastAsia="Times New Roman" w:hAnsi="Times New Roman" w:cs="Times New Roman"/>
          <w:color w:val="000000"/>
          <w:spacing w:val="0"/>
          <w:w w:val="100"/>
          <w:position w:val="0"/>
        </w:rPr>
        <w:t>”</w:t>
      </w:r>
      <w:r>
        <w:rPr>
          <w:color w:val="000000"/>
          <w:spacing w:val="0"/>
          <w:w w:val="100"/>
          <w:position w:val="0"/>
        </w:rPr>
        <w:t>产品体系；持续服务疫情防控与复工复产；支撑</w:t>
      </w:r>
      <w:r>
        <w:rPr>
          <w:rFonts w:ascii="Times New Roman" w:eastAsia="Times New Roman" w:hAnsi="Times New Roman" w:cs="Times New Roman"/>
          <w:color w:val="000000"/>
          <w:spacing w:val="0"/>
          <w:w w:val="100"/>
          <w:position w:val="0"/>
        </w:rPr>
        <w:t>8</w:t>
      </w:r>
      <w:r>
        <w:rPr>
          <w:color w:val="000000"/>
          <w:spacing w:val="0"/>
          <w:w w:val="100"/>
          <w:position w:val="0"/>
        </w:rPr>
        <w:t>项区块链试点成功入选国家区块链创新应 用试点。</w:t>
      </w:r>
      <w:r>
        <w:rPr>
          <w:rFonts w:ascii="Times New Roman" w:eastAsia="Times New Roman" w:hAnsi="Times New Roman" w:cs="Times New Roman"/>
          <w:color w:val="000000"/>
          <w:spacing w:val="0"/>
          <w:w w:val="100"/>
          <w:position w:val="0"/>
        </w:rPr>
        <w:t>2021</w:t>
      </w:r>
      <w:r>
        <w:rPr>
          <w:color w:val="000000"/>
          <w:spacing w:val="0"/>
          <w:w w:val="100"/>
          <w:position w:val="0"/>
        </w:rPr>
        <w:t>年大数据收入达人民币</w:t>
      </w:r>
      <w:r>
        <w:rPr>
          <w:rFonts w:ascii="Times New Roman" w:eastAsia="Times New Roman" w:hAnsi="Times New Roman" w:cs="Times New Roman"/>
          <w:color w:val="000000"/>
          <w:spacing w:val="0"/>
          <w:w w:val="100"/>
          <w:position w:val="0"/>
        </w:rPr>
        <w:t>26</w:t>
      </w:r>
      <w:r>
        <w:rPr>
          <w:color w:val="000000"/>
          <w:spacing w:val="0"/>
          <w:w w:val="100"/>
          <w:position w:val="0"/>
        </w:rPr>
        <w:t>亿元，同比增长</w:t>
      </w:r>
      <w:r>
        <w:rPr>
          <w:rFonts w:ascii="Times New Roman" w:eastAsia="Times New Roman" w:hAnsi="Times New Roman" w:cs="Times New Roman"/>
          <w:color w:val="000000"/>
          <w:spacing w:val="0"/>
          <w:w w:val="100"/>
          <w:position w:val="0"/>
        </w:rPr>
        <w:t xml:space="preserve">48.7 </w:t>
      </w:r>
      <w:r>
        <w:rPr>
          <w:rFonts w:ascii="Times New Roman" w:eastAsia="Times New Roman" w:hAnsi="Times New Roman" w:cs="Times New Roman"/>
          <w:color w:val="000000"/>
          <w:spacing w:val="0"/>
          <w:w w:val="100"/>
          <w:position w:val="0"/>
        </w:rPr>
        <w:t>%</w:t>
      </w:r>
      <w:r>
        <w:rPr>
          <w:color w:val="000000"/>
          <w:spacing w:val="0"/>
          <w:w w:val="100"/>
          <w:position w:val="0"/>
        </w:rPr>
        <w:t>，市场份额连续三年保持电信运营商 首位。</w:t>
      </w:r>
    </w:p>
    <w:p>
      <w:pPr>
        <w:pStyle w:val="Style5"/>
        <w:keepNext w:val="0"/>
        <w:keepLines w:val="0"/>
        <w:widowControl w:val="0"/>
        <w:shd w:val="clear" w:color="auto" w:fill="auto"/>
        <w:bidi w:val="0"/>
        <w:spacing w:before="0" w:line="360" w:lineRule="exact"/>
        <w:ind w:left="140" w:right="0" w:firstLine="420"/>
        <w:jc w:val="both"/>
      </w:pPr>
      <w:r>
        <w:rPr>
          <w:color w:val="000000"/>
          <w:spacing w:val="0"/>
          <w:w w:val="100"/>
          <w:position w:val="0"/>
        </w:rPr>
        <w:t>物联网方面，以</w:t>
      </w:r>
      <w:r>
        <w:rPr>
          <w:rFonts w:ascii="Times New Roman" w:eastAsia="Times New Roman" w:hAnsi="Times New Roman" w:cs="Times New Roman"/>
          <w:color w:val="000000"/>
          <w:spacing w:val="0"/>
          <w:w w:val="100"/>
          <w:position w:val="0"/>
        </w:rPr>
        <w:t>5G</w:t>
      </w:r>
      <w:r>
        <w:rPr>
          <w:color w:val="000000"/>
          <w:spacing w:val="0"/>
          <w:w w:val="100"/>
          <w:position w:val="0"/>
        </w:rPr>
        <w:t>为引领加快推动物联网大联接新格局，物联网连接数超过</w:t>
      </w:r>
      <w:r>
        <w:rPr>
          <w:rFonts w:ascii="Times New Roman" w:eastAsia="Times New Roman" w:hAnsi="Times New Roman" w:cs="Times New Roman"/>
          <w:color w:val="000000"/>
          <w:spacing w:val="0"/>
          <w:w w:val="100"/>
          <w:position w:val="0"/>
        </w:rPr>
        <w:t>3</w:t>
      </w:r>
      <w:r>
        <w:rPr>
          <w:color w:val="000000"/>
          <w:spacing w:val="0"/>
          <w:w w:val="100"/>
          <w:position w:val="0"/>
        </w:rPr>
        <w:t>亿个。加快以平 台为核心的自主创新引领，雁飞智连平台</w:t>
      </w:r>
      <w:r>
        <w:rPr>
          <w:color w:val="000000"/>
          <w:spacing w:val="0"/>
          <w:w w:val="100"/>
          <w:position w:val="0"/>
        </w:rPr>
        <w:t>（</w:t>
      </w:r>
      <w:r>
        <w:rPr>
          <w:rFonts w:ascii="Times New Roman" w:eastAsia="Times New Roman" w:hAnsi="Times New Roman" w:cs="Times New Roman"/>
          <w:color w:val="000000"/>
          <w:spacing w:val="0"/>
          <w:w w:val="100"/>
          <w:position w:val="0"/>
        </w:rPr>
        <w:t>CMP</w:t>
      </w:r>
      <w:r>
        <w:rPr>
          <w:color w:val="000000"/>
          <w:spacing w:val="0"/>
          <w:w w:val="100"/>
          <w:position w:val="0"/>
        </w:rPr>
        <w:t>）</w:t>
      </w:r>
      <w:r>
        <w:rPr>
          <w:color w:val="000000"/>
          <w:spacing w:val="0"/>
          <w:w w:val="100"/>
          <w:position w:val="0"/>
        </w:rPr>
        <w:t>承载连接数突破</w:t>
      </w:r>
      <w:r>
        <w:rPr>
          <w:rFonts w:ascii="Times New Roman" w:eastAsia="Times New Roman" w:hAnsi="Times New Roman" w:cs="Times New Roman"/>
          <w:color w:val="000000"/>
          <w:spacing w:val="0"/>
          <w:w w:val="100"/>
          <w:position w:val="0"/>
        </w:rPr>
        <w:t>1.6</w:t>
      </w:r>
      <w:r>
        <w:rPr>
          <w:color w:val="000000"/>
          <w:spacing w:val="0"/>
          <w:w w:val="100"/>
          <w:position w:val="0"/>
        </w:rPr>
        <w:t>亿个，成为连接业务的主力承 载平台。雁飞格物平台（</w:t>
      </w:r>
      <w:r>
        <w:rPr>
          <w:rFonts w:ascii="Times New Roman" w:eastAsia="Times New Roman" w:hAnsi="Times New Roman" w:cs="Times New Roman"/>
          <w:color w:val="000000"/>
          <w:spacing w:val="0"/>
          <w:w w:val="100"/>
          <w:position w:val="0"/>
        </w:rPr>
        <w:t>DMP</w:t>
      </w: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月商用以来快速接入近百万个设备数，超过</w:t>
      </w:r>
      <w:r>
        <w:rPr>
          <w:rFonts w:ascii="Times New Roman" w:eastAsia="Times New Roman" w:hAnsi="Times New Roman" w:cs="Times New Roman"/>
          <w:color w:val="000000"/>
          <w:spacing w:val="0"/>
          <w:w w:val="100"/>
          <w:position w:val="0"/>
        </w:rPr>
        <w:t>200</w:t>
      </w:r>
      <w:r>
        <w:rPr>
          <w:color w:val="000000"/>
          <w:spacing w:val="0"/>
          <w:w w:val="100"/>
          <w:position w:val="0"/>
        </w:rPr>
        <w:t>个物模 型、</w:t>
      </w:r>
      <w:r>
        <w:rPr>
          <w:rFonts w:ascii="Times New Roman" w:eastAsia="Times New Roman" w:hAnsi="Times New Roman" w:cs="Times New Roman"/>
          <w:color w:val="000000"/>
          <w:spacing w:val="0"/>
          <w:w w:val="100"/>
          <w:position w:val="0"/>
        </w:rPr>
        <w:t>180</w:t>
      </w:r>
      <w:r>
        <w:rPr>
          <w:color w:val="000000"/>
          <w:spacing w:val="0"/>
          <w:w w:val="100"/>
          <w:position w:val="0"/>
        </w:rPr>
        <w:t>个</w:t>
      </w:r>
      <w:r>
        <w:rPr>
          <w:rFonts w:ascii="Times New Roman" w:eastAsia="Times New Roman" w:hAnsi="Times New Roman" w:cs="Times New Roman"/>
          <w:color w:val="000000"/>
          <w:spacing w:val="0"/>
          <w:w w:val="100"/>
          <w:position w:val="0"/>
        </w:rPr>
        <w:t>Open API</w:t>
      </w:r>
      <w:r>
        <w:rPr>
          <w:color w:val="000000"/>
          <w:spacing w:val="0"/>
          <w:w w:val="100"/>
          <w:position w:val="0"/>
        </w:rPr>
        <w:t>，成为联通物联网向</w:t>
      </w:r>
      <w:r>
        <w:rPr>
          <w:rFonts w:ascii="Times New Roman" w:eastAsia="Times New Roman" w:hAnsi="Times New Roman" w:cs="Times New Roman"/>
          <w:color w:val="000000"/>
          <w:spacing w:val="0"/>
          <w:w w:val="100"/>
          <w:position w:val="0"/>
        </w:rPr>
        <w:t>“</w:t>
      </w:r>
      <w:r>
        <w:rPr>
          <w:color w:val="000000"/>
          <w:spacing w:val="0"/>
          <w:w w:val="100"/>
          <w:position w:val="0"/>
        </w:rPr>
        <w:t>连接</w:t>
      </w:r>
      <w:r>
        <w:rPr>
          <w:rFonts w:ascii="Times New Roman" w:eastAsia="Times New Roman" w:hAnsi="Times New Roman" w:cs="Times New Roman"/>
          <w:color w:val="000000"/>
          <w:spacing w:val="0"/>
          <w:w w:val="100"/>
          <w:position w:val="0"/>
        </w:rPr>
        <w:t>+</w:t>
      </w:r>
      <w:r>
        <w:rPr>
          <w:color w:val="000000"/>
          <w:spacing w:val="0"/>
          <w:w w:val="100"/>
          <w:position w:val="0"/>
        </w:rPr>
        <w:t>非连接</w:t>
      </w:r>
      <w:r>
        <w:rPr>
          <w:rFonts w:ascii="Times New Roman" w:eastAsia="Times New Roman" w:hAnsi="Times New Roman" w:cs="Times New Roman"/>
          <w:color w:val="000000"/>
          <w:spacing w:val="0"/>
          <w:w w:val="100"/>
          <w:position w:val="0"/>
        </w:rPr>
        <w:t>”</w:t>
      </w:r>
      <w:r>
        <w:rPr>
          <w:color w:val="000000"/>
          <w:spacing w:val="0"/>
          <w:w w:val="100"/>
          <w:position w:val="0"/>
        </w:rPr>
        <w:t>融合应用转型的枢纽级平台。发布国内首款 低成本的轻量化雁飞</w:t>
      </w:r>
      <w:r>
        <w:rPr>
          <w:rFonts w:ascii="Times New Roman" w:eastAsia="Times New Roman" w:hAnsi="Times New Roman" w:cs="Times New Roman"/>
          <w:color w:val="000000"/>
          <w:spacing w:val="0"/>
          <w:w w:val="100"/>
          <w:position w:val="0"/>
        </w:rPr>
        <w:t>5G</w:t>
      </w:r>
      <w:r>
        <w:rPr>
          <w:color w:val="000000"/>
          <w:spacing w:val="0"/>
          <w:w w:val="100"/>
          <w:position w:val="0"/>
        </w:rPr>
        <w:t>模组，联合展锐完成全球首个基于</w:t>
      </w:r>
      <w:r>
        <w:rPr>
          <w:rFonts w:ascii="Times New Roman" w:eastAsia="Times New Roman" w:hAnsi="Times New Roman" w:cs="Times New Roman"/>
          <w:color w:val="000000"/>
          <w:spacing w:val="0"/>
          <w:w w:val="100"/>
          <w:position w:val="0"/>
        </w:rPr>
        <w:t>R16</w:t>
      </w:r>
      <w:r>
        <w:rPr>
          <w:color w:val="000000"/>
          <w:spacing w:val="0"/>
          <w:w w:val="100"/>
          <w:position w:val="0"/>
        </w:rPr>
        <w:t>的</w:t>
      </w:r>
      <w:r>
        <w:rPr>
          <w:rFonts w:ascii="Times New Roman" w:eastAsia="Times New Roman" w:hAnsi="Times New Roman" w:cs="Times New Roman"/>
          <w:color w:val="000000"/>
          <w:spacing w:val="0"/>
          <w:w w:val="100"/>
          <w:position w:val="0"/>
        </w:rPr>
        <w:t>eMBB+uRLLC+IIoT</w:t>
      </w:r>
      <w:r>
        <w:rPr>
          <w:color w:val="000000"/>
          <w:spacing w:val="0"/>
          <w:w w:val="100"/>
          <w:position w:val="0"/>
        </w:rPr>
        <w:t>端到端验证， 积极推动</w:t>
      </w:r>
      <w:r>
        <w:rPr>
          <w:rFonts w:ascii="Times New Roman" w:eastAsia="Times New Roman" w:hAnsi="Times New Roman" w:cs="Times New Roman"/>
          <w:color w:val="000000"/>
          <w:spacing w:val="0"/>
          <w:w w:val="100"/>
          <w:position w:val="0"/>
        </w:rPr>
        <w:t>5G IoT</w:t>
      </w:r>
      <w:r>
        <w:rPr>
          <w:color w:val="000000"/>
          <w:spacing w:val="0"/>
          <w:w w:val="100"/>
          <w:position w:val="0"/>
        </w:rPr>
        <w:t>产业创新发展。</w:t>
      </w:r>
      <w:r>
        <w:rPr>
          <w:rFonts w:ascii="Times New Roman" w:eastAsia="Times New Roman" w:hAnsi="Times New Roman" w:cs="Times New Roman"/>
          <w:color w:val="000000"/>
          <w:spacing w:val="0"/>
          <w:w w:val="100"/>
          <w:position w:val="0"/>
        </w:rPr>
        <w:t>2021</w:t>
      </w:r>
      <w:r>
        <w:rPr>
          <w:color w:val="000000"/>
          <w:spacing w:val="0"/>
          <w:w w:val="100"/>
          <w:position w:val="0"/>
        </w:rPr>
        <w:t>年联通物联网收入人民币</w:t>
      </w:r>
      <w:r>
        <w:rPr>
          <w:rFonts w:ascii="Times New Roman" w:eastAsia="Times New Roman" w:hAnsi="Times New Roman" w:cs="Times New Roman"/>
          <w:color w:val="000000"/>
          <w:spacing w:val="0"/>
          <w:w w:val="100"/>
          <w:position w:val="0"/>
        </w:rPr>
        <w:t>60</w:t>
      </w:r>
      <w:r>
        <w:rPr>
          <w:color w:val="000000"/>
          <w:spacing w:val="0"/>
          <w:w w:val="100"/>
          <w:position w:val="0"/>
        </w:rPr>
        <w:t>亿元，同比增长</w:t>
      </w:r>
      <w:r>
        <w:rPr>
          <w:rFonts w:ascii="Times New Roman" w:eastAsia="Times New Roman" w:hAnsi="Times New Roman" w:cs="Times New Roman"/>
          <w:color w:val="000000"/>
          <w:spacing w:val="0"/>
          <w:w w:val="100"/>
          <w:position w:val="0"/>
        </w:rPr>
        <w:t>43%</w:t>
      </w:r>
      <w:r>
        <w:rPr>
          <w:color w:val="000000"/>
          <w:spacing w:val="0"/>
          <w:w w:val="100"/>
          <w:position w:val="0"/>
        </w:rPr>
        <w:t>。</w:t>
      </w:r>
    </w:p>
    <w:p>
      <w:pPr>
        <w:pStyle w:val="Style5"/>
        <w:keepNext w:val="0"/>
        <w:keepLines w:val="0"/>
        <w:widowControl w:val="0"/>
        <w:shd w:val="clear" w:color="auto" w:fill="auto"/>
        <w:bidi w:val="0"/>
        <w:spacing w:before="0" w:after="240" w:line="360" w:lineRule="exact"/>
        <w:ind w:left="140" w:right="0" w:firstLine="420"/>
        <w:jc w:val="both"/>
      </w:pPr>
      <w:r>
        <w:rPr>
          <w:rFonts w:ascii="Times New Roman" w:eastAsia="Times New Roman" w:hAnsi="Times New Roman" w:cs="Times New Roman"/>
          <w:color w:val="000000"/>
          <w:spacing w:val="0"/>
          <w:w w:val="100"/>
          <w:position w:val="0"/>
        </w:rPr>
        <w:t>IT</w:t>
      </w:r>
      <w:r>
        <w:rPr>
          <w:color w:val="000000"/>
          <w:spacing w:val="0"/>
          <w:w w:val="100"/>
          <w:position w:val="0"/>
        </w:rPr>
        <w:t xml:space="preserve">服务方面，强化自主创新，实现产品能力平台化、自主产品标准化、产品研发集约化，提升 </w:t>
      </w:r>
      <w:r>
        <w:rPr>
          <w:rFonts w:ascii="Times New Roman" w:eastAsia="Times New Roman" w:hAnsi="Times New Roman" w:cs="Times New Roman"/>
          <w:color w:val="000000"/>
          <w:spacing w:val="0"/>
          <w:w w:val="100"/>
          <w:position w:val="0"/>
        </w:rPr>
        <w:t>5G</w:t>
      </w:r>
      <w:r>
        <w:rPr>
          <w:color w:val="000000"/>
          <w:spacing w:val="0"/>
          <w:w w:val="100"/>
          <w:position w:val="0"/>
        </w:rPr>
        <w:t>应用规模化推广能力，提高项目毛利率。目前大应用中，自研应用产品超</w:t>
      </w:r>
      <w:r>
        <w:rPr>
          <w:rFonts w:ascii="Times New Roman" w:eastAsia="Times New Roman" w:hAnsi="Times New Roman" w:cs="Times New Roman"/>
          <w:color w:val="000000"/>
          <w:spacing w:val="0"/>
          <w:w w:val="100"/>
          <w:position w:val="0"/>
        </w:rPr>
        <w:t>200</w:t>
      </w:r>
      <w:r>
        <w:rPr>
          <w:color w:val="000000"/>
          <w:spacing w:val="0"/>
          <w:w w:val="100"/>
          <w:position w:val="0"/>
        </w:rPr>
        <w:t xml:space="preserve">款，在智慧城市、 </w:t>
      </w:r>
      <w:r>
        <w:rPr>
          <w:color w:val="000000"/>
          <w:spacing w:val="0"/>
          <w:w w:val="100"/>
          <w:position w:val="0"/>
        </w:rPr>
        <w:t>工业互联网、数字政府、生态环境等领域打造了智慧城市基座、一网统管、工业互联网平台、政务大 数据平台、智慧河湖长等一批明星产品，以自研为核心实施</w:t>
      </w:r>
      <w:r>
        <w:rPr>
          <w:rFonts w:ascii="Times New Roman" w:eastAsia="Times New Roman" w:hAnsi="Times New Roman" w:cs="Times New Roman"/>
          <w:color w:val="000000"/>
          <w:spacing w:val="0"/>
          <w:w w:val="100"/>
          <w:position w:val="0"/>
        </w:rPr>
        <w:t>8000</w:t>
      </w:r>
      <w:r>
        <w:rPr>
          <w:color w:val="000000"/>
          <w:spacing w:val="0"/>
          <w:w w:val="100"/>
          <w:position w:val="0"/>
        </w:rPr>
        <w:t>多个行业应用项目，拉动行业应用 收入</w:t>
      </w:r>
      <w:r>
        <w:rPr>
          <w:rFonts w:ascii="Times New Roman" w:eastAsia="Times New Roman" w:hAnsi="Times New Roman" w:cs="Times New Roman"/>
          <w:color w:val="000000"/>
          <w:spacing w:val="0"/>
          <w:w w:val="100"/>
          <w:position w:val="0"/>
        </w:rPr>
        <w:t>60</w:t>
      </w:r>
      <w:r>
        <w:rPr>
          <w:color w:val="000000"/>
          <w:spacing w:val="0"/>
          <w:w w:val="100"/>
          <w:position w:val="0"/>
        </w:rPr>
        <w:t>亿元，形成了以自主能力、自研产品、自主集成交付、持续运营服务集一体的差异化竞争优 势，全面服务客户数字化转型。</w:t>
      </w:r>
    </w:p>
    <w:p>
      <w:pPr>
        <w:pStyle w:val="Style16"/>
        <w:keepNext/>
        <w:keepLines/>
        <w:widowControl w:val="0"/>
        <w:shd w:val="clear" w:color="auto" w:fill="auto"/>
        <w:bidi w:val="0"/>
        <w:spacing w:before="0" w:after="0" w:line="377" w:lineRule="auto"/>
        <w:ind w:left="0" w:right="0" w:firstLine="560"/>
        <w:jc w:val="left"/>
      </w:pPr>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4</w:t>
      </w:r>
      <w:r>
        <w:rPr>
          <w:color w:val="000000"/>
          <w:spacing w:val="0"/>
          <w:w w:val="100"/>
          <w:position w:val="0"/>
        </w:rPr>
        <w:t>网络能力</w:t>
      </w:r>
      <w:bookmarkEnd w:id="133"/>
      <w:bookmarkEnd w:id="134"/>
      <w:bookmarkEnd w:id="135"/>
    </w:p>
    <w:p>
      <w:pPr>
        <w:pStyle w:val="Style5"/>
        <w:keepNext w:val="0"/>
        <w:keepLines w:val="0"/>
        <w:widowControl w:val="0"/>
        <w:shd w:val="clear" w:color="auto" w:fill="auto"/>
        <w:bidi w:val="0"/>
        <w:spacing w:before="0" w:line="363" w:lineRule="exact"/>
        <w:ind w:left="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年公司认真落实</w:t>
      </w:r>
      <w:r>
        <w:rPr>
          <w:rFonts w:ascii="Times New Roman" w:eastAsia="Times New Roman" w:hAnsi="Times New Roman" w:cs="Times New Roman"/>
          <w:color w:val="000000"/>
          <w:spacing w:val="0"/>
          <w:w w:val="100"/>
          <w:position w:val="0"/>
        </w:rPr>
        <w:t>“</w:t>
      </w:r>
      <w:r>
        <w:rPr>
          <w:color w:val="000000"/>
          <w:spacing w:val="0"/>
          <w:w w:val="100"/>
          <w:position w:val="0"/>
        </w:rPr>
        <w:t>网络强国</w:t>
      </w:r>
      <w:r>
        <w:rPr>
          <w:rFonts w:ascii="Times New Roman" w:eastAsia="Times New Roman" w:hAnsi="Times New Roman" w:cs="Times New Roman"/>
          <w:color w:val="000000"/>
          <w:spacing w:val="0"/>
          <w:w w:val="100"/>
          <w:position w:val="0"/>
        </w:rPr>
        <w:t>”“</w:t>
      </w:r>
      <w:r>
        <w:rPr>
          <w:color w:val="000000"/>
          <w:spacing w:val="0"/>
          <w:w w:val="100"/>
          <w:position w:val="0"/>
        </w:rPr>
        <w:t>新基建''战略部署，围绕以数字化转型打造网络差异化竞争优势 为目标，深化推进行业共建共享，网业协同、强化服务支撑，持续提升网络竞争力，多措并举有效缓 解</w:t>
      </w:r>
      <w:r>
        <w:rPr>
          <w:rFonts w:ascii="Times New Roman" w:eastAsia="Times New Roman" w:hAnsi="Times New Roman" w:cs="Times New Roman"/>
          <w:color w:val="000000"/>
          <w:spacing w:val="0"/>
          <w:w w:val="100"/>
          <w:position w:val="0"/>
        </w:rPr>
        <w:t>5G</w:t>
      </w:r>
      <w:r>
        <w:rPr>
          <w:color w:val="000000"/>
          <w:spacing w:val="0"/>
          <w:w w:val="100"/>
          <w:position w:val="0"/>
        </w:rPr>
        <w:t>大规模建设、业务较快发展带来的资源投入压力，深化运营体系变革，坚持数字化、网络化、 智能化方向，推进网络数字化转型。</w:t>
      </w:r>
    </w:p>
    <w:p>
      <w:pPr>
        <w:pStyle w:val="Style5"/>
        <w:keepNext w:val="0"/>
        <w:keepLines w:val="0"/>
        <w:widowControl w:val="0"/>
        <w:shd w:val="clear" w:color="auto" w:fill="auto"/>
        <w:bidi w:val="0"/>
        <w:spacing w:before="0" w:after="240" w:line="361" w:lineRule="exact"/>
        <w:ind w:left="14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年底，可用</w:t>
      </w:r>
      <w:r>
        <w:rPr>
          <w:rFonts w:ascii="Times New Roman" w:eastAsia="Times New Roman" w:hAnsi="Times New Roman" w:cs="Times New Roman"/>
          <w:color w:val="000000"/>
          <w:spacing w:val="0"/>
          <w:w w:val="100"/>
          <w:position w:val="0"/>
        </w:rPr>
        <w:t>5G</w:t>
      </w:r>
      <w:r>
        <w:rPr>
          <w:color w:val="000000"/>
          <w:spacing w:val="0"/>
          <w:w w:val="100"/>
          <w:position w:val="0"/>
        </w:rPr>
        <w:t>基站达到</w:t>
      </w:r>
      <w:r>
        <w:rPr>
          <w:rFonts w:ascii="Times New Roman" w:eastAsia="Times New Roman" w:hAnsi="Times New Roman" w:cs="Times New Roman"/>
          <w:color w:val="000000"/>
          <w:spacing w:val="0"/>
          <w:w w:val="100"/>
          <w:position w:val="0"/>
        </w:rPr>
        <w:t>69</w:t>
      </w:r>
      <w:r>
        <w:rPr>
          <w:color w:val="000000"/>
          <w:spacing w:val="0"/>
          <w:w w:val="100"/>
          <w:position w:val="0"/>
        </w:rPr>
        <w:t>万站，</w:t>
      </w:r>
      <w:r>
        <w:rPr>
          <w:rFonts w:ascii="Times New Roman" w:eastAsia="Times New Roman" w:hAnsi="Times New Roman" w:cs="Times New Roman"/>
          <w:color w:val="000000"/>
          <w:spacing w:val="0"/>
          <w:w w:val="100"/>
          <w:position w:val="0"/>
        </w:rPr>
        <w:t>4G</w:t>
      </w:r>
      <w:r>
        <w:rPr>
          <w:color w:val="000000"/>
          <w:spacing w:val="0"/>
          <w:w w:val="100"/>
          <w:position w:val="0"/>
        </w:rPr>
        <w:t>基站达到</w:t>
      </w:r>
      <w:r>
        <w:rPr>
          <w:rFonts w:ascii="Times New Roman" w:eastAsia="Times New Roman" w:hAnsi="Times New Roman" w:cs="Times New Roman"/>
          <w:color w:val="000000"/>
          <w:spacing w:val="0"/>
          <w:w w:val="100"/>
          <w:position w:val="0"/>
        </w:rPr>
        <w:t>156</w:t>
      </w:r>
      <w:r>
        <w:rPr>
          <w:color w:val="000000"/>
          <w:spacing w:val="0"/>
          <w:w w:val="100"/>
          <w:position w:val="0"/>
        </w:rPr>
        <w:t>万站，</w:t>
      </w:r>
      <w:r>
        <w:rPr>
          <w:rFonts w:ascii="Times New Roman" w:eastAsia="Times New Roman" w:hAnsi="Times New Roman" w:cs="Times New Roman"/>
          <w:color w:val="000000"/>
          <w:spacing w:val="0"/>
          <w:w w:val="100"/>
          <w:position w:val="0"/>
        </w:rPr>
        <w:t>4G</w:t>
      </w:r>
      <w:r>
        <w:rPr>
          <w:color w:val="000000"/>
          <w:spacing w:val="0"/>
          <w:w w:val="100"/>
          <w:position w:val="0"/>
        </w:rPr>
        <w:t>人口覆盖率达到</w:t>
      </w:r>
      <w:r>
        <w:rPr>
          <w:rFonts w:ascii="Times New Roman" w:eastAsia="Times New Roman" w:hAnsi="Times New Roman" w:cs="Times New Roman"/>
          <w:color w:val="000000"/>
          <w:spacing w:val="0"/>
          <w:w w:val="100"/>
          <w:position w:val="0"/>
        </w:rPr>
        <w:t>95%</w:t>
      </w:r>
      <w:r>
        <w:rPr>
          <w:color w:val="000000"/>
          <w:spacing w:val="0"/>
          <w:w w:val="100"/>
          <w:position w:val="0"/>
        </w:rPr>
        <w:t xml:space="preserve">， </w:t>
      </w:r>
      <w:r>
        <w:rPr>
          <w:rFonts w:ascii="Times New Roman" w:eastAsia="Times New Roman" w:hAnsi="Times New Roman" w:cs="Times New Roman"/>
          <w:color w:val="000000"/>
          <w:spacing w:val="0"/>
          <w:w w:val="100"/>
          <w:position w:val="0"/>
        </w:rPr>
        <w:t>4G</w:t>
      </w:r>
      <w:r>
        <w:rPr>
          <w:color w:val="000000"/>
          <w:spacing w:val="0"/>
          <w:w w:val="100"/>
          <w:position w:val="0"/>
        </w:rPr>
        <w:t>行政村覆盖率达到</w:t>
      </w:r>
      <w:r>
        <w:rPr>
          <w:rFonts w:ascii="Times New Roman" w:eastAsia="Times New Roman" w:hAnsi="Times New Roman" w:cs="Times New Roman"/>
          <w:color w:val="000000"/>
          <w:spacing w:val="0"/>
          <w:w w:val="100"/>
          <w:position w:val="0"/>
        </w:rPr>
        <w:t>91%</w:t>
      </w:r>
      <w:r>
        <w:rPr>
          <w:color w:val="000000"/>
          <w:spacing w:val="0"/>
          <w:w w:val="100"/>
          <w:position w:val="0"/>
        </w:rPr>
        <w:t>。固定网络方面继续扩大新增区域网络覆盖和</w:t>
      </w:r>
      <w:r>
        <w:rPr>
          <w:rFonts w:ascii="Times New Roman" w:eastAsia="Times New Roman" w:hAnsi="Times New Roman" w:cs="Times New Roman"/>
          <w:color w:val="000000"/>
          <w:spacing w:val="0"/>
          <w:w w:val="100"/>
          <w:position w:val="0"/>
        </w:rPr>
        <w:t>PON+LAN</w:t>
      </w:r>
      <w:r>
        <w:rPr>
          <w:color w:val="000000"/>
          <w:spacing w:val="0"/>
          <w:w w:val="100"/>
          <w:position w:val="0"/>
        </w:rPr>
        <w:t>区域网络改造， 宽带端口总数达到</w:t>
      </w:r>
      <w:r>
        <w:rPr>
          <w:rFonts w:ascii="Times New Roman" w:eastAsia="Times New Roman" w:hAnsi="Times New Roman" w:cs="Times New Roman"/>
          <w:color w:val="000000"/>
          <w:spacing w:val="0"/>
          <w:w w:val="100"/>
          <w:position w:val="0"/>
        </w:rPr>
        <w:t>2.39</w:t>
      </w:r>
      <w:r>
        <w:rPr>
          <w:color w:val="000000"/>
          <w:spacing w:val="0"/>
          <w:w w:val="100"/>
          <w:position w:val="0"/>
        </w:rPr>
        <w:t>亿个，其中</w:t>
      </w:r>
      <w:r>
        <w:rPr>
          <w:rFonts w:ascii="Times New Roman" w:eastAsia="Times New Roman" w:hAnsi="Times New Roman" w:cs="Times New Roman"/>
          <w:color w:val="000000"/>
          <w:spacing w:val="0"/>
          <w:w w:val="100"/>
          <w:position w:val="0"/>
        </w:rPr>
        <w:t>FTTH</w:t>
      </w:r>
      <w:r>
        <w:rPr>
          <w:color w:val="000000"/>
          <w:spacing w:val="0"/>
          <w:w w:val="100"/>
          <w:position w:val="0"/>
        </w:rPr>
        <w:t>端口占比</w:t>
      </w:r>
      <w:r>
        <w:rPr>
          <w:rFonts w:ascii="Times New Roman" w:eastAsia="Times New Roman" w:hAnsi="Times New Roman" w:cs="Times New Roman"/>
          <w:color w:val="000000"/>
          <w:spacing w:val="0"/>
          <w:w w:val="100"/>
          <w:position w:val="0"/>
        </w:rPr>
        <w:t>91%</w:t>
      </w:r>
      <w:r>
        <w:rPr>
          <w:color w:val="000000"/>
          <w:spacing w:val="0"/>
          <w:w w:val="100"/>
          <w:position w:val="0"/>
        </w:rPr>
        <w:t>。公司持续完善国际网络布局。</w:t>
      </w:r>
      <w:r>
        <w:rPr>
          <w:rFonts w:ascii="Times New Roman" w:eastAsia="Times New Roman" w:hAnsi="Times New Roman" w:cs="Times New Roman"/>
          <w:color w:val="000000"/>
          <w:spacing w:val="0"/>
          <w:w w:val="100"/>
          <w:position w:val="0"/>
        </w:rPr>
        <w:t>2021</w:t>
      </w:r>
      <w:r>
        <w:rPr>
          <w:color w:val="000000"/>
          <w:spacing w:val="0"/>
          <w:w w:val="100"/>
          <w:position w:val="0"/>
        </w:rPr>
        <w:t>年底， 国际海缆资源容量达到</w:t>
      </w:r>
      <w:r>
        <w:rPr>
          <w:rFonts w:ascii="Times New Roman" w:eastAsia="Times New Roman" w:hAnsi="Times New Roman" w:cs="Times New Roman"/>
          <w:color w:val="000000"/>
          <w:spacing w:val="0"/>
          <w:w w:val="100"/>
          <w:position w:val="0"/>
        </w:rPr>
        <w:t>57.8T</w:t>
      </w:r>
      <w:r>
        <w:rPr>
          <w:color w:val="000000"/>
          <w:spacing w:val="0"/>
          <w:w w:val="100"/>
          <w:position w:val="0"/>
        </w:rPr>
        <w:t>。</w:t>
      </w:r>
      <w:r>
        <w:rPr>
          <w:color w:val="000000"/>
          <w:spacing w:val="0"/>
          <w:w w:val="100"/>
          <w:position w:val="0"/>
        </w:rPr>
        <w:t>互联网国际出口容量</w:t>
      </w:r>
      <w:r>
        <w:rPr>
          <w:rFonts w:ascii="Times New Roman" w:eastAsia="Times New Roman" w:hAnsi="Times New Roman" w:cs="Times New Roman"/>
          <w:color w:val="000000"/>
          <w:spacing w:val="0"/>
          <w:w w:val="100"/>
          <w:position w:val="0"/>
        </w:rPr>
        <w:t>5.31T</w:t>
      </w:r>
      <w:r>
        <w:rPr>
          <w:color w:val="000000"/>
          <w:spacing w:val="0"/>
          <w:w w:val="100"/>
          <w:position w:val="0"/>
        </w:rPr>
        <w:t>，回国带宽</w:t>
      </w:r>
      <w:r>
        <w:rPr>
          <w:rFonts w:ascii="Times New Roman" w:eastAsia="Times New Roman" w:hAnsi="Times New Roman" w:cs="Times New Roman"/>
          <w:color w:val="000000"/>
          <w:spacing w:val="0"/>
          <w:w w:val="100"/>
          <w:position w:val="0"/>
        </w:rPr>
        <w:t>3.93T</w:t>
      </w:r>
      <w:r>
        <w:rPr>
          <w:color w:val="000000"/>
          <w:spacing w:val="0"/>
          <w:w w:val="100"/>
          <w:position w:val="0"/>
        </w:rPr>
        <w:t>。</w:t>
      </w:r>
      <w:r>
        <w:rPr>
          <w:color w:val="000000"/>
          <w:spacing w:val="0"/>
          <w:w w:val="100"/>
          <w:position w:val="0"/>
        </w:rPr>
        <w:t>国际漫游覆盖达到</w:t>
      </w:r>
      <w:r>
        <w:rPr>
          <w:rFonts w:ascii="Times New Roman" w:eastAsia="Times New Roman" w:hAnsi="Times New Roman" w:cs="Times New Roman"/>
          <w:color w:val="000000"/>
          <w:spacing w:val="0"/>
          <w:w w:val="100"/>
          <w:position w:val="0"/>
        </w:rPr>
        <w:t xml:space="preserve">260 </w:t>
      </w:r>
      <w:r>
        <w:rPr>
          <w:color w:val="000000"/>
          <w:spacing w:val="0"/>
          <w:w w:val="100"/>
          <w:position w:val="0"/>
        </w:rPr>
        <w:t>个国家和地区的</w:t>
      </w:r>
      <w:r>
        <w:rPr>
          <w:rFonts w:ascii="Times New Roman" w:eastAsia="Times New Roman" w:hAnsi="Times New Roman" w:cs="Times New Roman"/>
          <w:color w:val="000000"/>
          <w:spacing w:val="0"/>
          <w:w w:val="100"/>
          <w:position w:val="0"/>
        </w:rPr>
        <w:t>627</w:t>
      </w:r>
      <w:r>
        <w:rPr>
          <w:color w:val="000000"/>
          <w:spacing w:val="0"/>
          <w:w w:val="100"/>
          <w:position w:val="0"/>
        </w:rPr>
        <w:t>家运营商。</w:t>
      </w:r>
    </w:p>
    <w:p>
      <w:pPr>
        <w:pStyle w:val="Style16"/>
        <w:keepNext/>
        <w:keepLines/>
        <w:widowControl w:val="0"/>
        <w:shd w:val="clear" w:color="auto" w:fill="auto"/>
        <w:bidi w:val="0"/>
        <w:spacing w:before="0" w:line="377" w:lineRule="auto"/>
        <w:ind w:left="0" w:right="0" w:firstLine="560"/>
        <w:jc w:val="left"/>
      </w:pPr>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5</w:t>
      </w:r>
      <w:r>
        <w:rPr>
          <w:color w:val="000000"/>
          <w:spacing w:val="0"/>
          <w:w w:val="100"/>
          <w:position w:val="0"/>
        </w:rPr>
        <w:t>市场营销</w:t>
      </w:r>
      <w:bookmarkEnd w:id="136"/>
      <w:bookmarkEnd w:id="137"/>
      <w:bookmarkEnd w:id="138"/>
    </w:p>
    <w:p>
      <w:pPr>
        <w:pStyle w:val="Style16"/>
        <w:keepNext/>
        <w:keepLines/>
        <w:widowControl w:val="0"/>
        <w:shd w:val="clear" w:color="auto" w:fill="auto"/>
        <w:tabs>
          <w:tab w:pos="882" w:val="left"/>
        </w:tabs>
        <w:bidi w:val="0"/>
        <w:spacing w:before="0" w:after="0" w:line="377" w:lineRule="auto"/>
        <w:ind w:left="0" w:right="0" w:firstLine="560"/>
        <w:jc w:val="left"/>
      </w:pPr>
      <w:bookmarkStart w:id="136" w:name="bookmark136"/>
      <w:bookmarkStart w:id="137" w:name="bookmark137"/>
      <w:bookmarkStart w:id="139" w:name="bookmark139"/>
      <w:bookmarkStart w:id="140" w:name="bookmark140"/>
      <w:r>
        <w:rPr>
          <w:rFonts w:ascii="Times New Roman" w:eastAsia="Times New Roman" w:hAnsi="Times New Roman" w:cs="Times New Roman"/>
          <w:color w:val="000000"/>
          <w:spacing w:val="0"/>
          <w:w w:val="100"/>
          <w:position w:val="0"/>
        </w:rPr>
        <w:t>1</w:t>
      </w:r>
      <w:bookmarkEnd w:id="139"/>
      <w:r>
        <w:rPr>
          <w:color w:val="000000"/>
          <w:spacing w:val="0"/>
          <w:w w:val="100"/>
          <w:position w:val="0"/>
        </w:rPr>
        <w:t>）</w:t>
        <w:tab/>
        <w:t>品牌策略</w:t>
      </w:r>
      <w:bookmarkEnd w:id="136"/>
      <w:bookmarkEnd w:id="137"/>
      <w:bookmarkEnd w:id="140"/>
    </w:p>
    <w:p>
      <w:pPr>
        <w:pStyle w:val="Style5"/>
        <w:keepNext w:val="0"/>
        <w:keepLines w:val="0"/>
        <w:widowControl w:val="0"/>
        <w:shd w:val="clear" w:color="auto" w:fill="auto"/>
        <w:bidi w:val="0"/>
        <w:spacing w:before="0" w:after="240" w:line="362" w:lineRule="exact"/>
        <w:ind w:left="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年，围绕数字化转型，品牌宣传以智慧为内核，以</w:t>
      </w:r>
      <w:r>
        <w:rPr>
          <w:rFonts w:ascii="Times New Roman" w:eastAsia="Times New Roman" w:hAnsi="Times New Roman" w:cs="Times New Roman"/>
          <w:color w:val="000000"/>
          <w:spacing w:val="0"/>
          <w:w w:val="100"/>
          <w:position w:val="0"/>
        </w:rPr>
        <w:t>5G</w:t>
      </w:r>
      <w:r>
        <w:rPr>
          <w:color w:val="000000"/>
          <w:spacing w:val="0"/>
          <w:w w:val="100"/>
          <w:position w:val="0"/>
        </w:rPr>
        <w:t>为引领、以冬奥为背书，持续倡导打 造智慧的体验，致力于打造有温度的智慧品牌。宣传上重点聚焦</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三千兆、创新应用、行业应用、 千兆网络、高品质服务等重点业务优势，聚焦家庭、农村、青少年、政企客户等细分市场及重点行业， 结合热点和事件、关键节点等进行借势和造势宣传，同时将冬奥差异化优势与品牌及</w:t>
      </w:r>
      <w:r>
        <w:rPr>
          <w:rFonts w:ascii="Times New Roman" w:eastAsia="Times New Roman" w:hAnsi="Times New Roman" w:cs="Times New Roman"/>
          <w:color w:val="000000"/>
          <w:spacing w:val="0"/>
          <w:w w:val="100"/>
          <w:position w:val="0"/>
        </w:rPr>
        <w:t>5G</w:t>
      </w:r>
      <w:r>
        <w:rPr>
          <w:color w:val="000000"/>
          <w:spacing w:val="0"/>
          <w:w w:val="100"/>
          <w:position w:val="0"/>
        </w:rPr>
        <w:t>紧密结合， 强化冬奥合作伙伴身份，彰显品牌实力。在传播上通过不断创新宣传手段和形式，打造立体化传播矩 阵，用小切口讲好大故事，不断优化宣传内容及多样化传播手段，强化用户关注，提升品牌价值。品 牌整体发展态势良好，美誉度和知晓度双提升。</w:t>
      </w:r>
    </w:p>
    <w:p>
      <w:pPr>
        <w:pStyle w:val="Style16"/>
        <w:keepNext/>
        <w:keepLines/>
        <w:widowControl w:val="0"/>
        <w:shd w:val="clear" w:color="auto" w:fill="auto"/>
        <w:tabs>
          <w:tab w:pos="892" w:val="left"/>
        </w:tabs>
        <w:bidi w:val="0"/>
        <w:spacing w:before="0" w:after="0" w:line="377" w:lineRule="auto"/>
        <w:ind w:left="0" w:right="0" w:firstLine="56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2</w:t>
      </w:r>
      <w:bookmarkEnd w:id="143"/>
      <w:r>
        <w:rPr>
          <w:color w:val="000000"/>
          <w:spacing w:val="0"/>
          <w:w w:val="100"/>
          <w:position w:val="0"/>
        </w:rPr>
        <w:t>）</w:t>
        <w:tab/>
        <w:t>营销策略</w:t>
      </w:r>
      <w:bookmarkEnd w:id="141"/>
      <w:bookmarkEnd w:id="142"/>
      <w:bookmarkEnd w:id="144"/>
    </w:p>
    <w:p>
      <w:pPr>
        <w:pStyle w:val="Style5"/>
        <w:keepNext w:val="0"/>
        <w:keepLines w:val="0"/>
        <w:widowControl w:val="0"/>
        <w:shd w:val="clear" w:color="auto" w:fill="auto"/>
        <w:bidi w:val="0"/>
        <w:spacing w:before="0" w:after="240" w:line="362" w:lineRule="exact"/>
        <w:ind w:left="140" w:right="0" w:firstLine="420"/>
        <w:jc w:val="both"/>
      </w:pPr>
      <w:r>
        <w:rPr>
          <w:color w:val="000000"/>
          <w:spacing w:val="0"/>
          <w:w w:val="100"/>
          <w:position w:val="0"/>
        </w:rPr>
        <w:t>农村市场顺应农村数字消费升级趋势，贯彻</w:t>
      </w:r>
      <w:r>
        <w:rPr>
          <w:rFonts w:ascii="Times New Roman" w:eastAsia="Times New Roman" w:hAnsi="Times New Roman" w:cs="Times New Roman"/>
          <w:color w:val="000000"/>
          <w:spacing w:val="0"/>
          <w:w w:val="100"/>
          <w:position w:val="0"/>
        </w:rPr>
        <w:t>“</w:t>
      </w:r>
      <w:r>
        <w:rPr>
          <w:color w:val="000000"/>
          <w:spacing w:val="0"/>
          <w:w w:val="100"/>
          <w:position w:val="0"/>
        </w:rPr>
        <w:t>乡村振兴</w:t>
      </w:r>
      <w:r>
        <w:rPr>
          <w:rFonts w:ascii="Times New Roman" w:eastAsia="Times New Roman" w:hAnsi="Times New Roman" w:cs="Times New Roman"/>
          <w:color w:val="000000"/>
          <w:spacing w:val="0"/>
          <w:w w:val="100"/>
          <w:position w:val="0"/>
        </w:rPr>
        <w:t>”</w:t>
      </w:r>
      <w:r>
        <w:rPr>
          <w:color w:val="000000"/>
          <w:spacing w:val="0"/>
          <w:w w:val="100"/>
          <w:position w:val="0"/>
        </w:rPr>
        <w:t>战略，以</w:t>
      </w:r>
      <w:r>
        <w:rPr>
          <w:rFonts w:ascii="Times New Roman" w:eastAsia="Times New Roman" w:hAnsi="Times New Roman" w:cs="Times New Roman"/>
          <w:color w:val="000000"/>
          <w:spacing w:val="0"/>
          <w:w w:val="100"/>
          <w:position w:val="0"/>
        </w:rPr>
        <w:t>5G</w:t>
      </w:r>
      <w:r>
        <w:rPr>
          <w:color w:val="000000"/>
          <w:spacing w:val="0"/>
          <w:w w:val="100"/>
          <w:position w:val="0"/>
        </w:rPr>
        <w:t>为引领，持续升级智慧家庭、 平安乡村和数字乡村产品服务；青少年市场面对泛娱乐群体，与头部触点开展合作引流工作实现规模 发展，紧抓秋开发展时间，前置营销模式，做好高校宽带、高校信息化、</w:t>
      </w:r>
      <w:r>
        <w:rPr>
          <w:rFonts w:ascii="Times New Roman" w:eastAsia="Times New Roman" w:hAnsi="Times New Roman" w:cs="Times New Roman"/>
          <w:color w:val="000000"/>
          <w:spacing w:val="0"/>
          <w:w w:val="100"/>
          <w:position w:val="0"/>
        </w:rPr>
        <w:t>5G</w:t>
      </w:r>
      <w:r>
        <w:rPr>
          <w:color w:val="000000"/>
          <w:spacing w:val="0"/>
          <w:w w:val="100"/>
          <w:position w:val="0"/>
        </w:rPr>
        <w:t>专网和</w:t>
      </w:r>
      <w:r>
        <w:rPr>
          <w:rFonts w:ascii="Times New Roman" w:eastAsia="Times New Roman" w:hAnsi="Times New Roman" w:cs="Times New Roman"/>
          <w:color w:val="000000"/>
          <w:spacing w:val="0"/>
          <w:w w:val="100"/>
          <w:position w:val="0"/>
        </w:rPr>
        <w:t>K12</w:t>
      </w:r>
      <w:r>
        <w:rPr>
          <w:color w:val="000000"/>
          <w:spacing w:val="0"/>
          <w:w w:val="100"/>
          <w:position w:val="0"/>
        </w:rPr>
        <w:t>智慧校园等 项目。落实</w:t>
      </w:r>
      <w:r>
        <w:rPr>
          <w:rFonts w:ascii="Times New Roman" w:eastAsia="Times New Roman" w:hAnsi="Times New Roman" w:cs="Times New Roman"/>
          <w:color w:val="000000"/>
          <w:spacing w:val="0"/>
          <w:w w:val="100"/>
          <w:position w:val="0"/>
        </w:rPr>
        <w:t>“</w:t>
      </w:r>
      <w:r>
        <w:rPr>
          <w:color w:val="000000"/>
          <w:spacing w:val="0"/>
          <w:w w:val="100"/>
          <w:position w:val="0"/>
        </w:rPr>
        <w:t>促换机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促登网</w:t>
      </w:r>
      <w:r>
        <w:rPr>
          <w:rFonts w:ascii="Times New Roman" w:eastAsia="Times New Roman" w:hAnsi="Times New Roman" w:cs="Times New Roman"/>
          <w:color w:val="000000"/>
          <w:spacing w:val="0"/>
          <w:w w:val="100"/>
          <w:position w:val="0"/>
        </w:rPr>
        <w:t>”</w:t>
      </w:r>
      <w:r>
        <w:rPr>
          <w:color w:val="000000"/>
          <w:spacing w:val="0"/>
          <w:w w:val="100"/>
          <w:position w:val="0"/>
        </w:rPr>
        <w:t>等计划，推进</w:t>
      </w:r>
      <w:r>
        <w:rPr>
          <w:rFonts w:ascii="Times New Roman" w:eastAsia="Times New Roman" w:hAnsi="Times New Roman" w:cs="Times New Roman"/>
          <w:color w:val="000000"/>
          <w:spacing w:val="0"/>
          <w:w w:val="100"/>
          <w:position w:val="0"/>
        </w:rPr>
        <w:t>5G</w:t>
      </w:r>
      <w:r>
        <w:rPr>
          <w:color w:val="000000"/>
          <w:spacing w:val="0"/>
          <w:w w:val="100"/>
          <w:position w:val="0"/>
        </w:rPr>
        <w:t>端网业服协同发展；开展</w:t>
      </w:r>
      <w:r>
        <w:rPr>
          <w:rFonts w:ascii="Times New Roman" w:eastAsia="Times New Roman" w:hAnsi="Times New Roman" w:cs="Times New Roman"/>
          <w:color w:val="000000"/>
          <w:spacing w:val="0"/>
          <w:w w:val="100"/>
          <w:position w:val="0"/>
        </w:rPr>
        <w:t>“</w:t>
      </w:r>
      <w:r>
        <w:rPr>
          <w:color w:val="000000"/>
          <w:spacing w:val="0"/>
          <w:w w:val="100"/>
          <w:position w:val="0"/>
        </w:rPr>
        <w:t>端业匹配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网业匹配</w:t>
      </w:r>
      <w:r>
        <w:rPr>
          <w:rFonts w:ascii="Times New Roman" w:eastAsia="Times New Roman" w:hAnsi="Times New Roman" w:cs="Times New Roman"/>
          <w:color w:val="000000"/>
          <w:spacing w:val="0"/>
          <w:w w:val="100"/>
          <w:position w:val="0"/>
        </w:rPr>
        <w:t xml:space="preserve">” </w:t>
      </w:r>
      <w:r>
        <w:rPr>
          <w:color w:val="000000"/>
          <w:spacing w:val="0"/>
          <w:w w:val="100"/>
          <w:position w:val="0"/>
        </w:rPr>
        <w:t>等计划，持续强化宽带终端、网络、业务匹配，提升千兆网络能力及用户感知。夯实存量经营固本强 基作用，提融合、提价值、控流失、控降套，实现了存量收入规模和用户规模的双稳盘，存量经营持 续拉动服务收入稳步增长。</w:t>
      </w:r>
    </w:p>
    <w:p>
      <w:pPr>
        <w:pStyle w:val="Style16"/>
        <w:keepNext/>
        <w:keepLines/>
        <w:widowControl w:val="0"/>
        <w:shd w:val="clear" w:color="auto" w:fill="auto"/>
        <w:tabs>
          <w:tab w:pos="892" w:val="left"/>
        </w:tabs>
        <w:bidi w:val="0"/>
        <w:spacing w:before="0" w:after="0" w:line="377" w:lineRule="auto"/>
        <w:ind w:left="0" w:right="0" w:firstLine="56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w:t>
        <w:tab/>
        <w:t>营销渠道</w:t>
      </w:r>
      <w:bookmarkEnd w:id="145"/>
      <w:bookmarkEnd w:id="146"/>
      <w:bookmarkEnd w:id="148"/>
    </w:p>
    <w:p>
      <w:pPr>
        <w:pStyle w:val="Style5"/>
        <w:keepNext w:val="0"/>
        <w:keepLines w:val="0"/>
        <w:widowControl w:val="0"/>
        <w:shd w:val="clear" w:color="auto" w:fill="auto"/>
        <w:bidi w:val="0"/>
        <w:spacing w:before="0" w:after="720" w:line="362" w:lineRule="exact"/>
        <w:ind w:left="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年公司打造以客户为中心的</w:t>
      </w:r>
      <w:r>
        <w:rPr>
          <w:rFonts w:ascii="Times New Roman" w:eastAsia="Times New Roman" w:hAnsi="Times New Roman" w:cs="Times New Roman"/>
          <w:color w:val="000000"/>
          <w:spacing w:val="0"/>
          <w:w w:val="100"/>
          <w:position w:val="0"/>
        </w:rPr>
        <w:t>“</w:t>
      </w:r>
      <w:r>
        <w:rPr>
          <w:color w:val="000000"/>
          <w:spacing w:val="0"/>
          <w:w w:val="100"/>
          <w:position w:val="0"/>
        </w:rPr>
        <w:t>一型三化</w:t>
      </w:r>
      <w:r>
        <w:rPr>
          <w:rFonts w:ascii="Times New Roman" w:eastAsia="Times New Roman" w:hAnsi="Times New Roman" w:cs="Times New Roman"/>
          <w:color w:val="000000"/>
          <w:spacing w:val="0"/>
          <w:w w:val="100"/>
          <w:position w:val="0"/>
        </w:rPr>
        <w:t>”OMO</w:t>
      </w:r>
      <w:r>
        <w:rPr>
          <w:color w:val="000000"/>
          <w:spacing w:val="0"/>
          <w:w w:val="100"/>
          <w:position w:val="0"/>
        </w:rPr>
        <w:t>新型渠道营销服务体系。一是加快推进线下渠 道向目标市场的全面转型，贴近目标市场，优化布局，双优社区、乡镇覆盖全面提升；强化</w:t>
      </w:r>
      <w:r>
        <w:rPr>
          <w:rFonts w:ascii="Times New Roman" w:eastAsia="Times New Roman" w:hAnsi="Times New Roman" w:cs="Times New Roman"/>
          <w:color w:val="000000"/>
          <w:spacing w:val="0"/>
          <w:w w:val="100"/>
          <w:position w:val="0"/>
        </w:rPr>
        <w:t xml:space="preserve">“1+N+n” </w:t>
      </w:r>
      <w:r>
        <w:rPr>
          <w:color w:val="000000"/>
          <w:spacing w:val="0"/>
          <w:w w:val="100"/>
          <w:position w:val="0"/>
        </w:rPr>
        <w:t>商盟建设，积极构建线下渠道新生态。二是加快提升线上集约化运营能力拓展流量空间，</w:t>
      </w:r>
      <w:r>
        <w:rPr>
          <w:rFonts w:ascii="Times New Roman" w:eastAsia="Times New Roman" w:hAnsi="Times New Roman" w:cs="Times New Roman"/>
          <w:color w:val="000000"/>
          <w:spacing w:val="0"/>
          <w:w w:val="100"/>
          <w:position w:val="0"/>
        </w:rPr>
        <w:t>2I2C</w:t>
      </w:r>
      <w:r>
        <w:rPr>
          <w:color w:val="000000"/>
          <w:spacing w:val="0"/>
          <w:w w:val="100"/>
          <w:position w:val="0"/>
        </w:rPr>
        <w:t xml:space="preserve">产品和 </w:t>
      </w:r>
      <w:r>
        <w:rPr>
          <w:color w:val="000000"/>
          <w:spacing w:val="0"/>
          <w:w w:val="100"/>
          <w:position w:val="0"/>
        </w:rPr>
        <w:t>营销模式升级提速，稳固头部合作同时积极拓展本地创新引流；加速打造差异化中国联通</w:t>
      </w:r>
      <w:r>
        <w:rPr>
          <w:rFonts w:ascii="Times New Roman" w:eastAsia="Times New Roman" w:hAnsi="Times New Roman" w:cs="Times New Roman"/>
          <w:color w:val="000000"/>
          <w:spacing w:val="0"/>
          <w:w w:val="100"/>
          <w:position w:val="0"/>
        </w:rPr>
        <w:t>APP</w:t>
      </w:r>
      <w:r>
        <w:rPr>
          <w:color w:val="000000"/>
          <w:spacing w:val="0"/>
          <w:w w:val="100"/>
          <w:position w:val="0"/>
        </w:rPr>
        <w:t>，做大 用户连接，提升用户活跃，构建生态合作平台。三是加快推进线上线下一体化，统一公众中台和业务 运营平台，全流程打通和生产调度；深化数字化营业厅建设，扩大相互引流，提升渠道能力。</w:t>
      </w:r>
    </w:p>
    <w:p>
      <w:pPr>
        <w:pStyle w:val="Style16"/>
        <w:keepNext/>
        <w:keepLines/>
        <w:widowControl w:val="0"/>
        <w:shd w:val="clear" w:color="auto" w:fill="auto"/>
        <w:tabs>
          <w:tab w:pos="546" w:val="left"/>
        </w:tabs>
        <w:bidi w:val="0"/>
        <w:spacing w:before="0"/>
        <w:ind w:left="0" w:right="0" w:firstLine="140"/>
        <w:jc w:val="left"/>
      </w:pPr>
      <w:bookmarkStart w:id="149" w:name="bookmark149"/>
      <w:bookmarkStart w:id="150" w:name="bookmark150"/>
      <w:bookmarkStart w:id="151" w:name="bookmark151"/>
      <w:bookmarkStart w:id="152" w:name="bookmark152"/>
      <w:r>
        <w:rPr>
          <w:color w:val="000000"/>
          <w:spacing w:val="0"/>
          <w:w w:val="100"/>
          <w:position w:val="0"/>
        </w:rPr>
        <w:t>四</w:t>
      </w:r>
      <w:bookmarkEnd w:id="151"/>
      <w:r>
        <w:rPr>
          <w:color w:val="000000"/>
          <w:spacing w:val="0"/>
          <w:w w:val="100"/>
          <w:position w:val="0"/>
        </w:rPr>
        <w:t>、</w:t>
        <w:tab/>
        <w:t>报告期内核心竞争力分析</w:t>
      </w:r>
      <w:bookmarkEnd w:id="149"/>
      <w:bookmarkEnd w:id="150"/>
      <w:bookmarkEnd w:id="152"/>
    </w:p>
    <w:p>
      <w:pPr>
        <w:pStyle w:val="Style5"/>
        <w:keepNext w:val="0"/>
        <w:keepLines w:val="0"/>
        <w:widowControl w:val="0"/>
        <w:shd w:val="clear" w:color="auto" w:fill="auto"/>
        <w:bidi w:val="0"/>
        <w:spacing w:before="0" w:line="367" w:lineRule="exact"/>
        <w:ind w:left="14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年，中国联通坚决贯彻党中央、国务院决策部署，勇担政治责任、经济责任、社会责任和科 技创新责任，经营态势稳中有进，规模效益持续提升，综合实力再上台阶，顺利实现了</w:t>
      </w:r>
      <w:r>
        <w:rPr>
          <w:rFonts w:ascii="Times New Roman" w:eastAsia="Times New Roman" w:hAnsi="Times New Roman" w:cs="Times New Roman"/>
          <w:color w:val="000000"/>
          <w:spacing w:val="0"/>
          <w:w w:val="100"/>
          <w:position w:val="0"/>
        </w:rPr>
        <w:t>“</w:t>
      </w:r>
      <w:r>
        <w:rPr>
          <w:color w:val="000000"/>
          <w:spacing w:val="0"/>
          <w:w w:val="100"/>
          <w:position w:val="0"/>
        </w:rPr>
        <w:t>十四五''良好 开局。</w:t>
      </w:r>
    </w:p>
    <w:p>
      <w:pPr>
        <w:pStyle w:val="Style5"/>
        <w:keepNext w:val="0"/>
        <w:keepLines w:val="0"/>
        <w:widowControl w:val="0"/>
        <w:shd w:val="clear" w:color="auto" w:fill="auto"/>
        <w:bidi w:val="0"/>
        <w:spacing w:before="0" w:line="360" w:lineRule="exact"/>
        <w:ind w:left="140" w:right="0" w:firstLine="420"/>
        <w:jc w:val="left"/>
      </w:pPr>
      <w:r>
        <w:rPr>
          <w:color w:val="000000"/>
          <w:spacing w:val="0"/>
          <w:w w:val="100"/>
          <w:position w:val="0"/>
        </w:rPr>
        <w:t>一是坚持全国一盘棋，高质量发展再上新台阶。统一经营管理语言，推动发展理念、策略、导向 更加顺应行业规律和市场逻辑。坚持“量质构效”协同发展，基础业务实现恢复性增长。重点攻坚“创 新产品新高地”，落实</w:t>
      </w:r>
      <w:r>
        <w:rPr>
          <w:rFonts w:ascii="Times New Roman" w:eastAsia="Times New Roman" w:hAnsi="Times New Roman" w:cs="Times New Roman"/>
          <w:color w:val="000000"/>
          <w:spacing w:val="0"/>
          <w:w w:val="100"/>
          <w:position w:val="0"/>
        </w:rPr>
        <w:t>5G</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扬帆</w:t>
      </w:r>
      <w:r>
        <w:rPr>
          <w:rFonts w:ascii="Times New Roman" w:eastAsia="Times New Roman" w:hAnsi="Times New Roman" w:cs="Times New Roman"/>
          <w:color w:val="000000"/>
          <w:spacing w:val="0"/>
          <w:w w:val="100"/>
          <w:position w:val="0"/>
        </w:rPr>
        <w:t>”</w:t>
      </w:r>
      <w:r>
        <w:rPr>
          <w:color w:val="000000"/>
          <w:spacing w:val="0"/>
          <w:w w:val="100"/>
          <w:position w:val="0"/>
        </w:rPr>
        <w:t>行动计划，自主研发产品规模迅速提升。</w:t>
      </w:r>
      <w:r>
        <w:rPr>
          <w:rFonts w:ascii="Times New Roman" w:eastAsia="Times New Roman" w:hAnsi="Times New Roman" w:cs="Times New Roman"/>
          <w:color w:val="000000"/>
          <w:spacing w:val="0"/>
          <w:w w:val="100"/>
          <w:position w:val="0"/>
        </w:rPr>
        <w:t>“</w:t>
      </w:r>
      <w:r>
        <w:rPr>
          <w:color w:val="000000"/>
          <w:spacing w:val="0"/>
          <w:w w:val="100"/>
          <w:position w:val="0"/>
        </w:rPr>
        <w:t>联通云</w:t>
      </w:r>
      <w:r>
        <w:rPr>
          <w:rFonts w:ascii="Times New Roman" w:eastAsia="Times New Roman" w:hAnsi="Times New Roman" w:cs="Times New Roman"/>
          <w:color w:val="000000"/>
          <w:spacing w:val="0"/>
          <w:w w:val="100"/>
          <w:position w:val="0"/>
        </w:rPr>
        <w:t>”</w:t>
      </w:r>
      <w:r>
        <w:rPr>
          <w:color w:val="000000"/>
          <w:spacing w:val="0"/>
          <w:w w:val="100"/>
          <w:position w:val="0"/>
        </w:rPr>
        <w:t>品牌焕新升 级，大数据连续多年保持行业领先，物联网份额持续提升，专业子公司协同发力，能力建设持续加强。</w:t>
      </w:r>
    </w:p>
    <w:p>
      <w:pPr>
        <w:pStyle w:val="Style5"/>
        <w:keepNext w:val="0"/>
        <w:keepLines w:val="0"/>
        <w:widowControl w:val="0"/>
        <w:shd w:val="clear" w:color="auto" w:fill="auto"/>
        <w:bidi w:val="0"/>
        <w:spacing w:before="0" w:line="358" w:lineRule="exact"/>
        <w:ind w:left="140" w:right="0" w:firstLine="420"/>
        <w:jc w:val="left"/>
      </w:pPr>
      <w:r>
        <w:rPr>
          <w:color w:val="000000"/>
          <w:spacing w:val="0"/>
          <w:w w:val="100"/>
          <w:position w:val="0"/>
        </w:rPr>
        <w:t>二是打造精品网络，通信基础设施能力达到新水平。深化网络共建共享，</w:t>
      </w:r>
      <w:r>
        <w:rPr>
          <w:rFonts w:ascii="Times New Roman" w:eastAsia="Times New Roman" w:hAnsi="Times New Roman" w:cs="Times New Roman"/>
          <w:color w:val="000000"/>
          <w:spacing w:val="0"/>
          <w:w w:val="100"/>
          <w:position w:val="0"/>
        </w:rPr>
        <w:t>5G</w:t>
      </w:r>
      <w:r>
        <w:rPr>
          <w:color w:val="000000"/>
          <w:spacing w:val="0"/>
          <w:w w:val="100"/>
          <w:position w:val="0"/>
        </w:rPr>
        <w:t>与行业规模相当、 覆盖相当，实现市区、县城及重点乡镇的连续覆盖，一线城市覆盖领先；</w:t>
      </w:r>
      <w:r>
        <w:rPr>
          <w:rFonts w:ascii="Times New Roman" w:eastAsia="Times New Roman" w:hAnsi="Times New Roman" w:cs="Times New Roman"/>
          <w:color w:val="000000"/>
          <w:spacing w:val="0"/>
          <w:w w:val="100"/>
          <w:position w:val="0"/>
        </w:rPr>
        <w:t>4G</w:t>
      </w:r>
      <w:r>
        <w:rPr>
          <w:color w:val="000000"/>
          <w:spacing w:val="0"/>
          <w:w w:val="100"/>
          <w:position w:val="0"/>
        </w:rPr>
        <w:t>实现覆盖、效益双提升。 加快千兆宽带部署，宽带测速北方全部第一。网络资源大清查与可视化工作取得历史性突破，首次实 现政企业务及宽带资源的集中纳管，大幅提升市场支撑和服务响应能力。</w:t>
      </w:r>
    </w:p>
    <w:p>
      <w:pPr>
        <w:pStyle w:val="Style5"/>
        <w:keepNext w:val="0"/>
        <w:keepLines w:val="0"/>
        <w:widowControl w:val="0"/>
        <w:shd w:val="clear" w:color="auto" w:fill="auto"/>
        <w:bidi w:val="0"/>
        <w:spacing w:before="0" w:line="356" w:lineRule="exact"/>
        <w:ind w:left="140" w:right="0" w:firstLine="420"/>
        <w:jc w:val="left"/>
      </w:pPr>
      <w:r>
        <w:rPr>
          <w:color w:val="000000"/>
          <w:spacing w:val="0"/>
          <w:w w:val="100"/>
          <w:position w:val="0"/>
        </w:rPr>
        <w:t>三是实施创新驱动，数字化转型取得新突破。发布“联通智慧大脑”，核心业务系统、客户系统、 智慧中台、大数据、数字化底座实现全集团</w:t>
      </w:r>
      <w:r>
        <w:rPr>
          <w:rFonts w:ascii="Times New Roman" w:eastAsia="Times New Roman" w:hAnsi="Times New Roman" w:cs="Times New Roman"/>
          <w:color w:val="000000"/>
          <w:spacing w:val="0"/>
          <w:w w:val="100"/>
          <w:position w:val="0"/>
        </w:rPr>
        <w:t>100%</w:t>
      </w:r>
      <w:r>
        <w:rPr>
          <w:color w:val="000000"/>
          <w:spacing w:val="0"/>
          <w:w w:val="100"/>
          <w:position w:val="0"/>
        </w:rPr>
        <w:t>集约，</w:t>
      </w:r>
      <w:r>
        <w:rPr>
          <w:rFonts w:ascii="Times New Roman" w:eastAsia="Times New Roman" w:hAnsi="Times New Roman" w:cs="Times New Roman"/>
          <w:color w:val="000000"/>
          <w:spacing w:val="0"/>
          <w:w w:val="100"/>
          <w:position w:val="0"/>
        </w:rPr>
        <w:t>“</w:t>
      </w:r>
      <w:r>
        <w:rPr>
          <w:color w:val="000000"/>
          <w:spacing w:val="0"/>
          <w:w w:val="100"/>
          <w:position w:val="0"/>
        </w:rPr>
        <w:t>五大中台</w:t>
      </w:r>
      <w:r>
        <w:rPr>
          <w:rFonts w:ascii="Times New Roman" w:eastAsia="Times New Roman" w:hAnsi="Times New Roman" w:cs="Times New Roman"/>
          <w:color w:val="000000"/>
          <w:spacing w:val="0"/>
          <w:w w:val="100"/>
          <w:position w:val="0"/>
        </w:rPr>
        <w:t>”</w:t>
      </w:r>
      <w:r>
        <w:rPr>
          <w:color w:val="000000"/>
          <w:spacing w:val="0"/>
          <w:w w:val="100"/>
          <w:position w:val="0"/>
        </w:rPr>
        <w:t>核心能力基本建成，联通</w:t>
      </w:r>
      <w:r>
        <w:rPr>
          <w:rFonts w:ascii="Times New Roman" w:eastAsia="Times New Roman" w:hAnsi="Times New Roman" w:cs="Times New Roman"/>
          <w:color w:val="000000"/>
          <w:spacing w:val="0"/>
          <w:w w:val="100"/>
          <w:position w:val="0"/>
        </w:rPr>
        <w:t>APP</w:t>
      </w:r>
      <w:r>
        <w:rPr>
          <w:color w:val="000000"/>
          <w:spacing w:val="0"/>
          <w:w w:val="100"/>
          <w:position w:val="0"/>
        </w:rPr>
        <w:t>品 牌全面焕新，月活用户超</w:t>
      </w:r>
      <w:r>
        <w:rPr>
          <w:rFonts w:ascii="Times New Roman" w:eastAsia="Times New Roman" w:hAnsi="Times New Roman" w:cs="Times New Roman"/>
          <w:color w:val="000000"/>
          <w:spacing w:val="0"/>
          <w:w w:val="100"/>
          <w:position w:val="0"/>
        </w:rPr>
        <w:t>1</w:t>
      </w:r>
      <w:r>
        <w:rPr>
          <w:color w:val="000000"/>
          <w:spacing w:val="0"/>
          <w:w w:val="100"/>
          <w:position w:val="0"/>
        </w:rPr>
        <w:t>亿户，数据治理体系不断完善，流程治理持续强化，敏捷赋能效果显现。 科技创新有效突破，开展核心技术攻关，降低</w:t>
      </w:r>
      <w:r>
        <w:rPr>
          <w:rFonts w:ascii="Times New Roman" w:eastAsia="Times New Roman" w:hAnsi="Times New Roman" w:cs="Times New Roman"/>
          <w:color w:val="000000"/>
          <w:spacing w:val="0"/>
          <w:w w:val="100"/>
          <w:position w:val="0"/>
        </w:rPr>
        <w:t>“</w:t>
      </w:r>
      <w:r>
        <w:rPr>
          <w:color w:val="000000"/>
          <w:spacing w:val="0"/>
          <w:w w:val="100"/>
          <w:position w:val="0"/>
        </w:rPr>
        <w:t>卡脖子</w:t>
      </w:r>
      <w:r>
        <w:rPr>
          <w:rFonts w:ascii="Times New Roman" w:eastAsia="Times New Roman" w:hAnsi="Times New Roman" w:cs="Times New Roman"/>
          <w:color w:val="000000"/>
          <w:spacing w:val="0"/>
          <w:w w:val="100"/>
          <w:position w:val="0"/>
        </w:rPr>
        <w:t>”</w:t>
      </w:r>
      <w:r>
        <w:rPr>
          <w:color w:val="000000"/>
          <w:spacing w:val="0"/>
          <w:w w:val="100"/>
          <w:position w:val="0"/>
        </w:rPr>
        <w:t>风险，研发投入持续提高。深化网络技术创新， 发布</w:t>
      </w:r>
      <w:r>
        <w:rPr>
          <w:rFonts w:ascii="Times New Roman" w:eastAsia="Times New Roman" w:hAnsi="Times New Roman" w:cs="Times New Roman"/>
          <w:color w:val="000000"/>
          <w:spacing w:val="0"/>
          <w:w w:val="100"/>
          <w:position w:val="0"/>
        </w:rPr>
        <w:t>CUBE-Net3.0</w:t>
      </w:r>
      <w:r>
        <w:rPr>
          <w:color w:val="000000"/>
          <w:spacing w:val="0"/>
          <w:w w:val="100"/>
          <w:position w:val="0"/>
        </w:rPr>
        <w:t>网络体系，基本建成网络资源数字化运营平台。</w:t>
      </w:r>
    </w:p>
    <w:p>
      <w:pPr>
        <w:pStyle w:val="Style5"/>
        <w:keepNext w:val="0"/>
        <w:keepLines w:val="0"/>
        <w:widowControl w:val="0"/>
        <w:shd w:val="clear" w:color="auto" w:fill="auto"/>
        <w:bidi w:val="0"/>
        <w:spacing w:before="0" w:after="500" w:line="362" w:lineRule="exact"/>
        <w:ind w:left="140" w:right="0" w:firstLine="420"/>
        <w:jc w:val="left"/>
      </w:pPr>
      <w:r>
        <w:rPr>
          <w:color w:val="000000"/>
          <w:spacing w:val="0"/>
          <w:w w:val="100"/>
          <w:position w:val="0"/>
        </w:rPr>
        <w:t>四是落实高品质服务，品牌形象实现新提升。开展“匠心网络、贴心服务”和“百日攻坚”专项 行动，宽带当日通率、政企双线</w:t>
      </w:r>
      <w:r>
        <w:rPr>
          <w:rFonts w:ascii="Times New Roman" w:eastAsia="Times New Roman" w:hAnsi="Times New Roman" w:cs="Times New Roman"/>
          <w:color w:val="000000"/>
          <w:spacing w:val="0"/>
          <w:w w:val="100"/>
          <w:position w:val="0"/>
        </w:rPr>
        <w:t>3/5/7</w:t>
      </w:r>
      <w:r>
        <w:rPr>
          <w:color w:val="000000"/>
          <w:spacing w:val="0"/>
          <w:w w:val="100"/>
          <w:position w:val="0"/>
        </w:rPr>
        <w:t>日通服务承诺达标率持续提升。打造热线集约一体化服务运营 模式，</w:t>
      </w:r>
      <w:r>
        <w:rPr>
          <w:rFonts w:ascii="Times New Roman" w:eastAsia="Times New Roman" w:hAnsi="Times New Roman" w:cs="Times New Roman"/>
          <w:color w:val="000000"/>
          <w:spacing w:val="0"/>
          <w:w w:val="100"/>
          <w:position w:val="0"/>
        </w:rPr>
        <w:t>31</w:t>
      </w:r>
      <w:r>
        <w:rPr>
          <w:color w:val="000000"/>
          <w:spacing w:val="0"/>
          <w:w w:val="100"/>
          <w:position w:val="0"/>
        </w:rPr>
        <w:t>省</w:t>
      </w:r>
      <w:r>
        <w:rPr>
          <w:rFonts w:ascii="Times New Roman" w:eastAsia="Times New Roman" w:hAnsi="Times New Roman" w:cs="Times New Roman"/>
          <w:color w:val="000000"/>
          <w:spacing w:val="0"/>
          <w:w w:val="100"/>
          <w:position w:val="0"/>
        </w:rPr>
        <w:t>10010</w:t>
      </w:r>
      <w:r>
        <w:rPr>
          <w:color w:val="000000"/>
          <w:spacing w:val="0"/>
          <w:w w:val="100"/>
          <w:position w:val="0"/>
        </w:rPr>
        <w:t>热线实现来话全量集约。依托联通</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智家工程师、营业员实现客户</w:t>
      </w:r>
      <w:r>
        <w:rPr>
          <w:rFonts w:ascii="Times New Roman" w:eastAsia="Times New Roman" w:hAnsi="Times New Roman" w:cs="Times New Roman"/>
          <w:color w:val="000000"/>
          <w:spacing w:val="0"/>
          <w:w w:val="100"/>
          <w:position w:val="0"/>
        </w:rPr>
        <w:t>“</w:t>
      </w:r>
      <w:r>
        <w:rPr>
          <w:color w:val="000000"/>
          <w:spacing w:val="0"/>
          <w:w w:val="100"/>
          <w:position w:val="0"/>
        </w:rPr>
        <w:t>全覆盖</w:t>
      </w:r>
      <w:r>
        <w:rPr>
          <w:rFonts w:ascii="Times New Roman" w:eastAsia="Times New Roman" w:hAnsi="Times New Roman" w:cs="Times New Roman"/>
          <w:color w:val="000000"/>
          <w:spacing w:val="0"/>
          <w:w w:val="100"/>
          <w:position w:val="0"/>
        </w:rPr>
        <w:t>”</w:t>
      </w:r>
      <w:r>
        <w:rPr>
          <w:color w:val="000000"/>
          <w:spacing w:val="0"/>
          <w:w w:val="100"/>
          <w:position w:val="0"/>
        </w:rPr>
        <w:t>。 关心关爱社会残障人士、孤寡老人等弱势群体，推进产品、服务适老化及无障碍改造。工信部综合满 意度、有效申诉率升至行业第二。</w:t>
      </w:r>
    </w:p>
    <w:p>
      <w:pPr>
        <w:pStyle w:val="Style16"/>
        <w:keepNext/>
        <w:keepLines/>
        <w:widowControl w:val="0"/>
        <w:shd w:val="clear" w:color="auto" w:fill="auto"/>
        <w:tabs>
          <w:tab w:pos="558" w:val="left"/>
        </w:tabs>
        <w:bidi w:val="0"/>
        <w:spacing w:before="0"/>
        <w:ind w:left="0" w:right="0" w:firstLine="140"/>
        <w:jc w:val="left"/>
      </w:pPr>
      <w:bookmarkStart w:id="153" w:name="bookmark153"/>
      <w:bookmarkStart w:id="154" w:name="bookmark154"/>
      <w:bookmarkStart w:id="155" w:name="bookmark155"/>
      <w:bookmarkStart w:id="156" w:name="bookmark156"/>
      <w:r>
        <w:rPr>
          <w:color w:val="000000"/>
          <w:spacing w:val="0"/>
          <w:w w:val="100"/>
          <w:position w:val="0"/>
        </w:rPr>
        <w:t>五</w:t>
      </w:r>
      <w:bookmarkEnd w:id="155"/>
      <w:r>
        <w:rPr>
          <w:color w:val="000000"/>
          <w:spacing w:val="0"/>
          <w:w w:val="100"/>
          <w:position w:val="0"/>
        </w:rPr>
        <w:t>、</w:t>
        <w:tab/>
        <w:t>报告期内主要经营情况</w:t>
      </w:r>
      <w:bookmarkEnd w:id="153"/>
      <w:bookmarkEnd w:id="154"/>
      <w:bookmarkEnd w:id="156"/>
    </w:p>
    <w:p>
      <w:pPr>
        <w:pStyle w:val="Style16"/>
        <w:keepNext/>
        <w:keepLines/>
        <w:widowControl w:val="0"/>
        <w:shd w:val="clear" w:color="auto" w:fill="auto"/>
        <w:bidi w:val="0"/>
        <w:spacing w:before="0"/>
        <w:ind w:left="0" w:right="0" w:firstLine="660"/>
        <w:jc w:val="left"/>
      </w:pPr>
      <w:bookmarkStart w:id="153" w:name="bookmark153"/>
      <w:bookmarkStart w:id="154" w:name="bookmark154"/>
      <w:bookmarkStart w:id="157" w:name="bookmark157"/>
      <w:bookmarkStart w:id="158" w:name="bookmark158"/>
      <w:r>
        <w:rPr>
          <w:color w:val="000000"/>
          <w:spacing w:val="0"/>
          <w:w w:val="100"/>
          <w:position w:val="0"/>
        </w:rPr>
        <w:t>一</w:t>
      </w:r>
      <w:bookmarkEnd w:id="157"/>
      <w:r>
        <w:rPr>
          <w:color w:val="000000"/>
          <w:spacing w:val="0"/>
          <w:w w:val="100"/>
          <w:position w:val="0"/>
        </w:rPr>
        <w:t>、概述</w:t>
      </w:r>
      <w:bookmarkEnd w:id="153"/>
      <w:bookmarkEnd w:id="154"/>
      <w:bookmarkEnd w:id="158"/>
    </w:p>
    <w:p>
      <w:pPr>
        <w:pStyle w:val="Style5"/>
        <w:keepNext w:val="0"/>
        <w:keepLines w:val="0"/>
        <w:widowControl w:val="0"/>
        <w:shd w:val="clear" w:color="auto" w:fill="auto"/>
        <w:bidi w:val="0"/>
        <w:spacing w:before="0" w:line="360" w:lineRule="exact"/>
        <w:ind w:left="14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年，公司经营态势稳中有进，规模效益持续提升，综合实力再上台阶，实现了 “十四五” 良好开局。公司实现营业收入人民币</w:t>
      </w:r>
      <w:r>
        <w:rPr>
          <w:rFonts w:ascii="Times New Roman" w:eastAsia="Times New Roman" w:hAnsi="Times New Roman" w:cs="Times New Roman"/>
          <w:color w:val="000000"/>
          <w:spacing w:val="0"/>
          <w:w w:val="100"/>
          <w:position w:val="0"/>
        </w:rPr>
        <w:t>3,278.5</w:t>
      </w:r>
      <w:r>
        <w:rPr>
          <w:color w:val="000000"/>
          <w:spacing w:val="0"/>
          <w:w w:val="100"/>
          <w:position w:val="0"/>
        </w:rPr>
        <w:t>亿元，同比增长</w:t>
      </w:r>
      <w:r>
        <w:rPr>
          <w:rFonts w:ascii="Times New Roman" w:eastAsia="Times New Roman" w:hAnsi="Times New Roman" w:cs="Times New Roman"/>
          <w:color w:val="000000"/>
          <w:spacing w:val="0"/>
          <w:w w:val="100"/>
          <w:position w:val="0"/>
        </w:rPr>
        <w:t>7.9%</w:t>
      </w:r>
      <w:r>
        <w:rPr>
          <w:color w:val="000000"/>
          <w:spacing w:val="0"/>
          <w:w w:val="100"/>
          <w:position w:val="0"/>
        </w:rPr>
        <w:t>，主营业务收入达到人民币</w:t>
      </w:r>
      <w:r>
        <w:rPr>
          <w:rFonts w:ascii="Times New Roman" w:eastAsia="Times New Roman" w:hAnsi="Times New Roman" w:cs="Times New Roman"/>
          <w:color w:val="000000"/>
          <w:spacing w:val="0"/>
          <w:w w:val="100"/>
          <w:position w:val="0"/>
        </w:rPr>
        <w:t xml:space="preserve">2,961.5 </w:t>
      </w:r>
      <w:r>
        <w:rPr>
          <w:color w:val="000000"/>
          <w:spacing w:val="0"/>
          <w:w w:val="100"/>
          <w:position w:val="0"/>
        </w:rPr>
        <w:t>亿元，同比增长</w:t>
      </w:r>
      <w:r>
        <w:rPr>
          <w:rFonts w:ascii="Times New Roman" w:eastAsia="Times New Roman" w:hAnsi="Times New Roman" w:cs="Times New Roman"/>
          <w:color w:val="000000"/>
          <w:spacing w:val="0"/>
          <w:w w:val="100"/>
          <w:position w:val="0"/>
        </w:rPr>
        <w:t>7.4%</w:t>
      </w:r>
      <w:r>
        <w:rPr>
          <w:color w:val="000000"/>
          <w:spacing w:val="0"/>
          <w:w w:val="100"/>
          <w:position w:val="0"/>
        </w:rPr>
        <w:t>。归属于母公司净利润实现人民币</w:t>
      </w:r>
      <w:r>
        <w:rPr>
          <w:rFonts w:ascii="Times New Roman" w:eastAsia="Times New Roman" w:hAnsi="Times New Roman" w:cs="Times New Roman"/>
          <w:color w:val="000000"/>
          <w:spacing w:val="0"/>
          <w:w w:val="100"/>
          <w:position w:val="0"/>
        </w:rPr>
        <w:t>63.1</w:t>
      </w:r>
      <w:r>
        <w:rPr>
          <w:color w:val="000000"/>
          <w:spacing w:val="0"/>
          <w:w w:val="100"/>
          <w:position w:val="0"/>
        </w:rPr>
        <w:t>亿元，同比增加人民币</w:t>
      </w:r>
      <w:r>
        <w:rPr>
          <w:rFonts w:ascii="Times New Roman" w:eastAsia="Times New Roman" w:hAnsi="Times New Roman" w:cs="Times New Roman"/>
          <w:color w:val="000000"/>
          <w:spacing w:val="0"/>
          <w:w w:val="100"/>
          <w:position w:val="0"/>
        </w:rPr>
        <w:t>7.8</w:t>
      </w:r>
      <w:r>
        <w:rPr>
          <w:color w:val="000000"/>
          <w:spacing w:val="0"/>
          <w:w w:val="100"/>
          <w:position w:val="0"/>
        </w:rPr>
        <w:t>亿元。</w:t>
      </w:r>
    </w:p>
    <w:p>
      <w:pPr>
        <w:pStyle w:val="Style5"/>
        <w:keepNext w:val="0"/>
        <w:keepLines w:val="0"/>
        <w:widowControl w:val="0"/>
        <w:shd w:val="clear" w:color="auto" w:fill="auto"/>
        <w:bidi w:val="0"/>
        <w:spacing w:before="0" w:line="360" w:lineRule="exact"/>
        <w:ind w:left="14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年，公司经营活动现金流量净额为人民币</w:t>
      </w:r>
      <w:r>
        <w:rPr>
          <w:rFonts w:ascii="Times New Roman" w:eastAsia="Times New Roman" w:hAnsi="Times New Roman" w:cs="Times New Roman"/>
          <w:color w:val="000000"/>
          <w:spacing w:val="0"/>
          <w:w w:val="100"/>
          <w:position w:val="0"/>
        </w:rPr>
        <w:t>1,119.7</w:t>
      </w:r>
      <w:r>
        <w:rPr>
          <w:color w:val="000000"/>
          <w:spacing w:val="0"/>
          <w:w w:val="100"/>
          <w:position w:val="0"/>
        </w:rPr>
        <w:t>亿元，资本开支为人民币</w:t>
      </w:r>
      <w:r>
        <w:rPr>
          <w:rFonts w:ascii="Times New Roman" w:eastAsia="Times New Roman" w:hAnsi="Times New Roman" w:cs="Times New Roman"/>
          <w:color w:val="000000"/>
          <w:spacing w:val="0"/>
          <w:w w:val="100"/>
          <w:position w:val="0"/>
        </w:rPr>
        <w:t>689.6</w:t>
      </w:r>
      <w:r>
        <w:rPr>
          <w:color w:val="000000"/>
          <w:spacing w:val="0"/>
          <w:w w:val="100"/>
          <w:position w:val="0"/>
        </w:rPr>
        <w:t>亿元。截 至</w:t>
      </w:r>
      <w:r>
        <w:rPr>
          <w:rFonts w:ascii="Times New Roman" w:eastAsia="Times New Roman" w:hAnsi="Times New Roman" w:cs="Times New Roman"/>
          <w:color w:val="000000"/>
          <w:spacing w:val="0"/>
          <w:w w:val="100"/>
          <w:position w:val="0"/>
        </w:rPr>
        <w:t>2021</w:t>
      </w:r>
      <w:r>
        <w:rPr>
          <w:color w:val="000000"/>
          <w:spacing w:val="0"/>
          <w:w w:val="100"/>
          <w:position w:val="0"/>
        </w:rPr>
        <w:t>年底，公司资产负债率为</w:t>
      </w:r>
      <w:r>
        <w:rPr>
          <w:rFonts w:ascii="Times New Roman" w:eastAsia="Times New Roman" w:hAnsi="Times New Roman" w:cs="Times New Roman"/>
          <w:color w:val="000000"/>
          <w:spacing w:val="0"/>
          <w:w w:val="100"/>
          <w:position w:val="0"/>
        </w:rPr>
        <w:t>43.3%</w:t>
      </w:r>
      <w:r>
        <w:rPr>
          <w:color w:val="000000"/>
          <w:spacing w:val="0"/>
          <w:w w:val="100"/>
          <w:position w:val="0"/>
        </w:rPr>
        <w:t>。</w:t>
      </w:r>
      <w:r>
        <w:br w:type="page"/>
      </w:r>
    </w:p>
    <w:p>
      <w:pPr>
        <w:pStyle w:val="Style16"/>
        <w:keepNext/>
        <w:keepLines/>
        <w:widowControl w:val="0"/>
        <w:shd w:val="clear" w:color="auto" w:fill="auto"/>
        <w:bidi w:val="0"/>
        <w:spacing w:before="0" w:after="120"/>
        <w:ind w:left="0" w:right="0" w:firstLine="700"/>
        <w:jc w:val="left"/>
      </w:pPr>
      <w:bookmarkStart w:id="159" w:name="bookmark159"/>
      <w:bookmarkStart w:id="160" w:name="bookmark160"/>
      <w:bookmarkStart w:id="161" w:name="bookmark161"/>
      <w:bookmarkStart w:id="162" w:name="bookmark162"/>
      <w:r>
        <w:rPr>
          <w:color w:val="000000"/>
          <w:spacing w:val="0"/>
          <w:w w:val="100"/>
          <w:position w:val="0"/>
        </w:rPr>
        <w:t>二</w:t>
      </w:r>
      <w:bookmarkEnd w:id="161"/>
      <w:r>
        <w:rPr>
          <w:color w:val="000000"/>
          <w:spacing w:val="0"/>
          <w:w w:val="100"/>
          <w:position w:val="0"/>
        </w:rPr>
        <w:t>、营业收入</w:t>
      </w:r>
      <w:bookmarkEnd w:id="159"/>
      <w:bookmarkEnd w:id="160"/>
      <w:bookmarkEnd w:id="162"/>
    </w:p>
    <w:p>
      <w:pPr>
        <w:pStyle w:val="Style5"/>
        <w:keepNext w:val="0"/>
        <w:keepLines w:val="0"/>
        <w:widowControl w:val="0"/>
        <w:shd w:val="clear" w:color="auto" w:fill="auto"/>
        <w:bidi w:val="0"/>
        <w:spacing w:before="0" w:after="120" w:line="360" w:lineRule="exact"/>
        <w:ind w:left="0" w:right="0" w:firstLine="7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年，公司营业收入实现人民币</w:t>
      </w:r>
      <w:r>
        <w:rPr>
          <w:rFonts w:ascii="Times New Roman" w:eastAsia="Times New Roman" w:hAnsi="Times New Roman" w:cs="Times New Roman"/>
          <w:color w:val="000000"/>
          <w:spacing w:val="0"/>
          <w:w w:val="100"/>
          <w:position w:val="0"/>
        </w:rPr>
        <w:t>3,278.5</w:t>
      </w:r>
      <w:r>
        <w:rPr>
          <w:color w:val="000000"/>
          <w:spacing w:val="0"/>
          <w:w w:val="100"/>
          <w:position w:val="0"/>
        </w:rPr>
        <w:t>亿元，同比增长</w:t>
      </w:r>
      <w:r>
        <w:rPr>
          <w:rFonts w:ascii="Times New Roman" w:eastAsia="Times New Roman" w:hAnsi="Times New Roman" w:cs="Times New Roman"/>
          <w:color w:val="000000"/>
          <w:spacing w:val="0"/>
          <w:w w:val="100"/>
          <w:position w:val="0"/>
        </w:rPr>
        <w:t>7.9%</w:t>
      </w:r>
      <w:r>
        <w:rPr>
          <w:color w:val="000000"/>
          <w:spacing w:val="0"/>
          <w:w w:val="100"/>
          <w:position w:val="0"/>
        </w:rPr>
        <w:t>，其中，主营业务收入为人民 币</w:t>
      </w:r>
      <w:r>
        <w:rPr>
          <w:rFonts w:ascii="Times New Roman" w:eastAsia="Times New Roman" w:hAnsi="Times New Roman" w:cs="Times New Roman"/>
          <w:color w:val="000000"/>
          <w:spacing w:val="0"/>
          <w:w w:val="100"/>
          <w:position w:val="0"/>
        </w:rPr>
        <w:t>2,961.5</w:t>
      </w:r>
      <w:r>
        <w:rPr>
          <w:color w:val="000000"/>
          <w:spacing w:val="0"/>
          <w:w w:val="100"/>
          <w:position w:val="0"/>
        </w:rPr>
        <w:t>亿元，同比增长</w:t>
      </w:r>
      <w:r>
        <w:rPr>
          <w:rFonts w:ascii="Times New Roman" w:eastAsia="Times New Roman" w:hAnsi="Times New Roman" w:cs="Times New Roman"/>
          <w:color w:val="000000"/>
          <w:spacing w:val="0"/>
          <w:w w:val="100"/>
          <w:position w:val="0"/>
        </w:rPr>
        <w:t>7.4%</w:t>
      </w:r>
      <w:r>
        <w:rPr>
          <w:color w:val="000000"/>
          <w:spacing w:val="0"/>
          <w:w w:val="100"/>
          <w:position w:val="0"/>
        </w:rPr>
        <w:t>，收入结构不断优化。</w:t>
      </w:r>
    </w:p>
    <w:p>
      <w:pPr>
        <w:pStyle w:val="Style5"/>
        <w:keepNext w:val="0"/>
        <w:keepLines w:val="0"/>
        <w:widowControl w:val="0"/>
        <w:shd w:val="clear" w:color="auto" w:fill="auto"/>
        <w:bidi w:val="0"/>
        <w:spacing w:before="0" w:after="120" w:line="360" w:lineRule="exact"/>
        <w:ind w:left="0" w:right="0" w:firstLine="700"/>
        <w:jc w:val="left"/>
      </w:pPr>
      <w:r>
        <w:rPr>
          <w:color w:val="000000"/>
          <w:spacing w:val="0"/>
          <w:w w:val="100"/>
          <w:position w:val="0"/>
        </w:rPr>
        <w:t>下表反映了公司</w:t>
      </w:r>
      <w:r>
        <w:rPr>
          <w:rFonts w:ascii="Times New Roman" w:eastAsia="Times New Roman" w:hAnsi="Times New Roman" w:cs="Times New Roman"/>
          <w:color w:val="000000"/>
          <w:spacing w:val="0"/>
          <w:w w:val="100"/>
          <w:position w:val="0"/>
        </w:rPr>
        <w:t>2021</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年主营业务收入构成的变化情况及各业务主营业务收入所占主</w:t>
      </w:r>
    </w:p>
    <w:tbl>
      <w:tblPr>
        <w:tblOverlap w:val="never"/>
        <w:jc w:val="center"/>
        <w:tblLayout w:type="fixed"/>
      </w:tblPr>
      <w:tblGrid>
        <w:gridCol w:w="2467"/>
        <w:gridCol w:w="1757"/>
        <w:gridCol w:w="2074"/>
        <w:gridCol w:w="1440"/>
        <w:gridCol w:w="1853"/>
      </w:tblGrid>
      <w:tr>
        <w:trPr>
          <w:trHeight w:val="278" w:hRule="exact"/>
        </w:trPr>
        <w:tc>
          <w:tcPr>
            <w:gridSpan w:val="5"/>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营业务收入百分比情况：</w:t>
            </w:r>
          </w:p>
        </w:tc>
      </w:tr>
      <w:tr>
        <w:trPr>
          <w:trHeight w:val="326"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年</w:t>
            </w:r>
          </w:p>
        </w:tc>
      </w:tr>
      <w:tr>
        <w:trPr>
          <w:trHeight w:val="58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（单位：人民币亿元）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累计完成</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620" w:right="0" w:firstLine="0"/>
              <w:jc w:val="left"/>
            </w:pPr>
            <w:r>
              <w:rPr>
                <w:color w:val="000000"/>
                <w:spacing w:val="0"/>
                <w:w w:val="100"/>
                <w:position w:val="0"/>
              </w:rPr>
              <w:t>所占主营业务 收入百分比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累计完成</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380" w:right="0" w:firstLine="0"/>
              <w:jc w:val="left"/>
            </w:pPr>
            <w:r>
              <w:rPr>
                <w:color w:val="000000"/>
                <w:spacing w:val="0"/>
                <w:w w:val="100"/>
                <w:position w:val="0"/>
              </w:rPr>
              <w:t>所占主营业务 收入百分比</w:t>
            </w:r>
          </w:p>
        </w:tc>
      </w:tr>
      <w:tr>
        <w:trPr>
          <w:trHeight w:val="28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2,758. </w:t>
            </w:r>
            <w:r>
              <w:rPr>
                <w:color w:val="000000"/>
                <w:spacing w:val="0"/>
                <w:w w:val="100"/>
                <w:position w:val="0"/>
              </w:rPr>
              <w:t>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w:t>
            </w:r>
          </w:p>
        </w:tc>
      </w:tr>
      <w:tr>
        <w:trPr>
          <w:trHeight w:val="2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其中：语音业务</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345.8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11.68%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12.87%</w:t>
            </w:r>
          </w:p>
        </w:tc>
      </w:tr>
      <w:tr>
        <w:trPr>
          <w:trHeight w:val="413"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非语音业务</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2,615.7</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88.32%</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2,403. </w:t>
            </w:r>
            <w:r>
              <w:rPr>
                <w:color w:val="000000"/>
                <w:spacing w:val="0"/>
                <w:w w:val="100"/>
                <w:position w:val="0"/>
              </w:rPr>
              <w:t>2</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87.13%</w:t>
            </w:r>
          </w:p>
        </w:tc>
      </w:tr>
    </w:tbl>
    <w:p>
      <w:pPr>
        <w:widowControl w:val="0"/>
        <w:spacing w:after="239" w:line="1" w:lineRule="exact"/>
      </w:pPr>
    </w:p>
    <w:p>
      <w:pPr>
        <w:pStyle w:val="Style16"/>
        <w:keepNext/>
        <w:keepLines/>
        <w:widowControl w:val="0"/>
        <w:numPr>
          <w:ilvl w:val="0"/>
          <w:numId w:val="3"/>
        </w:numPr>
        <w:shd w:val="clear" w:color="auto" w:fill="auto"/>
        <w:tabs>
          <w:tab w:pos="925" w:val="left"/>
        </w:tabs>
        <w:bidi w:val="0"/>
        <w:spacing w:before="0" w:after="240" w:line="240" w:lineRule="auto"/>
        <w:ind w:left="0" w:right="0" w:firstLine="600"/>
        <w:jc w:val="left"/>
      </w:pPr>
      <w:bookmarkStart w:id="163" w:name="bookmark163"/>
      <w:bookmarkStart w:id="164" w:name="bookmark164"/>
      <w:bookmarkStart w:id="165" w:name="bookmark165"/>
      <w:bookmarkStart w:id="166" w:name="bookmark166"/>
      <w:bookmarkEnd w:id="165"/>
      <w:r>
        <w:rPr>
          <w:color w:val="000000"/>
          <w:spacing w:val="0"/>
          <w:w w:val="100"/>
          <w:position w:val="0"/>
        </w:rPr>
        <w:t>语音业务</w:t>
      </w:r>
      <w:bookmarkEnd w:id="163"/>
      <w:bookmarkEnd w:id="164"/>
      <w:bookmarkEnd w:id="166"/>
    </w:p>
    <w:p>
      <w:pPr>
        <w:pStyle w:val="Style5"/>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2021</w:t>
      </w:r>
      <w:r>
        <w:rPr>
          <w:color w:val="000000"/>
          <w:spacing w:val="0"/>
          <w:w w:val="100"/>
          <w:position w:val="0"/>
        </w:rPr>
        <w:t>年，公司语音业务收入实现人民币</w:t>
      </w:r>
      <w:r>
        <w:rPr>
          <w:color w:val="000000"/>
          <w:spacing w:val="0"/>
          <w:w w:val="100"/>
          <w:position w:val="0"/>
        </w:rPr>
        <w:t>345.8</w:t>
      </w:r>
      <w:r>
        <w:rPr>
          <w:color w:val="000000"/>
          <w:spacing w:val="0"/>
          <w:w w:val="100"/>
          <w:position w:val="0"/>
        </w:rPr>
        <w:t>亿元，同比下降</w:t>
      </w:r>
      <w:r>
        <w:rPr>
          <w:color w:val="000000"/>
          <w:spacing w:val="0"/>
          <w:w w:val="100"/>
          <w:position w:val="0"/>
        </w:rPr>
        <w:t>2.6%</w:t>
      </w:r>
      <w:r>
        <w:rPr>
          <w:color w:val="000000"/>
          <w:spacing w:val="0"/>
          <w:w w:val="100"/>
          <w:position w:val="0"/>
        </w:rPr>
        <w:t>。</w:t>
      </w:r>
    </w:p>
    <w:p>
      <w:pPr>
        <w:pStyle w:val="Style16"/>
        <w:keepNext/>
        <w:keepLines/>
        <w:widowControl w:val="0"/>
        <w:numPr>
          <w:ilvl w:val="0"/>
          <w:numId w:val="3"/>
        </w:numPr>
        <w:shd w:val="clear" w:color="auto" w:fill="auto"/>
        <w:tabs>
          <w:tab w:pos="939" w:val="left"/>
        </w:tabs>
        <w:bidi w:val="0"/>
        <w:spacing w:before="0" w:after="240" w:line="240" w:lineRule="auto"/>
        <w:ind w:left="0" w:right="0" w:firstLine="600"/>
        <w:jc w:val="left"/>
      </w:pPr>
      <w:bookmarkStart w:id="167" w:name="bookmark167"/>
      <w:bookmarkStart w:id="168" w:name="bookmark168"/>
      <w:bookmarkStart w:id="169" w:name="bookmark169"/>
      <w:bookmarkStart w:id="170" w:name="bookmark170"/>
      <w:bookmarkEnd w:id="169"/>
      <w:r>
        <w:rPr>
          <w:color w:val="000000"/>
          <w:spacing w:val="0"/>
          <w:w w:val="100"/>
          <w:position w:val="0"/>
        </w:rPr>
        <w:t>非语音业务</w:t>
      </w:r>
      <w:bookmarkEnd w:id="167"/>
      <w:bookmarkEnd w:id="168"/>
      <w:bookmarkEnd w:id="170"/>
    </w:p>
    <w:p>
      <w:pPr>
        <w:pStyle w:val="Style5"/>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2021</w:t>
      </w:r>
      <w:r>
        <w:rPr>
          <w:color w:val="000000"/>
          <w:spacing w:val="0"/>
          <w:w w:val="100"/>
          <w:position w:val="0"/>
        </w:rPr>
        <w:t>年，公司非语音业务收入实现人民币</w:t>
      </w:r>
      <w:r>
        <w:rPr>
          <w:color w:val="000000"/>
          <w:spacing w:val="0"/>
          <w:w w:val="100"/>
          <w:position w:val="0"/>
        </w:rPr>
        <w:t>2,615.7</w:t>
      </w:r>
      <w:r>
        <w:rPr>
          <w:color w:val="000000"/>
          <w:spacing w:val="0"/>
          <w:w w:val="100"/>
          <w:position w:val="0"/>
        </w:rPr>
        <w:t>亿元，同比增长</w:t>
      </w:r>
      <w:r>
        <w:rPr>
          <w:color w:val="000000"/>
          <w:spacing w:val="0"/>
          <w:w w:val="100"/>
          <w:position w:val="0"/>
        </w:rPr>
        <w:t>8.8%</w:t>
      </w:r>
      <w:r>
        <w:rPr>
          <w:color w:val="000000"/>
          <w:spacing w:val="0"/>
          <w:w w:val="100"/>
          <w:position w:val="0"/>
        </w:rPr>
        <w:t>。</w:t>
      </w:r>
    </w:p>
    <w:p>
      <w:pPr>
        <w:pStyle w:val="Style16"/>
        <w:keepNext/>
        <w:keepLines/>
        <w:widowControl w:val="0"/>
        <w:shd w:val="clear" w:color="auto" w:fill="auto"/>
        <w:bidi w:val="0"/>
        <w:spacing w:before="0" w:after="240" w:line="240" w:lineRule="auto"/>
        <w:ind w:left="0" w:right="0" w:firstLine="600"/>
        <w:jc w:val="left"/>
      </w:pPr>
      <w:bookmarkStart w:id="171" w:name="bookmark171"/>
      <w:bookmarkStart w:id="172" w:name="bookmark172"/>
      <w:bookmarkStart w:id="173" w:name="bookmark173"/>
      <w:bookmarkStart w:id="174" w:name="bookmark174"/>
      <w:r>
        <w:rPr>
          <w:color w:val="000000"/>
          <w:spacing w:val="0"/>
          <w:w w:val="100"/>
          <w:position w:val="0"/>
        </w:rPr>
        <w:t>三</w:t>
      </w:r>
      <w:bookmarkEnd w:id="173"/>
      <w:r>
        <w:rPr>
          <w:color w:val="000000"/>
          <w:spacing w:val="0"/>
          <w:w w:val="100"/>
          <w:position w:val="0"/>
        </w:rPr>
        <w:t>、成本费用</w:t>
      </w:r>
      <w:bookmarkEnd w:id="171"/>
      <w:bookmarkEnd w:id="172"/>
      <w:bookmarkEnd w:id="174"/>
    </w:p>
    <w:p>
      <w:pPr>
        <w:pStyle w:val="Style5"/>
        <w:keepNext w:val="0"/>
        <w:keepLines w:val="0"/>
        <w:widowControl w:val="0"/>
        <w:shd w:val="clear" w:color="auto" w:fill="auto"/>
        <w:bidi w:val="0"/>
        <w:spacing w:before="0" w:after="240" w:line="240" w:lineRule="auto"/>
        <w:ind w:left="0" w:right="0" w:firstLine="6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年，公司成本费用合计为人民币</w:t>
      </w:r>
      <w:r>
        <w:rPr>
          <w:rFonts w:ascii="Times New Roman" w:eastAsia="Times New Roman" w:hAnsi="Times New Roman" w:cs="Times New Roman"/>
          <w:color w:val="000000"/>
          <w:spacing w:val="0"/>
          <w:w w:val="100"/>
          <w:position w:val="0"/>
        </w:rPr>
        <w:t>3,092.4</w:t>
      </w:r>
      <w:r>
        <w:rPr>
          <w:color w:val="000000"/>
          <w:spacing w:val="0"/>
          <w:w w:val="100"/>
          <w:position w:val="0"/>
        </w:rPr>
        <w:t>亿元，同比增长</w:t>
      </w:r>
      <w:r>
        <w:rPr>
          <w:rFonts w:ascii="Times New Roman" w:eastAsia="Times New Roman" w:hAnsi="Times New Roman" w:cs="Times New Roman"/>
          <w:color w:val="000000"/>
          <w:spacing w:val="0"/>
          <w:w w:val="100"/>
          <w:position w:val="0"/>
        </w:rPr>
        <w:t>8.9%</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下表列出了 </w:t>
      </w:r>
      <w:r>
        <w:rPr>
          <w:rFonts w:ascii="Times New Roman" w:eastAsia="Times New Roman" w:hAnsi="Times New Roman" w:cs="Times New Roman"/>
          <w:color w:val="000000"/>
          <w:spacing w:val="0"/>
          <w:w w:val="100"/>
          <w:position w:val="0"/>
        </w:rPr>
        <w:t>2021</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年公司成本费用项目以及每个项目所占营业收入的百分比变化情况:</w:t>
      </w:r>
    </w:p>
    <w:tbl>
      <w:tblPr>
        <w:tblOverlap w:val="never"/>
        <w:jc w:val="center"/>
        <w:tblLayout w:type="fixed"/>
      </w:tblPr>
      <w:tblGrid>
        <w:gridCol w:w="3586"/>
        <w:gridCol w:w="1363"/>
        <w:gridCol w:w="1747"/>
        <w:gridCol w:w="1406"/>
        <w:gridCol w:w="1762"/>
      </w:tblGrid>
      <w:tr>
        <w:trPr>
          <w:trHeight w:val="61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（单位：人民币亿元）</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年</w:t>
            </w:r>
          </w:p>
        </w:tc>
      </w:tr>
      <w:tr>
        <w:trPr>
          <w:trHeight w:val="69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累计发生</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所占营业收入 百分比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累计发生</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所占营业收入 百分比</w:t>
            </w:r>
          </w:p>
        </w:tc>
      </w:tr>
      <w:tr>
        <w:trPr>
          <w:trHeight w:val="37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成本费用合计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3,092. </w:t>
            </w:r>
            <w:r>
              <w:rPr>
                <w:color w:val="000000"/>
                <w:spacing w:val="0"/>
                <w:w w:val="100"/>
                <w:position w:val="0"/>
              </w:rPr>
              <w:t>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 </w:t>
            </w:r>
            <w:r>
              <w:rPr>
                <w:color w:val="000000"/>
                <w:spacing w:val="0"/>
                <w:w w:val="100"/>
                <w:position w:val="0"/>
              </w:rPr>
              <w:t xml:space="preserve">839. </w:t>
            </w:r>
            <w:r>
              <w:rPr>
                <w:color w:val="000000"/>
                <w:spacing w:val="0"/>
                <w:w w:val="100"/>
                <w:position w:val="0"/>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93.45%</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其中：网间结算成本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3.48%</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折旧及摊销</w:t>
            </w:r>
            <w:r>
              <w:rPr>
                <w:i/>
                <w:iCs/>
                <w:color w:val="000000"/>
                <w:spacing w:val="0"/>
                <w:w w:val="100"/>
                <w:position w:val="0"/>
              </w:rPr>
              <w:t>（注</w:t>
            </w:r>
            <w:r>
              <w:rPr>
                <w:rFonts w:ascii="Times New Roman" w:eastAsia="Times New Roman" w:hAnsi="Times New Roman" w:cs="Times New Roman"/>
                <w:i/>
                <w:iCs/>
                <w:color w:val="000000"/>
                <w:spacing w:val="0"/>
                <w:w w:val="100"/>
                <w:position w:val="0"/>
              </w:rPr>
              <w:t>1</w:t>
            </w:r>
            <w:r>
              <w:rPr>
                <w:i/>
                <w:iCs/>
                <w:color w:val="000000"/>
                <w:spacing w:val="0"/>
                <w:w w:val="100"/>
                <w:position w:val="0"/>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26.13%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830.3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27.33%</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网络运行及支撑成本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530.9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15.23%</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人工成本</w:t>
            </w:r>
            <w:r>
              <w:rPr>
                <w:i/>
                <w:iCs/>
                <w:color w:val="000000"/>
                <w:spacing w:val="0"/>
                <w:w w:val="100"/>
                <w:position w:val="0"/>
              </w:rPr>
              <w:t>（注</w:t>
            </w:r>
            <w:r>
              <w:rPr>
                <w:rFonts w:ascii="Times New Roman" w:eastAsia="Times New Roman" w:hAnsi="Times New Roman" w:cs="Times New Roman"/>
                <w:i/>
                <w:iCs/>
                <w:color w:val="000000"/>
                <w:spacing w:val="0"/>
                <w:w w:val="100"/>
                <w:position w:val="0"/>
              </w:rPr>
              <w:t>1</w:t>
            </w:r>
            <w:r>
              <w:rPr>
                <w:i/>
                <w:iCs/>
                <w:color w:val="000000"/>
                <w:spacing w:val="0"/>
                <w:w w:val="100"/>
                <w:position w:val="0"/>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589.4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17.98%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18.35%</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销售通信产品成本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268.6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8.84%</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销售费用</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9.83%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304.6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10.03%</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其他营业成本及管理费用</w:t>
            </w:r>
            <w:r>
              <w:rPr>
                <w:i/>
                <w:iCs/>
                <w:color w:val="000000"/>
                <w:spacing w:val="0"/>
                <w:w w:val="100"/>
                <w:position w:val="0"/>
              </w:rPr>
              <w:t>（注</w:t>
            </w:r>
            <w:r>
              <w:rPr>
                <w:rFonts w:ascii="Times New Roman" w:eastAsia="Times New Roman" w:hAnsi="Times New Roman" w:cs="Times New Roman"/>
                <w:i/>
                <w:iCs/>
                <w:color w:val="000000"/>
                <w:spacing w:val="0"/>
                <w:w w:val="100"/>
                <w:position w:val="0"/>
              </w:rPr>
              <w:t>2</w:t>
            </w:r>
            <w:r>
              <w:rPr>
                <w:i/>
                <w:iCs/>
                <w:color w:val="000000"/>
                <w:spacing w:val="0"/>
                <w:w w:val="100"/>
                <w:position w:val="0"/>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307.7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10.12%</w:t>
            </w:r>
          </w:p>
        </w:tc>
      </w:tr>
      <w:tr>
        <w:trPr>
          <w:trHeight w:val="336"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财务费用</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0.07%</w:t>
            </w:r>
          </w:p>
        </w:tc>
      </w:tr>
    </w:tbl>
    <w:p>
      <w:pPr>
        <w:pStyle w:val="Style25"/>
        <w:keepNext w:val="0"/>
        <w:keepLines w:val="0"/>
        <w:widowControl w:val="0"/>
        <w:shd w:val="clear" w:color="auto" w:fill="auto"/>
        <w:bidi w:val="0"/>
        <w:spacing w:before="0" w:after="0" w:line="240" w:lineRule="auto"/>
        <w:ind w:left="178" w:right="0" w:firstLine="0"/>
        <w:jc w:val="left"/>
        <w:rPr>
          <w:sz w:val="18"/>
          <w:szCs w:val="18"/>
        </w:rPr>
      </w:pPr>
      <w:r>
        <w:rPr>
          <w:i/>
          <w:iCs/>
          <w:color w:val="000000"/>
          <w:spacing w:val="0"/>
          <w:w w:val="100"/>
          <w:position w:val="0"/>
          <w:sz w:val="18"/>
          <w:szCs w:val="18"/>
        </w:rPr>
        <w:t>注</w:t>
      </w:r>
      <w:r>
        <w:rPr>
          <w:rFonts w:ascii="Times New Roman" w:eastAsia="Times New Roman" w:hAnsi="Times New Roman" w:cs="Times New Roman"/>
          <w:i/>
          <w:iCs/>
          <w:color w:val="000000"/>
          <w:spacing w:val="0"/>
          <w:w w:val="100"/>
          <w:position w:val="0"/>
          <w:sz w:val="17"/>
          <w:szCs w:val="17"/>
        </w:rPr>
        <w:t>1</w:t>
      </w:r>
      <w:r>
        <w:rPr>
          <w:i/>
          <w:iCs/>
          <w:color w:val="000000"/>
          <w:spacing w:val="0"/>
          <w:w w:val="100"/>
          <w:position w:val="0"/>
          <w:sz w:val="18"/>
          <w:szCs w:val="18"/>
        </w:rPr>
        <w:t>：</w:t>
      </w:r>
      <w:r>
        <w:rPr>
          <w:i/>
          <w:iCs/>
          <w:color w:val="000000"/>
          <w:spacing w:val="0"/>
          <w:w w:val="100"/>
          <w:position w:val="0"/>
          <w:sz w:val="18"/>
          <w:szCs w:val="18"/>
        </w:rPr>
        <w:t>上述“折旧及摊销”和“人工成本”为营业成本、管理费用和研发费用中相同性质的数据的总额。</w:t>
      </w:r>
    </w:p>
    <w:p>
      <w:pPr>
        <w:pStyle w:val="Style25"/>
        <w:keepNext w:val="0"/>
        <w:keepLines w:val="0"/>
        <w:widowControl w:val="0"/>
        <w:shd w:val="clear" w:color="auto" w:fill="auto"/>
        <w:bidi w:val="0"/>
        <w:spacing w:before="0" w:after="0" w:line="298" w:lineRule="exact"/>
        <w:ind w:left="178" w:right="0" w:firstLine="0"/>
        <w:jc w:val="left"/>
        <w:rPr>
          <w:sz w:val="18"/>
          <w:szCs w:val="18"/>
        </w:rPr>
      </w:pPr>
      <w:r>
        <w:rPr>
          <w:i/>
          <w:iCs/>
          <w:color w:val="000000"/>
          <w:spacing w:val="0"/>
          <w:w w:val="100"/>
          <w:position w:val="0"/>
          <w:sz w:val="18"/>
          <w:szCs w:val="18"/>
        </w:rPr>
        <w:t>注</w:t>
      </w:r>
      <w:r>
        <w:rPr>
          <w:rFonts w:ascii="Times New Roman" w:eastAsia="Times New Roman" w:hAnsi="Times New Roman" w:cs="Times New Roman"/>
          <w:i/>
          <w:iCs/>
          <w:color w:val="000000"/>
          <w:spacing w:val="0"/>
          <w:w w:val="100"/>
          <w:position w:val="0"/>
          <w:sz w:val="17"/>
          <w:szCs w:val="17"/>
        </w:rPr>
        <w:t>2</w:t>
      </w:r>
      <w:r>
        <w:rPr>
          <w:i/>
          <w:iCs/>
          <w:color w:val="000000"/>
          <w:spacing w:val="0"/>
          <w:w w:val="100"/>
          <w:position w:val="0"/>
          <w:sz w:val="18"/>
          <w:szCs w:val="18"/>
        </w:rPr>
        <w:t>：</w:t>
      </w:r>
      <w:r>
        <w:rPr>
          <w:i/>
          <w:iCs/>
          <w:color w:val="000000"/>
          <w:spacing w:val="0"/>
          <w:w w:val="100"/>
          <w:position w:val="0"/>
          <w:sz w:val="18"/>
          <w:szCs w:val="18"/>
        </w:rPr>
        <w:t>上述“其他营业成本及管理费用”为营业成本、管理费用和研发费用合计扣除网间结算成本、折旧及摊销、 网络运行及支撑成本、人工成本及销售通信产品成本后的数据。</w:t>
      </w:r>
    </w:p>
    <w:p>
      <w:pPr>
        <w:widowControl w:val="0"/>
        <w:spacing w:after="239" w:line="1" w:lineRule="exact"/>
      </w:pPr>
    </w:p>
    <w:p>
      <w:pPr>
        <w:pStyle w:val="Style5"/>
        <w:keepNext w:val="0"/>
        <w:keepLines w:val="0"/>
        <w:widowControl w:val="0"/>
        <w:numPr>
          <w:ilvl w:val="0"/>
          <w:numId w:val="5"/>
        </w:numPr>
        <w:shd w:val="clear" w:color="auto" w:fill="auto"/>
        <w:bidi w:val="0"/>
        <w:spacing w:before="0" w:after="240" w:line="240" w:lineRule="auto"/>
        <w:ind w:left="0" w:right="0" w:firstLine="600"/>
        <w:jc w:val="left"/>
      </w:pPr>
      <w:bookmarkStart w:id="175" w:name="bookmark175"/>
      <w:bookmarkEnd w:id="175"/>
      <w:r>
        <w:rPr>
          <w:b/>
          <w:bCs/>
          <w:color w:val="000000"/>
          <w:spacing w:val="0"/>
          <w:w w:val="100"/>
          <w:position w:val="0"/>
        </w:rPr>
        <w:t>网间结算成本</w:t>
      </w:r>
    </w:p>
    <w:p>
      <w:pPr>
        <w:pStyle w:val="Style5"/>
        <w:keepNext w:val="0"/>
        <w:keepLines w:val="0"/>
        <w:widowControl w:val="0"/>
        <w:shd w:val="clear" w:color="auto" w:fill="auto"/>
        <w:bidi w:val="0"/>
        <w:spacing w:before="0" w:line="355" w:lineRule="exact"/>
        <w:ind w:left="180" w:right="0" w:firstLine="420"/>
        <w:jc w:val="left"/>
      </w:pPr>
      <w:r>
        <w:rPr>
          <w:color w:val="000000"/>
          <w:spacing w:val="0"/>
          <w:w w:val="100"/>
          <w:position w:val="0"/>
        </w:rPr>
        <w:t>2021</w:t>
      </w:r>
      <w:r>
        <w:rPr>
          <w:color w:val="000000"/>
          <w:spacing w:val="0"/>
          <w:w w:val="100"/>
          <w:position w:val="0"/>
        </w:rPr>
        <w:t>年，网间结算成本发生人民币</w:t>
      </w:r>
      <w:r>
        <w:rPr>
          <w:color w:val="000000"/>
          <w:spacing w:val="0"/>
          <w:w w:val="100"/>
          <w:position w:val="0"/>
        </w:rPr>
        <w:t>115.6</w:t>
      </w:r>
      <w:r>
        <w:rPr>
          <w:color w:val="000000"/>
          <w:spacing w:val="0"/>
          <w:w w:val="100"/>
          <w:position w:val="0"/>
        </w:rPr>
        <w:t>亿元，同比增长</w:t>
      </w:r>
      <w:r>
        <w:rPr>
          <w:color w:val="000000"/>
          <w:spacing w:val="0"/>
          <w:w w:val="100"/>
          <w:position w:val="0"/>
        </w:rPr>
        <w:t>9.3%,</w:t>
      </w:r>
      <w:r>
        <w:rPr>
          <w:color w:val="000000"/>
          <w:spacing w:val="0"/>
          <w:w w:val="100"/>
          <w:position w:val="0"/>
        </w:rPr>
        <w:t xml:space="preserve">所占营业收入的比重由上年的 </w:t>
      </w:r>
      <w:r>
        <w:rPr>
          <w:color w:val="000000"/>
          <w:spacing w:val="0"/>
          <w:w w:val="100"/>
          <w:position w:val="0"/>
        </w:rPr>
        <w:t>3.48%</w:t>
      </w:r>
      <w:r>
        <w:rPr>
          <w:color w:val="000000"/>
          <w:spacing w:val="0"/>
          <w:w w:val="100"/>
          <w:position w:val="0"/>
        </w:rPr>
        <w:t xml:space="preserve">增长至 </w:t>
      </w:r>
      <w:r>
        <w:rPr>
          <w:color w:val="000000"/>
          <w:spacing w:val="0"/>
          <w:w w:val="100"/>
          <w:position w:val="0"/>
        </w:rPr>
        <w:t xml:space="preserve">3. </w:t>
      </w:r>
      <w:r>
        <w:rPr>
          <w:color w:val="000000"/>
          <w:spacing w:val="0"/>
          <w:w w:val="100"/>
          <w:position w:val="0"/>
        </w:rPr>
        <w:t>52%</w:t>
      </w:r>
      <w:r>
        <w:rPr>
          <w:color w:val="000000"/>
          <w:spacing w:val="0"/>
          <w:w w:val="100"/>
          <w:position w:val="0"/>
        </w:rPr>
        <w:t>。</w:t>
      </w:r>
    </w:p>
    <w:p>
      <w:pPr>
        <w:pStyle w:val="Style16"/>
        <w:keepNext/>
        <w:keepLines/>
        <w:widowControl w:val="0"/>
        <w:numPr>
          <w:ilvl w:val="0"/>
          <w:numId w:val="5"/>
        </w:numPr>
        <w:shd w:val="clear" w:color="auto" w:fill="auto"/>
        <w:bidi w:val="0"/>
        <w:spacing w:before="0"/>
        <w:ind w:left="0" w:right="0" w:firstLine="600"/>
        <w:jc w:val="left"/>
      </w:pPr>
      <w:bookmarkStart w:id="176" w:name="bookmark176"/>
      <w:bookmarkStart w:id="177" w:name="bookmark177"/>
      <w:bookmarkStart w:id="178" w:name="bookmark178"/>
      <w:bookmarkStart w:id="179" w:name="bookmark179"/>
      <w:bookmarkEnd w:id="178"/>
      <w:r>
        <w:rPr>
          <w:color w:val="000000"/>
          <w:spacing w:val="0"/>
          <w:w w:val="100"/>
          <w:position w:val="0"/>
        </w:rPr>
        <w:t>折旧及摊销</w:t>
      </w:r>
      <w:bookmarkEnd w:id="176"/>
      <w:bookmarkEnd w:id="177"/>
      <w:bookmarkEnd w:id="179"/>
    </w:p>
    <w:p>
      <w:pPr>
        <w:pStyle w:val="Style5"/>
        <w:keepNext w:val="0"/>
        <w:keepLines w:val="0"/>
        <w:widowControl w:val="0"/>
        <w:shd w:val="clear" w:color="auto" w:fill="auto"/>
        <w:bidi w:val="0"/>
        <w:spacing w:before="0" w:line="355" w:lineRule="exact"/>
        <w:ind w:left="180" w:right="0" w:firstLine="420"/>
        <w:jc w:val="left"/>
      </w:pPr>
      <w:r>
        <w:rPr>
          <w:color w:val="000000"/>
          <w:spacing w:val="0"/>
          <w:w w:val="100"/>
          <w:position w:val="0"/>
        </w:rPr>
        <w:t>2021</w:t>
      </w:r>
      <w:r>
        <w:rPr>
          <w:color w:val="000000"/>
          <w:spacing w:val="0"/>
          <w:w w:val="100"/>
          <w:position w:val="0"/>
        </w:rPr>
        <w:t>年，公司资产折旧及摊销发生人民币</w:t>
      </w:r>
      <w:r>
        <w:rPr>
          <w:color w:val="000000"/>
          <w:spacing w:val="0"/>
          <w:w w:val="100"/>
          <w:position w:val="0"/>
        </w:rPr>
        <w:t>856.6</w:t>
      </w:r>
      <w:r>
        <w:rPr>
          <w:color w:val="000000"/>
          <w:spacing w:val="0"/>
          <w:w w:val="100"/>
          <w:position w:val="0"/>
        </w:rPr>
        <w:t>亿元，同比增长</w:t>
      </w:r>
      <w:r>
        <w:rPr>
          <w:color w:val="000000"/>
          <w:spacing w:val="0"/>
          <w:w w:val="100"/>
          <w:position w:val="0"/>
        </w:rPr>
        <w:t>3.2%</w:t>
      </w:r>
      <w:r>
        <w:rPr>
          <w:color w:val="000000"/>
          <w:spacing w:val="0"/>
          <w:w w:val="100"/>
          <w:position w:val="0"/>
        </w:rPr>
        <w:t>，所占营业收入的比重由 上年的</w:t>
      </w:r>
      <w:r>
        <w:rPr>
          <w:color w:val="000000"/>
          <w:spacing w:val="0"/>
          <w:w w:val="100"/>
          <w:position w:val="0"/>
        </w:rPr>
        <w:t xml:space="preserve">27. </w:t>
      </w:r>
      <w:r>
        <w:rPr>
          <w:color w:val="000000"/>
          <w:spacing w:val="0"/>
          <w:w w:val="100"/>
          <w:position w:val="0"/>
        </w:rPr>
        <w:t>33%</w:t>
      </w:r>
      <w:r>
        <w:rPr>
          <w:color w:val="000000"/>
          <w:spacing w:val="0"/>
          <w:w w:val="100"/>
          <w:position w:val="0"/>
        </w:rPr>
        <w:t>下降至</w:t>
      </w:r>
      <w:r>
        <w:rPr>
          <w:color w:val="000000"/>
          <w:spacing w:val="0"/>
          <w:w w:val="100"/>
          <w:position w:val="0"/>
        </w:rPr>
        <w:t xml:space="preserve">26. </w:t>
      </w:r>
      <w:r>
        <w:rPr>
          <w:color w:val="000000"/>
          <w:spacing w:val="0"/>
          <w:w w:val="100"/>
          <w:position w:val="0"/>
        </w:rPr>
        <w:t>13%</w:t>
      </w:r>
      <w:r>
        <w:rPr>
          <w:color w:val="000000"/>
          <w:spacing w:val="0"/>
          <w:w w:val="100"/>
          <w:position w:val="0"/>
        </w:rPr>
        <w:t>。</w:t>
      </w:r>
    </w:p>
    <w:p>
      <w:pPr>
        <w:pStyle w:val="Style16"/>
        <w:keepNext/>
        <w:keepLines/>
        <w:widowControl w:val="0"/>
        <w:shd w:val="clear" w:color="auto" w:fill="auto"/>
        <w:bidi w:val="0"/>
        <w:spacing w:before="0"/>
        <w:ind w:left="0" w:right="0" w:firstLine="600"/>
        <w:jc w:val="left"/>
      </w:pPr>
      <w:bookmarkStart w:id="180" w:name="bookmark180"/>
      <w:bookmarkStart w:id="181" w:name="bookmark181"/>
      <w:bookmarkStart w:id="182" w:name="bookmark182"/>
      <w:r>
        <w:rPr>
          <w:color w:val="000000"/>
          <w:spacing w:val="0"/>
          <w:w w:val="100"/>
          <w:position w:val="0"/>
        </w:rPr>
        <w:t>3 .网络运行及支撑成本</w:t>
      </w:r>
      <w:bookmarkEnd w:id="180"/>
      <w:bookmarkEnd w:id="181"/>
      <w:bookmarkEnd w:id="182"/>
    </w:p>
    <w:p>
      <w:pPr>
        <w:pStyle w:val="Style5"/>
        <w:keepNext w:val="0"/>
        <w:keepLines w:val="0"/>
        <w:widowControl w:val="0"/>
        <w:shd w:val="clear" w:color="auto" w:fill="auto"/>
        <w:bidi w:val="0"/>
        <w:spacing w:before="0" w:line="365" w:lineRule="exact"/>
        <w:ind w:left="180" w:right="0" w:firstLine="420"/>
        <w:jc w:val="left"/>
      </w:pPr>
      <w:r>
        <w:rPr>
          <w:color w:val="000000"/>
          <w:spacing w:val="0"/>
          <w:w w:val="100"/>
          <w:position w:val="0"/>
        </w:rPr>
        <w:t>2021</w:t>
      </w:r>
      <w:r>
        <w:rPr>
          <w:color w:val="000000"/>
          <w:spacing w:val="0"/>
          <w:w w:val="100"/>
          <w:position w:val="0"/>
        </w:rPr>
        <w:t>年，公司网络运行及支撑成本发生人民币</w:t>
      </w:r>
      <w:r>
        <w:rPr>
          <w:color w:val="000000"/>
          <w:spacing w:val="0"/>
          <w:w w:val="100"/>
          <w:position w:val="0"/>
        </w:rPr>
        <w:t>530.9</w:t>
      </w:r>
      <w:r>
        <w:rPr>
          <w:color w:val="000000"/>
          <w:spacing w:val="0"/>
          <w:w w:val="100"/>
          <w:position w:val="0"/>
        </w:rPr>
        <w:t>亿元，同比增长</w:t>
      </w:r>
      <w:r>
        <w:rPr>
          <w:color w:val="000000"/>
          <w:spacing w:val="0"/>
          <w:w w:val="100"/>
          <w:position w:val="0"/>
        </w:rPr>
        <w:t>14.7%，</w:t>
      </w:r>
      <w:r>
        <w:rPr>
          <w:color w:val="000000"/>
          <w:spacing w:val="0"/>
          <w:w w:val="100"/>
          <w:position w:val="0"/>
        </w:rPr>
        <w:t>所占营业收入的比 重由上年的</w:t>
      </w:r>
      <w:r>
        <w:rPr>
          <w:color w:val="000000"/>
          <w:spacing w:val="0"/>
          <w:w w:val="100"/>
          <w:position w:val="0"/>
        </w:rPr>
        <w:t>15.23%</w:t>
      </w:r>
      <w:r>
        <w:rPr>
          <w:color w:val="000000"/>
          <w:spacing w:val="0"/>
          <w:w w:val="100"/>
          <w:position w:val="0"/>
        </w:rPr>
        <w:t>变化至</w:t>
      </w:r>
      <w:r>
        <w:rPr>
          <w:color w:val="000000"/>
          <w:spacing w:val="0"/>
          <w:w w:val="100"/>
          <w:position w:val="0"/>
        </w:rPr>
        <w:t>16.19%</w:t>
      </w:r>
      <w:r>
        <w:rPr>
          <w:color w:val="000000"/>
          <w:spacing w:val="0"/>
          <w:w w:val="100"/>
          <w:position w:val="0"/>
        </w:rPr>
        <w:t>，主要受房屋设备租赁成本、网络运维及能耗成本增长影响。</w:t>
      </w:r>
    </w:p>
    <w:p>
      <w:pPr>
        <w:pStyle w:val="Style16"/>
        <w:keepNext/>
        <w:keepLines/>
        <w:widowControl w:val="0"/>
        <w:numPr>
          <w:ilvl w:val="0"/>
          <w:numId w:val="7"/>
        </w:numPr>
        <w:shd w:val="clear" w:color="auto" w:fill="auto"/>
        <w:tabs>
          <w:tab w:pos="958" w:val="left"/>
        </w:tabs>
        <w:bidi w:val="0"/>
        <w:spacing w:before="0"/>
        <w:ind w:left="0" w:right="0" w:firstLine="600"/>
        <w:jc w:val="both"/>
      </w:pPr>
      <w:bookmarkStart w:id="183" w:name="bookmark183"/>
      <w:bookmarkStart w:id="184" w:name="bookmark184"/>
      <w:bookmarkStart w:id="185" w:name="bookmark185"/>
      <w:bookmarkStart w:id="186" w:name="bookmark186"/>
      <w:bookmarkEnd w:id="185"/>
      <w:r>
        <w:rPr>
          <w:color w:val="000000"/>
          <w:spacing w:val="0"/>
          <w:w w:val="100"/>
          <w:position w:val="0"/>
        </w:rPr>
        <w:t>人工成本</w:t>
      </w:r>
      <w:bookmarkEnd w:id="183"/>
      <w:bookmarkEnd w:id="184"/>
      <w:bookmarkEnd w:id="186"/>
    </w:p>
    <w:p>
      <w:pPr>
        <w:pStyle w:val="Style5"/>
        <w:keepNext w:val="0"/>
        <w:keepLines w:val="0"/>
        <w:widowControl w:val="0"/>
        <w:shd w:val="clear" w:color="auto" w:fill="auto"/>
        <w:bidi w:val="0"/>
        <w:spacing w:before="0" w:line="350" w:lineRule="exact"/>
        <w:ind w:left="180" w:right="0" w:firstLine="420"/>
        <w:jc w:val="left"/>
      </w:pPr>
      <w:r>
        <w:rPr>
          <w:color w:val="000000"/>
          <w:spacing w:val="0"/>
          <w:w w:val="100"/>
          <w:position w:val="0"/>
        </w:rPr>
        <w:t>2021</w:t>
      </w:r>
      <w:r>
        <w:rPr>
          <w:color w:val="000000"/>
          <w:spacing w:val="0"/>
          <w:w w:val="100"/>
          <w:position w:val="0"/>
        </w:rPr>
        <w:t>年，公司持续推进激励机制改革，强化激励与绩效挂钩，同时加大引入创新人才，人工成本 发生人民币</w:t>
      </w:r>
      <w:r>
        <w:rPr>
          <w:color w:val="000000"/>
          <w:spacing w:val="0"/>
          <w:w w:val="100"/>
          <w:position w:val="0"/>
        </w:rPr>
        <w:t>589.4</w:t>
      </w:r>
      <w:r>
        <w:rPr>
          <w:color w:val="000000"/>
          <w:spacing w:val="0"/>
          <w:w w:val="100"/>
          <w:position w:val="0"/>
        </w:rPr>
        <w:t>亿元，同比增长</w:t>
      </w:r>
      <w:r>
        <w:rPr>
          <w:color w:val="000000"/>
          <w:spacing w:val="0"/>
          <w:w w:val="100"/>
          <w:position w:val="0"/>
        </w:rPr>
        <w:t>5.7%</w:t>
      </w:r>
      <w:r>
        <w:rPr>
          <w:color w:val="000000"/>
          <w:spacing w:val="0"/>
          <w:w w:val="100"/>
          <w:position w:val="0"/>
        </w:rPr>
        <w:t>，所占营业收入的比重由上年的</w:t>
      </w:r>
      <w:r>
        <w:rPr>
          <w:color w:val="000000"/>
          <w:spacing w:val="0"/>
          <w:w w:val="100"/>
          <w:position w:val="0"/>
        </w:rPr>
        <w:t xml:space="preserve">18. </w:t>
      </w:r>
      <w:r>
        <w:rPr>
          <w:color w:val="000000"/>
          <w:spacing w:val="0"/>
          <w:w w:val="100"/>
          <w:position w:val="0"/>
        </w:rPr>
        <w:t>35%</w:t>
      </w:r>
      <w:r>
        <w:rPr>
          <w:color w:val="000000"/>
          <w:spacing w:val="0"/>
          <w:w w:val="100"/>
          <w:position w:val="0"/>
        </w:rPr>
        <w:t>变化至</w:t>
      </w:r>
      <w:r>
        <w:rPr>
          <w:color w:val="000000"/>
          <w:spacing w:val="0"/>
          <w:w w:val="100"/>
          <w:position w:val="0"/>
        </w:rPr>
        <w:t>17.98%</w:t>
      </w:r>
      <w:r>
        <w:rPr>
          <w:color w:val="000000"/>
          <w:spacing w:val="0"/>
          <w:w w:val="100"/>
          <w:position w:val="0"/>
        </w:rPr>
        <w:t>。</w:t>
      </w:r>
    </w:p>
    <w:p>
      <w:pPr>
        <w:pStyle w:val="Style16"/>
        <w:keepNext/>
        <w:keepLines/>
        <w:widowControl w:val="0"/>
        <w:numPr>
          <w:ilvl w:val="0"/>
          <w:numId w:val="7"/>
        </w:numPr>
        <w:shd w:val="clear" w:color="auto" w:fill="auto"/>
        <w:tabs>
          <w:tab w:pos="958" w:val="left"/>
        </w:tabs>
        <w:bidi w:val="0"/>
        <w:spacing w:before="0"/>
        <w:ind w:left="0" w:right="0" w:firstLine="600"/>
        <w:jc w:val="left"/>
      </w:pPr>
      <w:bookmarkStart w:id="187" w:name="bookmark187"/>
      <w:bookmarkStart w:id="188" w:name="bookmark188"/>
      <w:bookmarkStart w:id="189" w:name="bookmark189"/>
      <w:bookmarkStart w:id="190" w:name="bookmark190"/>
      <w:bookmarkEnd w:id="189"/>
      <w:r>
        <w:rPr>
          <w:color w:val="000000"/>
          <w:spacing w:val="0"/>
          <w:w w:val="100"/>
          <w:position w:val="0"/>
        </w:rPr>
        <w:t>销售通信产品成本</w:t>
      </w:r>
      <w:bookmarkEnd w:id="187"/>
      <w:bookmarkEnd w:id="188"/>
      <w:bookmarkEnd w:id="190"/>
    </w:p>
    <w:p>
      <w:pPr>
        <w:pStyle w:val="Style5"/>
        <w:keepNext w:val="0"/>
        <w:keepLines w:val="0"/>
        <w:widowControl w:val="0"/>
        <w:shd w:val="clear" w:color="auto" w:fill="auto"/>
        <w:bidi w:val="0"/>
        <w:spacing w:before="0" w:line="365" w:lineRule="exact"/>
        <w:ind w:left="180" w:right="0" w:firstLine="420"/>
        <w:jc w:val="left"/>
      </w:pPr>
      <w:r>
        <w:rPr>
          <w:color w:val="000000"/>
          <w:spacing w:val="0"/>
          <w:w w:val="100"/>
          <w:position w:val="0"/>
        </w:rPr>
        <w:t>2021</w:t>
      </w:r>
      <w:r>
        <w:rPr>
          <w:color w:val="000000"/>
          <w:spacing w:val="0"/>
          <w:w w:val="100"/>
          <w:position w:val="0"/>
        </w:rPr>
        <w:t>年，公司销售通信产品成本发生人民币</w:t>
      </w:r>
      <w:r>
        <w:rPr>
          <w:color w:val="000000"/>
          <w:spacing w:val="0"/>
          <w:w w:val="100"/>
          <w:position w:val="0"/>
        </w:rPr>
        <w:t>306.8</w:t>
      </w:r>
      <w:r>
        <w:rPr>
          <w:color w:val="000000"/>
          <w:spacing w:val="0"/>
          <w:w w:val="100"/>
          <w:position w:val="0"/>
        </w:rPr>
        <w:t>亿元，同期销售通信产品收入为人民币</w:t>
      </w:r>
      <w:r>
        <w:rPr>
          <w:color w:val="000000"/>
          <w:spacing w:val="0"/>
          <w:w w:val="100"/>
          <w:position w:val="0"/>
        </w:rPr>
        <w:t xml:space="preserve">317. </w:t>
      </w:r>
      <w:r>
        <w:rPr>
          <w:color w:val="000000"/>
          <w:spacing w:val="0"/>
          <w:w w:val="100"/>
          <w:position w:val="0"/>
        </w:rPr>
        <w:t xml:space="preserve">0 </w:t>
      </w:r>
      <w:r>
        <w:rPr>
          <w:color w:val="000000"/>
          <w:spacing w:val="0"/>
          <w:w w:val="100"/>
          <w:position w:val="0"/>
        </w:rPr>
        <w:t>亿元，销售通信产品毛利为人民币</w:t>
      </w:r>
      <w:r>
        <w:rPr>
          <w:color w:val="000000"/>
          <w:spacing w:val="0"/>
          <w:w w:val="100"/>
          <w:position w:val="0"/>
        </w:rPr>
        <w:t>10.2</w:t>
      </w:r>
      <w:r>
        <w:rPr>
          <w:color w:val="000000"/>
          <w:spacing w:val="0"/>
          <w:w w:val="100"/>
          <w:position w:val="0"/>
        </w:rPr>
        <w:t>亿元。</w:t>
      </w:r>
    </w:p>
    <w:p>
      <w:pPr>
        <w:pStyle w:val="Style16"/>
        <w:keepNext/>
        <w:keepLines/>
        <w:widowControl w:val="0"/>
        <w:numPr>
          <w:ilvl w:val="0"/>
          <w:numId w:val="7"/>
        </w:numPr>
        <w:shd w:val="clear" w:color="auto" w:fill="auto"/>
        <w:tabs>
          <w:tab w:pos="958" w:val="left"/>
        </w:tabs>
        <w:bidi w:val="0"/>
        <w:spacing w:before="0"/>
        <w:ind w:left="0" w:right="0" w:firstLine="600"/>
        <w:jc w:val="both"/>
      </w:pPr>
      <w:bookmarkStart w:id="191" w:name="bookmark191"/>
      <w:bookmarkStart w:id="192" w:name="bookmark192"/>
      <w:bookmarkStart w:id="193" w:name="bookmark193"/>
      <w:bookmarkStart w:id="194" w:name="bookmark194"/>
      <w:bookmarkEnd w:id="193"/>
      <w:r>
        <w:rPr>
          <w:color w:val="000000"/>
          <w:spacing w:val="0"/>
          <w:w w:val="100"/>
          <w:position w:val="0"/>
        </w:rPr>
        <w:t>销售费用</w:t>
      </w:r>
      <w:bookmarkEnd w:id="191"/>
      <w:bookmarkEnd w:id="192"/>
      <w:bookmarkEnd w:id="194"/>
    </w:p>
    <w:p>
      <w:pPr>
        <w:pStyle w:val="Style5"/>
        <w:keepNext w:val="0"/>
        <w:keepLines w:val="0"/>
        <w:widowControl w:val="0"/>
        <w:shd w:val="clear" w:color="auto" w:fill="auto"/>
        <w:bidi w:val="0"/>
        <w:spacing w:before="0" w:line="360" w:lineRule="exact"/>
        <w:ind w:left="180" w:right="0" w:firstLine="420"/>
        <w:jc w:val="left"/>
      </w:pPr>
      <w:r>
        <w:rPr>
          <w:color w:val="000000"/>
          <w:spacing w:val="0"/>
          <w:w w:val="100"/>
          <w:position w:val="0"/>
        </w:rPr>
        <w:t>2021</w:t>
      </w:r>
      <w:r>
        <w:rPr>
          <w:color w:val="000000"/>
          <w:spacing w:val="0"/>
          <w:w w:val="100"/>
          <w:position w:val="0"/>
        </w:rPr>
        <w:t>年，随着公司全面推进数字化转型，加快线上线下一体化，销售费用发生人民币</w:t>
      </w:r>
      <w:r>
        <w:rPr>
          <w:color w:val="000000"/>
          <w:spacing w:val="0"/>
          <w:w w:val="100"/>
          <w:position w:val="0"/>
        </w:rPr>
        <w:t>322.1</w:t>
      </w:r>
      <w:r>
        <w:rPr>
          <w:color w:val="000000"/>
          <w:spacing w:val="0"/>
          <w:w w:val="100"/>
          <w:position w:val="0"/>
        </w:rPr>
        <w:t>亿元， 同比增长</w:t>
      </w:r>
      <w:r>
        <w:rPr>
          <w:color w:val="000000"/>
          <w:spacing w:val="0"/>
          <w:w w:val="100"/>
          <w:position w:val="0"/>
        </w:rPr>
        <w:t>5.7%</w:t>
      </w:r>
      <w:r>
        <w:rPr>
          <w:color w:val="000000"/>
          <w:spacing w:val="0"/>
          <w:w w:val="100"/>
          <w:position w:val="0"/>
        </w:rPr>
        <w:t>，所占营业收入的比重由上年的</w:t>
      </w:r>
      <w:r>
        <w:rPr>
          <w:color w:val="000000"/>
          <w:spacing w:val="0"/>
          <w:w w:val="100"/>
          <w:position w:val="0"/>
        </w:rPr>
        <w:t xml:space="preserve">10. </w:t>
      </w:r>
      <w:r>
        <w:rPr>
          <w:color w:val="000000"/>
          <w:spacing w:val="0"/>
          <w:w w:val="100"/>
          <w:position w:val="0"/>
        </w:rPr>
        <w:t>03%</w:t>
      </w:r>
      <w:r>
        <w:rPr>
          <w:color w:val="000000"/>
          <w:spacing w:val="0"/>
          <w:w w:val="100"/>
          <w:position w:val="0"/>
        </w:rPr>
        <w:t>下降至</w:t>
      </w:r>
      <w:r>
        <w:rPr>
          <w:color w:val="000000"/>
          <w:spacing w:val="0"/>
          <w:w w:val="100"/>
          <w:position w:val="0"/>
        </w:rPr>
        <w:t>9.83%</w:t>
      </w:r>
      <w:r>
        <w:rPr>
          <w:color w:val="000000"/>
          <w:spacing w:val="0"/>
          <w:w w:val="100"/>
          <w:position w:val="0"/>
        </w:rPr>
        <w:t>。</w:t>
      </w:r>
    </w:p>
    <w:p>
      <w:pPr>
        <w:pStyle w:val="Style16"/>
        <w:keepNext/>
        <w:keepLines/>
        <w:widowControl w:val="0"/>
        <w:numPr>
          <w:ilvl w:val="0"/>
          <w:numId w:val="7"/>
        </w:numPr>
        <w:shd w:val="clear" w:color="auto" w:fill="auto"/>
        <w:tabs>
          <w:tab w:pos="958" w:val="left"/>
        </w:tabs>
        <w:bidi w:val="0"/>
        <w:spacing w:before="0"/>
        <w:ind w:left="0" w:right="0" w:firstLine="600"/>
        <w:jc w:val="left"/>
      </w:pPr>
      <w:bookmarkStart w:id="195" w:name="bookmark195"/>
      <w:bookmarkStart w:id="196" w:name="bookmark196"/>
      <w:bookmarkStart w:id="197" w:name="bookmark197"/>
      <w:bookmarkStart w:id="198" w:name="bookmark198"/>
      <w:bookmarkEnd w:id="197"/>
      <w:r>
        <w:rPr>
          <w:color w:val="000000"/>
          <w:spacing w:val="0"/>
          <w:w w:val="100"/>
          <w:position w:val="0"/>
        </w:rPr>
        <w:t>其他营业成本及管理费用</w:t>
      </w:r>
      <w:bookmarkEnd w:id="195"/>
      <w:bookmarkEnd w:id="196"/>
      <w:bookmarkEnd w:id="198"/>
    </w:p>
    <w:p>
      <w:pPr>
        <w:pStyle w:val="Style5"/>
        <w:keepNext w:val="0"/>
        <w:keepLines w:val="0"/>
        <w:widowControl w:val="0"/>
        <w:shd w:val="clear" w:color="auto" w:fill="auto"/>
        <w:bidi w:val="0"/>
        <w:spacing w:before="0" w:line="384" w:lineRule="exact"/>
        <w:ind w:left="180" w:right="0" w:firstLine="420"/>
        <w:jc w:val="left"/>
      </w:pPr>
      <w:r>
        <w:rPr>
          <w:color w:val="000000"/>
          <w:spacing w:val="0"/>
          <w:w w:val="100"/>
          <w:position w:val="0"/>
        </w:rPr>
        <w:t>2021</w:t>
      </w:r>
      <w:r>
        <w:rPr>
          <w:color w:val="000000"/>
          <w:spacing w:val="0"/>
          <w:w w:val="100"/>
          <w:position w:val="0"/>
        </w:rPr>
        <w:t>年，公司其他营业成本及管理费用发生人民币</w:t>
      </w:r>
      <w:r>
        <w:rPr>
          <w:color w:val="000000"/>
          <w:spacing w:val="0"/>
          <w:w w:val="100"/>
          <w:position w:val="0"/>
        </w:rPr>
        <w:t>370.0</w:t>
      </w:r>
      <w:r>
        <w:rPr>
          <w:color w:val="000000"/>
          <w:spacing w:val="0"/>
          <w:w w:val="100"/>
          <w:position w:val="0"/>
        </w:rPr>
        <w:t>亿元，同比增长</w:t>
      </w:r>
      <w:r>
        <w:rPr>
          <w:color w:val="000000"/>
          <w:spacing w:val="0"/>
          <w:w w:val="100"/>
          <w:position w:val="0"/>
        </w:rPr>
        <w:t xml:space="preserve">20. </w:t>
      </w:r>
      <w:r>
        <w:rPr>
          <w:color w:val="000000"/>
          <w:spacing w:val="0"/>
          <w:w w:val="100"/>
          <w:position w:val="0"/>
        </w:rPr>
        <w:t>2%，</w:t>
      </w:r>
      <w:r>
        <w:rPr>
          <w:color w:val="000000"/>
          <w:spacing w:val="0"/>
          <w:w w:val="100"/>
          <w:position w:val="0"/>
        </w:rPr>
        <w:t>主要是由于</w:t>
      </w:r>
      <w:r>
        <w:rPr>
          <w:color w:val="000000"/>
          <w:spacing w:val="0"/>
          <w:w w:val="100"/>
          <w:position w:val="0"/>
        </w:rPr>
        <w:t xml:space="preserve">ICT </w:t>
      </w:r>
      <w:r>
        <w:rPr>
          <w:color w:val="000000"/>
          <w:spacing w:val="0"/>
          <w:w w:val="100"/>
          <w:position w:val="0"/>
        </w:rPr>
        <w:t>业务快速增长导致相关服务成本增加，以及加大对创新业务技术支撑的投入。</w:t>
      </w:r>
    </w:p>
    <w:p>
      <w:pPr>
        <w:pStyle w:val="Style16"/>
        <w:keepNext/>
        <w:keepLines/>
        <w:widowControl w:val="0"/>
        <w:numPr>
          <w:ilvl w:val="0"/>
          <w:numId w:val="7"/>
        </w:numPr>
        <w:shd w:val="clear" w:color="auto" w:fill="auto"/>
        <w:tabs>
          <w:tab w:pos="958" w:val="left"/>
        </w:tabs>
        <w:bidi w:val="0"/>
        <w:spacing w:before="0"/>
        <w:ind w:left="0" w:right="0" w:firstLine="600"/>
        <w:jc w:val="both"/>
      </w:pPr>
      <w:bookmarkStart w:id="199" w:name="bookmark199"/>
      <w:bookmarkStart w:id="200" w:name="bookmark200"/>
      <w:bookmarkStart w:id="201" w:name="bookmark201"/>
      <w:bookmarkStart w:id="202" w:name="bookmark202"/>
      <w:bookmarkEnd w:id="201"/>
      <w:r>
        <w:rPr>
          <w:color w:val="000000"/>
          <w:spacing w:val="0"/>
          <w:w w:val="100"/>
          <w:position w:val="0"/>
        </w:rPr>
        <w:t>财务费用</w:t>
      </w:r>
      <w:bookmarkEnd w:id="199"/>
      <w:bookmarkEnd w:id="200"/>
      <w:bookmarkEnd w:id="202"/>
    </w:p>
    <w:p>
      <w:pPr>
        <w:pStyle w:val="Style5"/>
        <w:keepNext w:val="0"/>
        <w:keepLines w:val="0"/>
        <w:widowControl w:val="0"/>
        <w:shd w:val="clear" w:color="auto" w:fill="auto"/>
        <w:bidi w:val="0"/>
        <w:spacing w:before="0" w:line="360" w:lineRule="exact"/>
        <w:ind w:left="0" w:right="0" w:firstLine="600"/>
        <w:jc w:val="left"/>
      </w:pPr>
      <w:r>
        <w:rPr>
          <w:color w:val="000000"/>
          <w:spacing w:val="0"/>
          <w:w w:val="100"/>
          <w:position w:val="0"/>
        </w:rPr>
        <w:t>2021</w:t>
      </w:r>
      <w:r>
        <w:rPr>
          <w:color w:val="000000"/>
          <w:spacing w:val="0"/>
          <w:w w:val="100"/>
          <w:position w:val="0"/>
        </w:rPr>
        <w:t>年，公司财务费用发生人民币</w:t>
      </w:r>
      <w:r>
        <w:rPr>
          <w:color w:val="000000"/>
          <w:spacing w:val="0"/>
          <w:w w:val="100"/>
          <w:position w:val="0"/>
        </w:rPr>
        <w:t>1.0</w:t>
      </w:r>
      <w:r>
        <w:rPr>
          <w:color w:val="000000"/>
          <w:spacing w:val="0"/>
          <w:w w:val="100"/>
          <w:position w:val="0"/>
        </w:rPr>
        <w:t>亿元，同比减少人民币</w:t>
      </w:r>
      <w:r>
        <w:rPr>
          <w:color w:val="000000"/>
          <w:spacing w:val="0"/>
          <w:w w:val="100"/>
          <w:position w:val="0"/>
        </w:rPr>
        <w:t>1.3</w:t>
      </w:r>
      <w:r>
        <w:rPr>
          <w:color w:val="000000"/>
          <w:spacing w:val="0"/>
          <w:w w:val="100"/>
          <w:position w:val="0"/>
        </w:rPr>
        <w:t>亿元。</w:t>
      </w:r>
    </w:p>
    <w:p>
      <w:pPr>
        <w:pStyle w:val="Style16"/>
        <w:keepNext/>
        <w:keepLines/>
        <w:widowControl w:val="0"/>
        <w:shd w:val="clear" w:color="auto" w:fill="auto"/>
        <w:bidi w:val="0"/>
        <w:spacing w:before="0"/>
        <w:ind w:left="0" w:right="0" w:firstLine="600"/>
        <w:jc w:val="both"/>
      </w:pPr>
      <w:bookmarkStart w:id="203" w:name="bookmark203"/>
      <w:bookmarkStart w:id="204" w:name="bookmark204"/>
      <w:bookmarkStart w:id="205" w:name="bookmark205"/>
      <w:bookmarkStart w:id="206" w:name="bookmark206"/>
      <w:r>
        <w:rPr>
          <w:color w:val="000000"/>
          <w:spacing w:val="0"/>
          <w:w w:val="100"/>
          <w:position w:val="0"/>
        </w:rPr>
        <w:t>四</w:t>
      </w:r>
      <w:bookmarkEnd w:id="205"/>
      <w:r>
        <w:rPr>
          <w:color w:val="000000"/>
          <w:spacing w:val="0"/>
          <w:w w:val="100"/>
          <w:position w:val="0"/>
        </w:rPr>
        <w:t>、盈利水平</w:t>
      </w:r>
      <w:bookmarkEnd w:id="203"/>
      <w:bookmarkEnd w:id="204"/>
      <w:bookmarkEnd w:id="206"/>
    </w:p>
    <w:p>
      <w:pPr>
        <w:pStyle w:val="Style16"/>
        <w:keepNext/>
        <w:keepLines/>
        <w:widowControl w:val="0"/>
        <w:numPr>
          <w:ilvl w:val="0"/>
          <w:numId w:val="9"/>
        </w:numPr>
        <w:shd w:val="clear" w:color="auto" w:fill="auto"/>
        <w:tabs>
          <w:tab w:pos="944" w:val="left"/>
        </w:tabs>
        <w:bidi w:val="0"/>
        <w:spacing w:before="0"/>
        <w:ind w:left="0" w:right="0" w:firstLine="600"/>
        <w:jc w:val="both"/>
      </w:pPr>
      <w:bookmarkStart w:id="203" w:name="bookmark203"/>
      <w:bookmarkStart w:id="204" w:name="bookmark204"/>
      <w:bookmarkStart w:id="207" w:name="bookmark207"/>
      <w:bookmarkStart w:id="208" w:name="bookmark208"/>
      <w:bookmarkEnd w:id="207"/>
      <w:r>
        <w:rPr>
          <w:color w:val="000000"/>
          <w:spacing w:val="0"/>
          <w:w w:val="100"/>
          <w:position w:val="0"/>
        </w:rPr>
        <w:t>税前利润</w:t>
      </w:r>
      <w:bookmarkEnd w:id="203"/>
      <w:bookmarkEnd w:id="204"/>
      <w:bookmarkEnd w:id="208"/>
    </w:p>
    <w:p>
      <w:pPr>
        <w:pStyle w:val="Style5"/>
        <w:keepNext w:val="0"/>
        <w:keepLines w:val="0"/>
        <w:widowControl w:val="0"/>
        <w:shd w:val="clear" w:color="auto" w:fill="auto"/>
        <w:bidi w:val="0"/>
        <w:spacing w:before="0" w:line="360" w:lineRule="exact"/>
        <w:ind w:left="180" w:right="0" w:firstLine="420"/>
        <w:jc w:val="left"/>
      </w:pPr>
      <w:r>
        <w:rPr>
          <w:color w:val="000000"/>
          <w:spacing w:val="0"/>
          <w:w w:val="100"/>
          <w:position w:val="0"/>
        </w:rPr>
        <w:t>2021</w:t>
      </w:r>
      <w:r>
        <w:rPr>
          <w:color w:val="000000"/>
          <w:spacing w:val="0"/>
          <w:w w:val="100"/>
          <w:position w:val="0"/>
        </w:rPr>
        <w:t>年，公司得益于发展质量和盈利能力持续提升，税前利润实现人民币</w:t>
      </w:r>
      <w:r>
        <w:rPr>
          <w:color w:val="000000"/>
          <w:spacing w:val="0"/>
          <w:w w:val="100"/>
          <w:position w:val="0"/>
        </w:rPr>
        <w:t xml:space="preserve">178. </w:t>
      </w:r>
      <w:r>
        <w:rPr>
          <w:color w:val="000000"/>
          <w:spacing w:val="0"/>
          <w:w w:val="100"/>
          <w:position w:val="0"/>
        </w:rPr>
        <w:t>1</w:t>
      </w:r>
      <w:r>
        <w:rPr>
          <w:color w:val="000000"/>
          <w:spacing w:val="0"/>
          <w:w w:val="100"/>
          <w:position w:val="0"/>
        </w:rPr>
        <w:t xml:space="preserve">亿元，同比增长 </w:t>
      </w:r>
      <w:r>
        <w:rPr>
          <w:color w:val="000000"/>
          <w:spacing w:val="0"/>
          <w:w w:val="100"/>
          <w:position w:val="0"/>
        </w:rPr>
        <w:t>11.6%</w:t>
      </w:r>
      <w:r>
        <w:rPr>
          <w:color w:val="000000"/>
          <w:spacing w:val="0"/>
          <w:w w:val="100"/>
          <w:position w:val="0"/>
        </w:rPr>
        <w:t>。</w:t>
      </w:r>
    </w:p>
    <w:p>
      <w:pPr>
        <w:pStyle w:val="Style16"/>
        <w:keepNext/>
        <w:keepLines/>
        <w:widowControl w:val="0"/>
        <w:numPr>
          <w:ilvl w:val="0"/>
          <w:numId w:val="9"/>
        </w:numPr>
        <w:shd w:val="clear" w:color="auto" w:fill="auto"/>
        <w:tabs>
          <w:tab w:pos="958" w:val="left"/>
        </w:tabs>
        <w:bidi w:val="0"/>
        <w:spacing w:before="0"/>
        <w:ind w:left="0" w:right="0" w:firstLine="600"/>
        <w:jc w:val="left"/>
      </w:pPr>
      <w:bookmarkStart w:id="209" w:name="bookmark209"/>
      <w:bookmarkStart w:id="210" w:name="bookmark210"/>
      <w:bookmarkStart w:id="211" w:name="bookmark211"/>
      <w:bookmarkStart w:id="212" w:name="bookmark212"/>
      <w:bookmarkEnd w:id="211"/>
      <w:r>
        <w:rPr>
          <w:color w:val="000000"/>
          <w:spacing w:val="0"/>
          <w:w w:val="100"/>
          <w:position w:val="0"/>
        </w:rPr>
        <w:t>所得税</w:t>
      </w:r>
      <w:bookmarkEnd w:id="209"/>
      <w:bookmarkEnd w:id="210"/>
      <w:bookmarkEnd w:id="212"/>
    </w:p>
    <w:p>
      <w:pPr>
        <w:pStyle w:val="Style5"/>
        <w:keepNext w:val="0"/>
        <w:keepLines w:val="0"/>
        <w:widowControl w:val="0"/>
        <w:shd w:val="clear" w:color="auto" w:fill="auto"/>
        <w:bidi w:val="0"/>
        <w:spacing w:before="0" w:line="360" w:lineRule="exact"/>
        <w:ind w:left="0" w:right="0" w:firstLine="600"/>
        <w:jc w:val="left"/>
      </w:pPr>
      <w:r>
        <w:rPr>
          <w:color w:val="000000"/>
          <w:spacing w:val="0"/>
          <w:w w:val="100"/>
          <w:position w:val="0"/>
        </w:rPr>
        <w:t>2021</w:t>
      </w:r>
      <w:r>
        <w:rPr>
          <w:color w:val="000000"/>
          <w:spacing w:val="0"/>
          <w:w w:val="100"/>
          <w:position w:val="0"/>
        </w:rPr>
        <w:t>年，公司的所得税为人民币</w:t>
      </w:r>
      <w:r>
        <w:rPr>
          <w:color w:val="000000"/>
          <w:spacing w:val="0"/>
          <w:w w:val="100"/>
          <w:position w:val="0"/>
        </w:rPr>
        <w:t>33.9</w:t>
      </w:r>
      <w:r>
        <w:rPr>
          <w:color w:val="000000"/>
          <w:spacing w:val="0"/>
          <w:w w:val="100"/>
          <w:position w:val="0"/>
        </w:rPr>
        <w:t>亿元，实际税率为</w:t>
      </w:r>
      <w:r>
        <w:rPr>
          <w:color w:val="000000"/>
          <w:spacing w:val="0"/>
          <w:w w:val="100"/>
          <w:position w:val="0"/>
        </w:rPr>
        <w:t>19.0%</w:t>
      </w:r>
      <w:r>
        <w:rPr>
          <w:color w:val="000000"/>
          <w:spacing w:val="0"/>
          <w:w w:val="100"/>
          <w:position w:val="0"/>
        </w:rPr>
        <w:t>。</w:t>
      </w:r>
    </w:p>
    <w:p>
      <w:pPr>
        <w:pStyle w:val="Style16"/>
        <w:keepNext/>
        <w:keepLines/>
        <w:widowControl w:val="0"/>
        <w:numPr>
          <w:ilvl w:val="0"/>
          <w:numId w:val="9"/>
        </w:numPr>
        <w:shd w:val="clear" w:color="auto" w:fill="auto"/>
        <w:tabs>
          <w:tab w:pos="958" w:val="left"/>
        </w:tabs>
        <w:bidi w:val="0"/>
        <w:spacing w:before="0"/>
        <w:ind w:left="0" w:right="0" w:firstLine="600"/>
        <w:jc w:val="both"/>
      </w:pPr>
      <w:bookmarkStart w:id="213" w:name="bookmark213"/>
      <w:bookmarkStart w:id="214" w:name="bookmark214"/>
      <w:bookmarkStart w:id="215" w:name="bookmark215"/>
      <w:bookmarkStart w:id="216" w:name="bookmark216"/>
      <w:bookmarkEnd w:id="215"/>
      <w:r>
        <w:rPr>
          <w:color w:val="000000"/>
          <w:spacing w:val="0"/>
          <w:w w:val="100"/>
          <w:position w:val="0"/>
        </w:rPr>
        <w:t>本期盈利</w:t>
      </w:r>
      <w:bookmarkEnd w:id="213"/>
      <w:bookmarkEnd w:id="214"/>
      <w:bookmarkEnd w:id="216"/>
    </w:p>
    <w:p>
      <w:pPr>
        <w:pStyle w:val="Style5"/>
        <w:keepNext w:val="0"/>
        <w:keepLines w:val="0"/>
        <w:widowControl w:val="0"/>
        <w:shd w:val="clear" w:color="auto" w:fill="auto"/>
        <w:bidi w:val="0"/>
        <w:spacing w:before="0" w:line="360" w:lineRule="exact"/>
        <w:ind w:left="180" w:right="0" w:firstLine="420"/>
        <w:jc w:val="left"/>
      </w:pPr>
      <w:r>
        <w:rPr>
          <w:color w:val="000000"/>
          <w:spacing w:val="0"/>
          <w:w w:val="100"/>
          <w:position w:val="0"/>
        </w:rPr>
        <w:t>2021</w:t>
      </w:r>
      <w:r>
        <w:rPr>
          <w:color w:val="000000"/>
          <w:spacing w:val="0"/>
          <w:w w:val="100"/>
          <w:position w:val="0"/>
        </w:rPr>
        <w:t>年，公司归属于母公司净利润实现人民币</w:t>
      </w:r>
      <w:r>
        <w:rPr>
          <w:color w:val="000000"/>
          <w:spacing w:val="0"/>
          <w:w w:val="100"/>
          <w:position w:val="0"/>
        </w:rPr>
        <w:t xml:space="preserve">63. </w:t>
      </w:r>
      <w:r>
        <w:rPr>
          <w:color w:val="000000"/>
          <w:spacing w:val="0"/>
          <w:w w:val="100"/>
          <w:position w:val="0"/>
        </w:rPr>
        <w:t>1</w:t>
      </w:r>
      <w:r>
        <w:rPr>
          <w:color w:val="000000"/>
          <w:spacing w:val="0"/>
          <w:w w:val="100"/>
          <w:position w:val="0"/>
        </w:rPr>
        <w:t>亿元，同比增长</w:t>
      </w:r>
      <w:r>
        <w:rPr>
          <w:color w:val="000000"/>
          <w:spacing w:val="0"/>
          <w:w w:val="100"/>
          <w:position w:val="0"/>
        </w:rPr>
        <w:t xml:space="preserve">14. </w:t>
      </w:r>
      <w:r>
        <w:rPr>
          <w:color w:val="000000"/>
          <w:spacing w:val="0"/>
          <w:w w:val="100"/>
          <w:position w:val="0"/>
        </w:rPr>
        <w:t>2%</w:t>
      </w:r>
      <w:r>
        <w:rPr>
          <w:color w:val="000000"/>
          <w:spacing w:val="0"/>
          <w:w w:val="100"/>
          <w:position w:val="0"/>
        </w:rPr>
        <w:t>。每股基本盈利为人 民币</w:t>
      </w:r>
      <w:r>
        <w:rPr>
          <w:color w:val="000000"/>
          <w:spacing w:val="0"/>
          <w:w w:val="100"/>
          <w:position w:val="0"/>
        </w:rPr>
        <w:t>0.206</w:t>
      </w:r>
      <w:r>
        <w:rPr>
          <w:color w:val="000000"/>
          <w:spacing w:val="0"/>
          <w:w w:val="100"/>
          <w:position w:val="0"/>
        </w:rPr>
        <w:t>元，同比增长</w:t>
      </w:r>
      <w:r>
        <w:rPr>
          <w:color w:val="000000"/>
          <w:spacing w:val="0"/>
          <w:w w:val="100"/>
          <w:position w:val="0"/>
        </w:rPr>
        <w:t>15.7%</w:t>
      </w:r>
      <w:r>
        <w:rPr>
          <w:color w:val="000000"/>
          <w:spacing w:val="0"/>
          <w:w w:val="100"/>
          <w:position w:val="0"/>
        </w:rPr>
        <w:t>。</w:t>
      </w:r>
    </w:p>
    <w:p>
      <w:pPr>
        <w:pStyle w:val="Style16"/>
        <w:keepNext/>
        <w:keepLines/>
        <w:widowControl w:val="0"/>
        <w:shd w:val="clear" w:color="auto" w:fill="auto"/>
        <w:tabs>
          <w:tab w:pos="1247" w:val="left"/>
        </w:tabs>
        <w:bidi w:val="0"/>
        <w:spacing w:before="0" w:after="140" w:line="365" w:lineRule="exact"/>
        <w:ind w:left="0" w:right="0" w:firstLine="780"/>
        <w:jc w:val="left"/>
      </w:pPr>
      <w:bookmarkStart w:id="217" w:name="bookmark217"/>
      <w:bookmarkStart w:id="218" w:name="bookmark218"/>
      <w:bookmarkStart w:id="219" w:name="bookmark219"/>
      <w:bookmarkStart w:id="220" w:name="bookmark220"/>
      <w:r>
        <w:rPr>
          <w:color w:val="000000"/>
          <w:spacing w:val="0"/>
          <w:w w:val="100"/>
          <w:position w:val="0"/>
        </w:rPr>
        <w:t>五</w:t>
      </w:r>
      <w:bookmarkEnd w:id="219"/>
      <w:r>
        <w:rPr>
          <w:color w:val="000000"/>
          <w:spacing w:val="0"/>
          <w:w w:val="100"/>
          <w:position w:val="0"/>
        </w:rPr>
        <w:t>、</w:t>
        <w:tab/>
      </w:r>
      <w:r>
        <w:rPr>
          <w:color w:val="000000"/>
          <w:spacing w:val="0"/>
          <w:w w:val="100"/>
          <w:position w:val="0"/>
        </w:rPr>
        <w:t>EBITDA</w:t>
      </w:r>
      <w:r>
        <w:rPr>
          <w:b w:val="0"/>
          <w:bCs w:val="0"/>
          <w:color w:val="000000"/>
          <w:spacing w:val="0"/>
          <w:w w:val="100"/>
          <w:position w:val="0"/>
          <w:vertAlign w:val="superscript"/>
        </w:rPr>
        <w:t>1</w:t>
      </w:r>
      <w:bookmarkEnd w:id="217"/>
      <w:bookmarkEnd w:id="218"/>
      <w:bookmarkEnd w:id="220"/>
    </w:p>
    <w:p>
      <w:pPr>
        <w:pStyle w:val="Style5"/>
        <w:keepNext w:val="0"/>
        <w:keepLines w:val="0"/>
        <w:widowControl w:val="0"/>
        <w:shd w:val="clear" w:color="auto" w:fill="auto"/>
        <w:bidi w:val="0"/>
        <w:spacing w:before="0" w:after="140" w:line="360" w:lineRule="exact"/>
        <w:ind w:left="420" w:right="0" w:firstLine="420"/>
        <w:jc w:val="left"/>
      </w:pPr>
      <w:r>
        <w:rPr>
          <w:color w:val="000000"/>
          <w:spacing w:val="0"/>
          <w:w w:val="100"/>
          <w:position w:val="0"/>
        </w:rPr>
        <w:t>2021</w:t>
      </w:r>
      <w:r>
        <w:rPr>
          <w:color w:val="000000"/>
          <w:spacing w:val="0"/>
          <w:w w:val="100"/>
          <w:position w:val="0"/>
        </w:rPr>
        <w:t>年，公司</w:t>
      </w:r>
      <w:r>
        <w:rPr>
          <w:color w:val="000000"/>
          <w:spacing w:val="0"/>
          <w:w w:val="100"/>
          <w:position w:val="0"/>
        </w:rPr>
        <w:t>EBITDA</w:t>
      </w:r>
      <w:r>
        <w:rPr>
          <w:color w:val="000000"/>
          <w:spacing w:val="0"/>
          <w:w w:val="100"/>
          <w:position w:val="0"/>
        </w:rPr>
        <w:t>为人民币</w:t>
      </w:r>
      <w:r>
        <w:rPr>
          <w:color w:val="000000"/>
          <w:spacing w:val="0"/>
          <w:w w:val="100"/>
          <w:position w:val="0"/>
        </w:rPr>
        <w:t>961.2</w:t>
      </w:r>
      <w:r>
        <w:rPr>
          <w:color w:val="000000"/>
          <w:spacing w:val="0"/>
          <w:w w:val="100"/>
          <w:position w:val="0"/>
        </w:rPr>
        <w:t>亿元，同比增长</w:t>
      </w:r>
      <w:r>
        <w:rPr>
          <w:color w:val="000000"/>
          <w:spacing w:val="0"/>
          <w:w w:val="100"/>
          <w:position w:val="0"/>
        </w:rPr>
        <w:t xml:space="preserve">2.3%, </w:t>
      </w:r>
      <w:r>
        <w:rPr>
          <w:color w:val="000000"/>
          <w:spacing w:val="0"/>
          <w:w w:val="100"/>
          <w:position w:val="0"/>
        </w:rPr>
        <w:t>EBITDA</w:t>
      </w:r>
      <w:r>
        <w:rPr>
          <w:color w:val="000000"/>
          <w:spacing w:val="0"/>
          <w:w w:val="100"/>
          <w:position w:val="0"/>
        </w:rPr>
        <w:t xml:space="preserve">占主营业务收入的百分比为 </w:t>
      </w:r>
      <w:r>
        <w:rPr>
          <w:color w:val="000000"/>
          <w:spacing w:val="0"/>
          <w:w w:val="100"/>
          <w:position w:val="0"/>
        </w:rPr>
        <w:t>32.5%,</w:t>
      </w:r>
      <w:r>
        <w:rPr>
          <w:color w:val="000000"/>
          <w:spacing w:val="0"/>
          <w:w w:val="100"/>
          <w:position w:val="0"/>
        </w:rPr>
        <w:t>同比降低</w:t>
      </w:r>
      <w:r>
        <w:rPr>
          <w:color w:val="000000"/>
          <w:spacing w:val="0"/>
          <w:w w:val="100"/>
          <w:position w:val="0"/>
        </w:rPr>
        <w:t>1.6</w:t>
      </w:r>
      <w:r>
        <w:rPr>
          <w:color w:val="000000"/>
          <w:spacing w:val="0"/>
          <w:w w:val="100"/>
          <w:position w:val="0"/>
        </w:rPr>
        <w:t>个百分点。</w:t>
      </w:r>
    </w:p>
    <w:p>
      <w:pPr>
        <w:pStyle w:val="Style16"/>
        <w:keepNext/>
        <w:keepLines/>
        <w:widowControl w:val="0"/>
        <w:shd w:val="clear" w:color="auto" w:fill="auto"/>
        <w:tabs>
          <w:tab w:pos="1251" w:val="left"/>
        </w:tabs>
        <w:bidi w:val="0"/>
        <w:spacing w:before="0" w:after="80" w:line="365" w:lineRule="exact"/>
        <w:ind w:left="0" w:right="0" w:firstLine="780"/>
        <w:jc w:val="left"/>
      </w:pPr>
      <w:bookmarkStart w:id="221" w:name="bookmark221"/>
      <w:bookmarkStart w:id="222" w:name="bookmark222"/>
      <w:bookmarkStart w:id="223" w:name="bookmark223"/>
      <w:bookmarkStart w:id="224" w:name="bookmark224"/>
      <w:r>
        <w:rPr>
          <w:color w:val="000000"/>
          <w:spacing w:val="0"/>
          <w:w w:val="100"/>
          <w:position w:val="0"/>
        </w:rPr>
        <w:t>六</w:t>
      </w:r>
      <w:bookmarkEnd w:id="223"/>
      <w:r>
        <w:rPr>
          <w:color w:val="000000"/>
          <w:spacing w:val="0"/>
          <w:w w:val="100"/>
          <w:position w:val="0"/>
        </w:rPr>
        <w:t>、</w:t>
        <w:tab/>
        <w:t>资本开支及现金流</w:t>
      </w:r>
      <w:bookmarkEnd w:id="221"/>
      <w:bookmarkEnd w:id="222"/>
      <w:bookmarkEnd w:id="224"/>
    </w:p>
    <w:p>
      <w:pPr>
        <w:pStyle w:val="Style5"/>
        <w:keepNext w:val="0"/>
        <w:keepLines w:val="0"/>
        <w:widowControl w:val="0"/>
        <w:shd w:val="clear" w:color="auto" w:fill="auto"/>
        <w:bidi w:val="0"/>
        <w:spacing w:before="0" w:after="240" w:line="365" w:lineRule="exact"/>
        <w:ind w:left="420" w:right="0" w:firstLine="420"/>
        <w:jc w:val="both"/>
      </w:pPr>
      <w:r>
        <w:rPr>
          <w:color w:val="000000"/>
          <w:spacing w:val="0"/>
          <w:w w:val="100"/>
          <w:position w:val="0"/>
        </w:rPr>
        <w:t>2021</w:t>
      </w:r>
      <w:r>
        <w:rPr>
          <w:color w:val="000000"/>
          <w:spacing w:val="0"/>
          <w:w w:val="100"/>
          <w:position w:val="0"/>
        </w:rPr>
        <w:t>年，公司各项资本开支合计人民币</w:t>
      </w:r>
      <w:r>
        <w:rPr>
          <w:color w:val="000000"/>
          <w:spacing w:val="0"/>
          <w:w w:val="100"/>
          <w:position w:val="0"/>
        </w:rPr>
        <w:t>689.6</w:t>
      </w:r>
      <w:r>
        <w:rPr>
          <w:color w:val="000000"/>
          <w:spacing w:val="0"/>
          <w:w w:val="100"/>
          <w:position w:val="0"/>
        </w:rPr>
        <w:t>亿元，主要用于移动网络、宽带及数据、基础设施 及传送网建设等方面。</w:t>
      </w:r>
      <w:r>
        <w:rPr>
          <w:color w:val="000000"/>
          <w:spacing w:val="0"/>
          <w:w w:val="100"/>
          <w:position w:val="0"/>
        </w:rPr>
        <w:t>2021</w:t>
      </w:r>
      <w:r>
        <w:rPr>
          <w:color w:val="000000"/>
          <w:spacing w:val="0"/>
          <w:w w:val="100"/>
          <w:position w:val="0"/>
        </w:rPr>
        <w:t>年，公司经营活动现金流量净额为人民币</w:t>
      </w:r>
      <w:r>
        <w:rPr>
          <w:color w:val="000000"/>
          <w:spacing w:val="0"/>
          <w:w w:val="100"/>
          <w:position w:val="0"/>
        </w:rPr>
        <w:t>1,119.7</w:t>
      </w:r>
      <w:r>
        <w:rPr>
          <w:color w:val="000000"/>
          <w:spacing w:val="0"/>
          <w:w w:val="100"/>
          <w:position w:val="0"/>
        </w:rPr>
        <w:t>亿元，扣除本年资本开 支后自由现金流</w:t>
      </w:r>
      <w:r>
        <w:rPr>
          <w:color w:val="000000"/>
          <w:spacing w:val="0"/>
          <w:w w:val="100"/>
          <w:position w:val="0"/>
          <w:vertAlign w:val="superscript"/>
        </w:rPr>
        <w:t>2</w:t>
      </w:r>
      <w:r>
        <w:rPr>
          <w:color w:val="000000"/>
          <w:spacing w:val="0"/>
          <w:w w:val="100"/>
          <w:position w:val="0"/>
        </w:rPr>
        <w:t>为人民币</w:t>
      </w:r>
      <w:r>
        <w:rPr>
          <w:color w:val="000000"/>
          <w:spacing w:val="0"/>
          <w:w w:val="100"/>
          <w:position w:val="0"/>
        </w:rPr>
        <w:t>430.1</w:t>
      </w:r>
      <w:r>
        <w:rPr>
          <w:color w:val="000000"/>
          <w:spacing w:val="0"/>
          <w:w w:val="100"/>
          <w:position w:val="0"/>
        </w:rPr>
        <w:t>亿元。</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下表列出了公司</w:t>
      </w:r>
      <w:r>
        <w:rPr>
          <w:color w:val="000000"/>
          <w:spacing w:val="0"/>
          <w:w w:val="100"/>
          <w:position w:val="0"/>
        </w:rPr>
        <w:t>2021</w:t>
      </w:r>
      <w:r>
        <w:rPr>
          <w:color w:val="000000"/>
          <w:spacing w:val="0"/>
          <w:w w:val="100"/>
          <w:position w:val="0"/>
        </w:rPr>
        <w:t>年主要资本开支项目情况。</w:t>
      </w:r>
    </w:p>
    <w:tbl>
      <w:tblPr>
        <w:tblOverlap w:val="never"/>
        <w:jc w:val="center"/>
        <w:tblLayout w:type="fixed"/>
      </w:tblPr>
      <w:tblGrid>
        <w:gridCol w:w="4171"/>
        <w:gridCol w:w="1742"/>
        <w:gridCol w:w="984"/>
        <w:gridCol w:w="1363"/>
      </w:tblGrid>
      <w:tr>
        <w:trPr>
          <w:trHeight w:val="62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（单位：人民币亿元）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累计支出</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年</w:t>
            </w:r>
          </w:p>
        </w:tc>
        <w:tc>
          <w:tcPr>
            <w:tcBorders>
              <w:top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占比</w:t>
            </w:r>
          </w:p>
        </w:tc>
      </w:tr>
      <w:tr>
        <w:trPr>
          <w:trHeight w:val="3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689.6</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其中：移动网络</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338.9</w:t>
            </w:r>
          </w:p>
        </w:tc>
        <w:tc>
          <w:tcPr>
            <w:tcBorders/>
            <w:shd w:val="clear" w:color="auto" w:fill="FFFFFF"/>
            <w:vAlign w:val="top"/>
          </w:tcPr>
          <w:p>
            <w:pPr>
              <w:widowControl w:val="0"/>
              <w:rPr>
                <w:sz w:val="10"/>
                <w:szCs w:val="10"/>
              </w:rPr>
            </w:pPr>
          </w:p>
        </w:tc>
        <w:tc>
          <w:tcPr>
            <w:tcBorders>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49.14%</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宽带及数据</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129.3</w:t>
            </w: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18.75%</w:t>
            </w:r>
          </w:p>
        </w:tc>
      </w:tr>
      <w:tr>
        <w:trPr>
          <w:trHeight w:val="27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基础设施及传送网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110.8</w:t>
            </w:r>
          </w:p>
        </w:tc>
        <w:tc>
          <w:tcPr>
            <w:tcBorders/>
            <w:shd w:val="clear" w:color="auto" w:fill="FFFFFF"/>
            <w:vAlign w:val="top"/>
          </w:tcPr>
          <w:p>
            <w:pPr>
              <w:widowControl w:val="0"/>
              <w:rPr>
                <w:sz w:val="10"/>
                <w:szCs w:val="10"/>
              </w:rPr>
            </w:pPr>
          </w:p>
        </w:tc>
        <w:tc>
          <w:tcPr>
            <w:tcBorders>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16.07%</w:t>
            </w:r>
          </w:p>
        </w:tc>
      </w:tr>
      <w:tr>
        <w:trPr>
          <w:trHeight w:val="408"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110.6</w:t>
            </w: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16.04%</w:t>
            </w:r>
          </w:p>
        </w:tc>
      </w:tr>
    </w:tbl>
    <w:p>
      <w:pPr>
        <w:widowControl w:val="0"/>
        <w:spacing w:after="239" w:line="1" w:lineRule="exact"/>
      </w:pPr>
    </w:p>
    <w:p>
      <w:pPr>
        <w:pStyle w:val="Style16"/>
        <w:keepNext/>
        <w:keepLines/>
        <w:widowControl w:val="0"/>
        <w:shd w:val="clear" w:color="auto" w:fill="auto"/>
        <w:bidi w:val="0"/>
        <w:spacing w:before="0" w:after="240"/>
        <w:ind w:left="420" w:right="0"/>
        <w:jc w:val="both"/>
      </w:pPr>
      <w:bookmarkStart w:id="225" w:name="bookmark225"/>
      <w:bookmarkStart w:id="226" w:name="bookmark226"/>
      <w:bookmarkStart w:id="227" w:name="bookmark227"/>
      <w:bookmarkStart w:id="228" w:name="bookmark228"/>
      <w:r>
        <w:rPr>
          <w:color w:val="000000"/>
          <w:spacing w:val="0"/>
          <w:w w:val="100"/>
          <w:position w:val="0"/>
        </w:rPr>
        <w:t>七</w:t>
      </w:r>
      <w:bookmarkEnd w:id="227"/>
      <w:r>
        <w:rPr>
          <w:color w:val="000000"/>
          <w:spacing w:val="0"/>
          <w:w w:val="100"/>
          <w:position w:val="0"/>
        </w:rPr>
        <w:t>、资产负债情况</w:t>
      </w:r>
      <w:bookmarkEnd w:id="225"/>
      <w:bookmarkEnd w:id="226"/>
      <w:bookmarkEnd w:id="228"/>
    </w:p>
    <w:p>
      <w:pPr>
        <w:pStyle w:val="Style5"/>
        <w:keepNext w:val="0"/>
        <w:keepLines w:val="0"/>
        <w:widowControl w:val="0"/>
        <w:shd w:val="clear" w:color="auto" w:fill="auto"/>
        <w:bidi w:val="0"/>
        <w:spacing w:before="0" w:after="140" w:line="360" w:lineRule="exact"/>
        <w:ind w:left="420" w:right="0" w:firstLine="42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日，公司资产总额由上年底的人民币</w:t>
      </w:r>
      <w:r>
        <w:rPr>
          <w:color w:val="000000"/>
          <w:spacing w:val="0"/>
          <w:w w:val="100"/>
          <w:position w:val="0"/>
        </w:rPr>
        <w:t>5,824.8</w:t>
      </w:r>
      <w:r>
        <w:rPr>
          <w:color w:val="000000"/>
          <w:spacing w:val="0"/>
          <w:w w:val="100"/>
          <w:position w:val="0"/>
        </w:rPr>
        <w:t>亿元变化至人民币</w:t>
      </w:r>
      <w:r>
        <w:rPr>
          <w:color w:val="000000"/>
          <w:spacing w:val="0"/>
          <w:w w:val="100"/>
          <w:position w:val="0"/>
        </w:rPr>
        <w:t xml:space="preserve">5,932.8 </w:t>
      </w:r>
      <w:r>
        <w:rPr>
          <w:color w:val="000000"/>
          <w:spacing w:val="0"/>
          <w:w w:val="100"/>
          <w:position w:val="0"/>
        </w:rPr>
        <w:t>亿元，负债总额由上年底的人民币</w:t>
      </w:r>
      <w:r>
        <w:rPr>
          <w:color w:val="000000"/>
          <w:spacing w:val="0"/>
          <w:w w:val="100"/>
          <w:position w:val="0"/>
        </w:rPr>
        <w:t>2,510.0</w:t>
      </w:r>
      <w:r>
        <w:rPr>
          <w:color w:val="000000"/>
          <w:spacing w:val="0"/>
          <w:w w:val="100"/>
          <w:position w:val="0"/>
        </w:rPr>
        <w:t>亿元变化至人民币</w:t>
      </w:r>
      <w:r>
        <w:rPr>
          <w:color w:val="000000"/>
          <w:spacing w:val="0"/>
          <w:w w:val="100"/>
          <w:position w:val="0"/>
        </w:rPr>
        <w:t>2,570.7</w:t>
      </w:r>
      <w:r>
        <w:rPr>
          <w:color w:val="000000"/>
          <w:spacing w:val="0"/>
          <w:w w:val="100"/>
          <w:position w:val="0"/>
        </w:rPr>
        <w:t xml:space="preserve">亿元，资产负债率由上年底的 </w:t>
      </w:r>
      <w:r>
        <w:rPr>
          <w:color w:val="000000"/>
          <w:spacing w:val="0"/>
          <w:w w:val="100"/>
          <w:position w:val="0"/>
        </w:rPr>
        <w:t>43.1%</w:t>
      </w:r>
      <w:r>
        <w:rPr>
          <w:color w:val="000000"/>
          <w:spacing w:val="0"/>
          <w:w w:val="100"/>
          <w:position w:val="0"/>
        </w:rPr>
        <w:t xml:space="preserve">变化至 </w:t>
      </w:r>
      <w:r>
        <w:rPr>
          <w:color w:val="000000"/>
          <w:spacing w:val="0"/>
          <w:w w:val="100"/>
          <w:position w:val="0"/>
        </w:rPr>
        <w:t>43.3%</w:t>
      </w:r>
      <w:r>
        <w:rPr>
          <w:color w:val="000000"/>
          <w:spacing w:val="0"/>
          <w:w w:val="100"/>
          <w:position w:val="0"/>
        </w:rPr>
        <w:t>。</w:t>
      </w:r>
    </w:p>
    <w:p>
      <w:pPr>
        <w:pStyle w:val="Style39"/>
        <w:keepNext w:val="0"/>
        <w:keepLines w:val="0"/>
        <w:widowControl w:val="0"/>
        <w:shd w:val="clear" w:color="auto" w:fill="auto"/>
        <w:bidi w:val="0"/>
        <w:spacing w:before="0"/>
        <w:ind w:right="0"/>
        <w:jc w:val="both"/>
      </w:pPr>
      <w:r>
        <w:rPr>
          <w:color w:val="000000"/>
          <w:spacing w:val="0"/>
          <w:w w:val="100"/>
          <w:position w:val="0"/>
        </w:rPr>
        <w:t>附注</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反映了加回财务费用、所得税、营业成本和管理费用及研发费用中的折旧及摊销以及减去投资收 益、公允价值变动净收益、其他收益、营业外净收入的净利润。由于电信业是资本密集型产业，资本开支和财务费用 可能对具有类似经营成果的公司年度盈利产生重大影响。因此，公司认为，对于与公司类似的电信公司而言，</w:t>
      </w:r>
      <w:r>
        <w:rPr>
          <w:rFonts w:ascii="Times New Roman" w:eastAsia="Times New Roman" w:hAnsi="Times New Roman" w:cs="Times New Roman"/>
          <w:color w:val="000000"/>
          <w:spacing w:val="0"/>
          <w:w w:val="100"/>
          <w:position w:val="0"/>
          <w:sz w:val="18"/>
          <w:szCs w:val="18"/>
        </w:rPr>
        <w:t xml:space="preserve">EBITDA </w:t>
      </w:r>
      <w:r>
        <w:rPr>
          <w:color w:val="000000"/>
          <w:spacing w:val="0"/>
          <w:w w:val="100"/>
          <w:position w:val="0"/>
        </w:rPr>
        <w:t>有助于对公司经营成果分析，但它并非公认会计原则财务指标，并无统一定义，故未必可与其他公司的类似指标作比 较。</w:t>
      </w:r>
    </w:p>
    <w:p>
      <w:pPr>
        <w:pStyle w:val="Style39"/>
        <w:keepNext w:val="0"/>
        <w:keepLines w:val="0"/>
        <w:widowControl w:val="0"/>
        <w:shd w:val="clear" w:color="auto" w:fill="auto"/>
        <w:bidi w:val="0"/>
        <w:spacing w:before="0" w:after="460" w:line="336" w:lineRule="exact"/>
        <w:ind w:right="0"/>
        <w:jc w:val="both"/>
      </w:pPr>
      <w:r>
        <w:rPr>
          <w:color w:val="000000"/>
          <w:spacing w:val="0"/>
          <w:w w:val="100"/>
          <w:position w:val="0"/>
        </w:rPr>
        <w:t>附注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自由现金流反映了扣除资本开支的经营现金流，但它并非公认会计原则财务指标，并无统一定义，故未必 可与其他公司的类似指标作比较。</w:t>
      </w:r>
    </w:p>
    <w:p>
      <w:pPr>
        <w:pStyle w:val="Style16"/>
        <w:keepNext/>
        <w:keepLines/>
        <w:widowControl w:val="0"/>
        <w:shd w:val="clear" w:color="auto" w:fill="auto"/>
        <w:bidi w:val="0"/>
        <w:spacing w:before="0" w:after="0"/>
        <w:ind w:left="0" w:right="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一）主营业务分析</w:t>
      </w:r>
      <w:bookmarkEnd w:id="229"/>
      <w:bookmarkEnd w:id="230"/>
      <w:bookmarkEnd w:id="232"/>
    </w:p>
    <w:p>
      <w:pPr>
        <w:pStyle w:val="Style16"/>
        <w:keepNext/>
        <w:keepLines/>
        <w:widowControl w:val="0"/>
        <w:numPr>
          <w:ilvl w:val="0"/>
          <w:numId w:val="11"/>
        </w:numPr>
        <w:shd w:val="clear" w:color="auto" w:fill="auto"/>
        <w:bidi w:val="0"/>
        <w:spacing w:before="0" w:after="80"/>
        <w:ind w:left="0" w:right="0"/>
        <w:jc w:val="left"/>
      </w:pPr>
      <w:bookmarkStart w:id="229" w:name="bookmark229"/>
      <w:bookmarkStart w:id="230" w:name="bookmark230"/>
      <w:bookmarkStart w:id="233" w:name="bookmark233"/>
      <w:bookmarkStart w:id="234" w:name="bookmark234"/>
      <w:bookmarkEnd w:id="233"/>
      <w:r>
        <w:rPr>
          <w:color w:val="000000"/>
          <w:spacing w:val="0"/>
          <w:w w:val="100"/>
          <w:position w:val="0"/>
        </w:rPr>
        <w:t>利润表及现金流量表相关科目变动分析表</w:t>
      </w:r>
      <w:bookmarkEnd w:id="229"/>
      <w:bookmarkEnd w:id="230"/>
      <w:bookmarkEnd w:id="234"/>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2218"/>
        <w:gridCol w:w="2069"/>
        <w:gridCol w:w="1930"/>
      </w:tblGrid>
      <w:tr>
        <w:trPr>
          <w:trHeight w:val="288"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本期数</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变动比例（％）</w:t>
            </w:r>
          </w:p>
        </w:tc>
      </w:tr>
      <w:tr>
        <w:trPr>
          <w:trHeight w:val="283"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327,854,494,119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303,838,070,591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7.9</w:t>
            </w:r>
          </w:p>
        </w:tc>
      </w:tr>
      <w:tr>
        <w:trPr>
          <w:trHeight w:val="27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247,360,584,938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224,539,183,193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r>
      <w:tr>
        <w:trPr>
          <w:trHeight w:val="283"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32,212,432,115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30,461,035,396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5.7</w:t>
            </w:r>
          </w:p>
        </w:tc>
      </w:tr>
      <w:tr>
        <w:trPr>
          <w:trHeight w:val="283"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24,779,618,578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25,759,169,107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283"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96,713,074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226,721,429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w:t>
            </w:r>
          </w:p>
        </w:tc>
      </w:tr>
      <w:tr>
        <w:trPr>
          <w:trHeight w:val="283"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4,792,173,304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2,963,703,038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w:t>
            </w:r>
          </w:p>
        </w:tc>
      </w:tr>
      <w:tr>
        <w:trPr>
          <w:trHeight w:val="293" w:hRule="exact"/>
        </w:trPr>
        <w:tc>
          <w:tcPr>
            <w:tcBorders>
              <w:top w:val="single" w:sz="4"/>
              <w:left w:val="single" w:sz="4"/>
              <w:bottom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111,971,577,348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107,333,764,603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4.3</w:t>
            </w:r>
          </w:p>
        </w:tc>
      </w:tr>
    </w:tbl>
    <w:tbl>
      <w:tblPr>
        <w:tblOverlap w:val="never"/>
        <w:jc w:val="center"/>
        <w:tblLayout w:type="fixed"/>
      </w:tblPr>
      <w:tblGrid>
        <w:gridCol w:w="3216"/>
        <w:gridCol w:w="2218"/>
        <w:gridCol w:w="2069"/>
        <w:gridCol w:w="1930"/>
      </w:tblGrid>
      <w:tr>
        <w:trPr>
          <w:trHeight w:val="28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-74,779,778,150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-92,016,799,842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r>
      <w:tr>
        <w:trPr>
          <w:trHeight w:val="293" w:hRule="exact"/>
        </w:trPr>
        <w:tc>
          <w:tcPr>
            <w:tcBorders>
              <w:top w:val="single" w:sz="4"/>
              <w:left w:val="single" w:sz="4"/>
              <w:bottom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-25,910,331,384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-26,981,837,202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详见本节第五部分“报告期内主要经营情况”</w:t>
      </w:r>
    </w:p>
    <w:p>
      <w:pPr>
        <w:widowControl w:val="0"/>
        <w:spacing w:after="219" w:line="1" w:lineRule="exact"/>
      </w:pPr>
    </w:p>
    <w:p>
      <w:pPr>
        <w:pStyle w:val="Style5"/>
        <w:keepNext w:val="0"/>
        <w:keepLines w:val="0"/>
        <w:widowControl w:val="0"/>
        <w:shd w:val="clear" w:color="auto" w:fill="auto"/>
        <w:bidi w:val="0"/>
        <w:spacing w:before="0" w:after="300" w:line="278" w:lineRule="exact"/>
        <w:ind w:left="420" w:right="0" w:firstLine="0"/>
        <w:jc w:val="left"/>
      </w:pPr>
      <w:r>
        <w:rPr>
          <w:color w:val="000000"/>
          <w:spacing w:val="0"/>
          <w:w w:val="100"/>
          <w:position w:val="0"/>
        </w:rPr>
        <w:t>本期公司业务类型、利润构成或利润来源发生重大变动的详细说明 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
        </w:numPr>
        <w:shd w:val="clear" w:color="auto" w:fill="auto"/>
        <w:bidi w:val="0"/>
        <w:spacing w:before="0" w:after="40" w:line="278" w:lineRule="exact"/>
        <w:ind w:left="42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收入和成本分析</w:t>
      </w:r>
      <w:bookmarkEnd w:id="235"/>
      <w:bookmarkEnd w:id="236"/>
      <w:bookmarkEnd w:id="238"/>
    </w:p>
    <w:p>
      <w:pPr>
        <w:pStyle w:val="Style5"/>
        <w:keepNext w:val="0"/>
        <w:keepLines w:val="0"/>
        <w:widowControl w:val="0"/>
        <w:shd w:val="clear" w:color="auto" w:fill="auto"/>
        <w:bidi w:val="0"/>
        <w:spacing w:before="0" w:after="300" w:line="278" w:lineRule="exact"/>
        <w:ind w:left="420" w:right="0" w:firstLine="0"/>
        <w:jc w:val="left"/>
      </w:pP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420" w:right="0" w:firstLine="0"/>
        <w:jc w:val="left"/>
      </w:pPr>
      <w:r>
        <w:rPr>
          <w:color w:val="000000"/>
          <w:spacing w:val="0"/>
          <w:w w:val="100"/>
          <w:position w:val="0"/>
        </w:rPr>
        <w:t>如下：</w:t>
      </w:r>
    </w:p>
    <w:p>
      <w:pPr>
        <w:pStyle w:val="Style5"/>
        <w:keepNext w:val="0"/>
        <w:keepLines w:val="0"/>
        <w:widowControl w:val="0"/>
        <w:numPr>
          <w:ilvl w:val="0"/>
          <w:numId w:val="13"/>
        </w:numPr>
        <w:shd w:val="clear" w:color="auto" w:fill="auto"/>
        <w:bidi w:val="0"/>
        <w:spacing w:before="0" w:after="300" w:line="278" w:lineRule="exact"/>
        <w:ind w:left="420" w:right="0" w:firstLine="0"/>
        <w:jc w:val="left"/>
      </w:pPr>
      <w:bookmarkStart w:id="239" w:name="bookmark239"/>
      <w:bookmarkEnd w:id="239"/>
      <w:r>
        <w:rPr>
          <w:b/>
          <w:bCs/>
          <w:color w:val="000000"/>
          <w:spacing w:val="0"/>
          <w:w w:val="100"/>
          <w:position w:val="0"/>
        </w:rPr>
        <w:t>.</w:t>
      </w:r>
      <w:r>
        <w:rPr>
          <w:b/>
          <w:bCs/>
          <w:color w:val="000000"/>
          <w:spacing w:val="0"/>
          <w:w w:val="100"/>
          <w:position w:val="0"/>
        </w:rPr>
        <w:t>主营业务分行业、分产品、分地区、分销售模式情况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百万元币种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06"/>
        <w:gridCol w:w="1258"/>
        <w:gridCol w:w="1536"/>
        <w:gridCol w:w="1258"/>
        <w:gridCol w:w="1397"/>
        <w:gridCol w:w="1397"/>
        <w:gridCol w:w="1958"/>
      </w:tblGrid>
      <w:tr>
        <w:trPr>
          <w:trHeight w:val="288" w:hRule="exact"/>
        </w:trPr>
        <w:tc>
          <w:tcPr>
            <w:gridSpan w:val="7"/>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475"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分行业</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营业收入比上</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营业成本比上</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毛利率比上年增减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电信业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327,854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248,788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减少</w:t>
            </w:r>
            <w:r>
              <w:rPr>
                <w:rFonts w:ascii="Times New Roman" w:eastAsia="Times New Roman" w:hAnsi="Times New Roman" w:cs="Times New Roman"/>
                <w:color w:val="000000"/>
                <w:spacing w:val="0"/>
                <w:w w:val="100"/>
                <w:position w:val="0"/>
              </w:rPr>
              <w:t>1.6</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475"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分产品</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营业收入比上</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营业成本比上</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毛利率比上年增减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327,854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248,788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减少</w:t>
            </w:r>
            <w:r>
              <w:rPr>
                <w:rFonts w:ascii="Times New Roman" w:eastAsia="Times New Roman" w:hAnsi="Times New Roman" w:cs="Times New Roman"/>
                <w:color w:val="000000"/>
                <w:spacing w:val="0"/>
                <w:w w:val="100"/>
                <w:position w:val="0"/>
              </w:rPr>
              <w:t>1.6</w:t>
            </w:r>
            <w:r>
              <w:rPr>
                <w:color w:val="000000"/>
                <w:spacing w:val="0"/>
                <w:w w:val="100"/>
                <w:position w:val="0"/>
              </w:rPr>
              <w:t>个百分点</w:t>
            </w:r>
          </w:p>
        </w:tc>
      </w:tr>
      <w:tr>
        <w:trPr>
          <w:trHeight w:val="283" w:hRule="exact"/>
        </w:trPr>
        <w:tc>
          <w:tcPr>
            <w:gridSpan w:val="4"/>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主营业务分地</w:t>
            </w:r>
          </w:p>
        </w:tc>
        <w:tc>
          <w:tcPr>
            <w:gridSpan w:val="3"/>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区情况</w:t>
            </w:r>
          </w:p>
        </w:tc>
      </w:tr>
      <w:tr>
        <w:trPr>
          <w:trHeight w:val="475"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分地区</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营业收入比上</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营业成本比上</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毛利率比上年增减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全国范围内</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327,854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248,788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减少</w:t>
            </w:r>
            <w:r>
              <w:rPr>
                <w:rFonts w:ascii="Times New Roman" w:eastAsia="Times New Roman" w:hAnsi="Times New Roman" w:cs="Times New Roman"/>
                <w:color w:val="000000"/>
                <w:spacing w:val="0"/>
                <w:w w:val="100"/>
                <w:position w:val="0"/>
              </w:rPr>
              <w:t>1.6</w:t>
            </w:r>
            <w:r>
              <w:rPr>
                <w:color w:val="000000"/>
                <w:spacing w:val="0"/>
                <w:w w:val="100"/>
                <w:position w:val="0"/>
              </w:rPr>
              <w:t>个百分点</w:t>
            </w:r>
          </w:p>
        </w:tc>
      </w:tr>
    </w:tbl>
    <w:p>
      <w:pPr>
        <w:widowControl w:val="0"/>
        <w:spacing w:after="559" w:line="1" w:lineRule="exact"/>
      </w:pPr>
    </w:p>
    <w:p>
      <w:pPr>
        <w:pStyle w:val="Style5"/>
        <w:keepNext w:val="0"/>
        <w:keepLines w:val="0"/>
        <w:widowControl w:val="0"/>
        <w:shd w:val="clear" w:color="auto" w:fill="auto"/>
        <w:bidi w:val="0"/>
        <w:spacing w:before="0" w:after="40" w:line="240" w:lineRule="auto"/>
        <w:ind w:left="420" w:right="0" w:firstLine="0"/>
        <w:jc w:val="left"/>
      </w:pPr>
      <w:r>
        <w:rPr>
          <w:color w:val="000000"/>
          <w:spacing w:val="0"/>
          <w:w w:val="100"/>
          <w:position w:val="0"/>
        </w:rPr>
        <w:t>主营业务分行业、分产品、分地区模式情况的说明</w:t>
      </w:r>
    </w:p>
    <w:p>
      <w:pPr>
        <w:pStyle w:val="Style5"/>
        <w:keepNext w:val="0"/>
        <w:keepLines w:val="0"/>
        <w:widowControl w:val="0"/>
        <w:numPr>
          <w:ilvl w:val="0"/>
          <w:numId w:val="15"/>
        </w:numPr>
        <w:shd w:val="clear" w:color="auto" w:fill="auto"/>
        <w:tabs>
          <w:tab w:pos="740" w:val="left"/>
        </w:tabs>
        <w:bidi w:val="0"/>
        <w:spacing w:before="0" w:after="220" w:line="240" w:lineRule="auto"/>
        <w:ind w:left="420" w:right="0" w:firstLine="0"/>
        <w:jc w:val="left"/>
      </w:pPr>
      <w:bookmarkStart w:id="240" w:name="bookmark240"/>
      <w:bookmarkEnd w:id="240"/>
      <w:r>
        <w:rPr>
          <w:color w:val="000000"/>
          <w:spacing w:val="0"/>
          <w:w w:val="100"/>
          <w:position w:val="0"/>
        </w:rPr>
        <w:t>上述资料所列的“营业成本”包括税金及附加；</w:t>
      </w:r>
    </w:p>
    <w:p>
      <w:pPr>
        <w:pStyle w:val="Style5"/>
        <w:keepNext w:val="0"/>
        <w:keepLines w:val="0"/>
        <w:widowControl w:val="0"/>
        <w:numPr>
          <w:ilvl w:val="0"/>
          <w:numId w:val="15"/>
        </w:numPr>
        <w:shd w:val="clear" w:color="auto" w:fill="auto"/>
        <w:tabs>
          <w:tab w:pos="754" w:val="left"/>
        </w:tabs>
        <w:bidi w:val="0"/>
        <w:spacing w:before="0" w:after="400" w:line="374" w:lineRule="exact"/>
        <w:ind w:left="420" w:right="0" w:firstLine="0"/>
        <w:jc w:val="left"/>
      </w:pPr>
      <w:bookmarkStart w:id="241" w:name="bookmark241"/>
      <w:bookmarkEnd w:id="241"/>
      <w:r>
        <w:rPr>
          <w:color w:val="000000"/>
          <w:spacing w:val="0"/>
          <w:w w:val="100"/>
          <w:position w:val="0"/>
        </w:rPr>
        <w:t>本公司的主要经营决策者根据内部管理职能分配资源，将本集团视为一个整体而非以业务之种类或 地区角度进行业绩评估，因此，本集团只有一个经营分部。本集团业务大部于中国境内开展。</w:t>
      </w:r>
    </w:p>
    <w:p>
      <w:pPr>
        <w:pStyle w:val="Style5"/>
        <w:keepNext w:val="0"/>
        <w:keepLines w:val="0"/>
        <w:widowControl w:val="0"/>
        <w:numPr>
          <w:ilvl w:val="0"/>
          <w:numId w:val="15"/>
        </w:numPr>
        <w:shd w:val="clear" w:color="auto" w:fill="auto"/>
        <w:tabs>
          <w:tab w:pos="754" w:val="left"/>
        </w:tabs>
        <w:bidi w:val="0"/>
        <w:spacing w:before="0" w:after="220" w:line="391" w:lineRule="auto"/>
        <w:ind w:left="420" w:right="0" w:firstLine="0"/>
        <w:jc w:val="left"/>
      </w:pPr>
      <w:bookmarkStart w:id="242" w:name="bookmark242"/>
      <w:bookmarkEnd w:id="242"/>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营业成本</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营业收入</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6"/>
        <w:keepNext/>
        <w:keepLines/>
        <w:widowControl w:val="0"/>
        <w:numPr>
          <w:ilvl w:val="0"/>
          <w:numId w:val="13"/>
        </w:numPr>
        <w:shd w:val="clear" w:color="auto" w:fill="auto"/>
        <w:tabs>
          <w:tab w:pos="855" w:val="left"/>
        </w:tabs>
        <w:bidi w:val="0"/>
        <w:spacing w:before="0" w:line="240" w:lineRule="auto"/>
        <w:ind w:left="420" w:right="0" w:firstLine="0"/>
        <w:jc w:val="left"/>
      </w:pPr>
      <w:bookmarkStart w:id="243" w:name="bookmark243"/>
      <w:bookmarkStart w:id="244" w:name="bookmark244"/>
      <w:bookmarkStart w:id="245" w:name="bookmark245"/>
      <w:bookmarkStart w:id="246" w:name="bookmark246"/>
      <w:bookmarkEnd w:id="245"/>
      <w:r>
        <w:rPr>
          <w:color w:val="000000"/>
          <w:spacing w:val="0"/>
          <w:w w:val="100"/>
          <w:position w:val="0"/>
        </w:rPr>
        <w:t>.</w:t>
      </w:r>
      <w:r>
        <w:rPr>
          <w:color w:val="000000"/>
          <w:spacing w:val="0"/>
          <w:w w:val="100"/>
          <w:position w:val="0"/>
        </w:rPr>
        <w:t>产销量情况分析表</w:t>
      </w:r>
      <w:bookmarkEnd w:id="243"/>
      <w:bookmarkEnd w:id="244"/>
      <w:bookmarkEnd w:id="246"/>
    </w:p>
    <w:p>
      <w:pPr>
        <w:pStyle w:val="Style5"/>
        <w:keepNext w:val="0"/>
        <w:keepLines w:val="0"/>
        <w:widowControl w:val="0"/>
        <w:shd w:val="clear" w:color="auto" w:fill="auto"/>
        <w:bidi w:val="0"/>
        <w:spacing w:before="0" w:after="220" w:line="240" w:lineRule="auto"/>
        <w:ind w:left="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3"/>
        </w:numPr>
        <w:shd w:val="clear" w:color="auto" w:fill="auto"/>
        <w:tabs>
          <w:tab w:pos="855" w:val="left"/>
        </w:tabs>
        <w:bidi w:val="0"/>
        <w:spacing w:before="0" w:after="0" w:line="374" w:lineRule="exact"/>
        <w:ind w:left="420" w:right="0" w:firstLine="0"/>
        <w:jc w:val="left"/>
      </w:pPr>
      <w:bookmarkStart w:id="247" w:name="bookmark247"/>
      <w:bookmarkStart w:id="248" w:name="bookmark248"/>
      <w:bookmarkStart w:id="249" w:name="bookmark249"/>
      <w:bookmarkStart w:id="250" w:name="bookmark250"/>
      <w:bookmarkEnd w:id="249"/>
      <w:r>
        <w:rPr>
          <w:color w:val="000000"/>
          <w:spacing w:val="0"/>
          <w:w w:val="100"/>
          <w:position w:val="0"/>
        </w:rPr>
        <w:t>.</w:t>
      </w:r>
      <w:r>
        <w:rPr>
          <w:color w:val="000000"/>
          <w:spacing w:val="0"/>
          <w:w w:val="100"/>
          <w:position w:val="0"/>
        </w:rPr>
        <w:t>重大采购合同、重大销售合同的履行情况</w:t>
      </w:r>
      <w:bookmarkEnd w:id="247"/>
      <w:bookmarkEnd w:id="248"/>
      <w:bookmarkEnd w:id="250"/>
    </w:p>
    <w:p>
      <w:pPr>
        <w:pStyle w:val="Style5"/>
        <w:keepNext w:val="0"/>
        <w:keepLines w:val="0"/>
        <w:widowControl w:val="0"/>
        <w:shd w:val="clear" w:color="auto" w:fill="auto"/>
        <w:bidi w:val="0"/>
        <w:spacing w:before="0" w:after="220" w:line="374" w:lineRule="exact"/>
        <w:ind w:left="4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3"/>
        </w:numPr>
        <w:shd w:val="clear" w:color="auto" w:fill="auto"/>
        <w:tabs>
          <w:tab w:pos="855" w:val="left"/>
        </w:tabs>
        <w:bidi w:val="0"/>
        <w:spacing w:before="0" w:line="374" w:lineRule="exact"/>
        <w:ind w:left="420" w:right="0" w:firstLine="0"/>
        <w:jc w:val="left"/>
      </w:pPr>
      <w:bookmarkStart w:id="251" w:name="bookmark251"/>
      <w:bookmarkStart w:id="252" w:name="bookmark252"/>
      <w:bookmarkStart w:id="253" w:name="bookmark253"/>
      <w:bookmarkStart w:id="254" w:name="bookmark254"/>
      <w:bookmarkEnd w:id="253"/>
      <w:r>
        <w:rPr>
          <w:color w:val="000000"/>
          <w:spacing w:val="0"/>
          <w:w w:val="100"/>
          <w:position w:val="0"/>
        </w:rPr>
        <w:t>.</w:t>
      </w:r>
      <w:r>
        <w:rPr>
          <w:color w:val="000000"/>
          <w:spacing w:val="0"/>
          <w:w w:val="100"/>
          <w:position w:val="0"/>
        </w:rPr>
        <w:t>成本分析表</w:t>
      </w:r>
      <w:bookmarkEnd w:id="251"/>
      <w:bookmarkEnd w:id="252"/>
      <w:bookmarkEnd w:id="2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46"/>
        <w:gridCol w:w="1262"/>
        <w:gridCol w:w="1709"/>
        <w:gridCol w:w="1090"/>
        <w:gridCol w:w="1704"/>
        <w:gridCol w:w="979"/>
        <w:gridCol w:w="1118"/>
        <w:gridCol w:w="845"/>
      </w:tblGrid>
      <w:tr>
        <w:trPr>
          <w:trHeight w:val="283" w:hRule="exact"/>
        </w:trPr>
        <w:tc>
          <w:tcPr>
            <w:gridSpan w:val="8"/>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725" w:hRule="exact"/>
        </w:trPr>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分行业</w:t>
            </w:r>
          </w:p>
        </w:tc>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成本构成项 日</w:t>
            </w:r>
          </w:p>
        </w:tc>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本期占总成 本比例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上年同期金额</w:t>
            </w:r>
          </w:p>
        </w:tc>
        <w:tc>
          <w:tcPr>
            <w:tcBorders>
              <w:top w:val="single" w:sz="4"/>
              <w:left w:val="single" w:sz="4"/>
              <w:bottom w:val="single" w:sz="4"/>
            </w:tcBorders>
            <w:shd w:val="clear" w:color="auto" w:fill="D9D9D9"/>
            <w:vAlign w:val="bottom"/>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上年同期 占总成本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D9D9"/>
            <w:vAlign w:val="bottom"/>
          </w:tcPr>
          <w:p>
            <w:pPr>
              <w:pStyle w:val="Style2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7"/>
                <w:szCs w:val="17"/>
              </w:rPr>
              <w:t>本期金额较 上年同期变 动比例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情况</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bl>
    <w:tbl>
      <w:tblPr>
        <w:tblOverlap w:val="never"/>
        <w:jc w:val="center"/>
        <w:tblLayout w:type="fixed"/>
      </w:tblPr>
      <w:tblGrid>
        <w:gridCol w:w="1046"/>
        <w:gridCol w:w="1262"/>
        <w:gridCol w:w="1709"/>
        <w:gridCol w:w="1090"/>
        <w:gridCol w:w="1704"/>
        <w:gridCol w:w="979"/>
        <w:gridCol w:w="1118"/>
        <w:gridCol w:w="845"/>
      </w:tblGrid>
      <w:tr>
        <w:trPr>
          <w:trHeight w:val="5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网络运行及 支撑成本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53,086,653,047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46,286,180,416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说明 见下</w:t>
            </w:r>
          </w:p>
        </w:tc>
      </w:tr>
      <w:tr>
        <w:trPr>
          <w:trHeight w:val="5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网间结算成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11,556,533,116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10,574,496,889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说明 见下</w:t>
            </w:r>
          </w:p>
        </w:tc>
      </w:tr>
      <w:tr>
        <w:trPr>
          <w:trHeight w:val="5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40,081,176,716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37,553,566,347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说明 见下</w:t>
            </w:r>
          </w:p>
        </w:tc>
      </w:tr>
      <w:tr>
        <w:trPr>
          <w:trHeight w:val="5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81,513,916,950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78,645,636,681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说明 见下</w:t>
            </w:r>
          </w:p>
        </w:tc>
      </w:tr>
      <w:tr>
        <w:trPr>
          <w:trHeight w:val="5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销售通信产 品支出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30,682,785,736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26,861,588,427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说明 见下</w:t>
            </w:r>
          </w:p>
        </w:tc>
      </w:tr>
      <w:tr>
        <w:trPr>
          <w:trHeight w:val="283" w:hRule="exact"/>
        </w:trPr>
        <w:tc>
          <w:tcPr>
            <w:gridSpan w:val="8"/>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710"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分产品</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成本构成项 日</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本期占总成 本比例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上年同期金额</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上年同期 占总成本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本期金额较 上年同期变 动比例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情况</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5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电信服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网络运行及 支撑成本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53,086,653,047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46,286,180,416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说明 见下</w:t>
            </w:r>
          </w:p>
        </w:tc>
      </w:tr>
      <w:tr>
        <w:trPr>
          <w:trHeight w:val="5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电信服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网间结算成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11,556,533,116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10,574,496,889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说明 见下</w:t>
            </w:r>
          </w:p>
        </w:tc>
      </w:tr>
      <w:tr>
        <w:trPr>
          <w:trHeight w:val="58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电信服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40,081,176,716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37,553,566,347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说明 见下</w:t>
            </w:r>
          </w:p>
        </w:tc>
      </w:tr>
      <w:tr>
        <w:trPr>
          <w:trHeight w:val="58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电信服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81,513,916,950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78,645,636,681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说明 见下</w:t>
            </w:r>
          </w:p>
        </w:tc>
      </w:tr>
      <w:tr>
        <w:trPr>
          <w:trHeight w:val="59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电信服 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销售通信产 品支出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30,682,785,736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26,861,588,427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说明 见下</w:t>
            </w:r>
          </w:p>
        </w:tc>
      </w:tr>
    </w:tbl>
    <w:p>
      <w:pPr>
        <w:pStyle w:val="Style5"/>
        <w:keepNext w:val="0"/>
        <w:keepLines w:val="0"/>
        <w:widowControl w:val="0"/>
        <w:shd w:val="clear" w:color="auto" w:fill="auto"/>
        <w:bidi w:val="0"/>
        <w:spacing w:before="0" w:line="367" w:lineRule="exact"/>
        <w:ind w:left="420" w:right="0" w:firstLine="0"/>
        <w:jc w:val="left"/>
      </w:pPr>
      <w:r>
        <w:rPr>
          <w:color w:val="000000"/>
          <w:spacing w:val="0"/>
          <w:w w:val="100"/>
          <w:position w:val="0"/>
        </w:rPr>
        <w:t>成本分析其他情况说明</w:t>
      </w:r>
    </w:p>
    <w:p>
      <w:pPr>
        <w:pStyle w:val="Style5"/>
        <w:keepNext w:val="0"/>
        <w:keepLines w:val="0"/>
        <w:widowControl w:val="0"/>
        <w:numPr>
          <w:ilvl w:val="0"/>
          <w:numId w:val="17"/>
        </w:numPr>
        <w:shd w:val="clear" w:color="auto" w:fill="auto"/>
        <w:bidi w:val="0"/>
        <w:spacing w:before="0" w:line="367" w:lineRule="exact"/>
        <w:ind w:left="420" w:right="0" w:firstLine="0"/>
        <w:jc w:val="left"/>
      </w:pPr>
      <w:bookmarkStart w:id="255" w:name="bookmark255"/>
      <w:bookmarkEnd w:id="255"/>
      <w:r>
        <w:rPr>
          <w:rFonts w:ascii="Times New Roman" w:eastAsia="Times New Roman" w:hAnsi="Times New Roman" w:cs="Times New Roman"/>
          <w:color w:val="000000"/>
          <w:spacing w:val="0"/>
          <w:w w:val="100"/>
          <w:position w:val="0"/>
        </w:rPr>
        <w:t xml:space="preserve"> </w:t>
      </w:r>
      <w:r>
        <w:rPr>
          <w:color w:val="000000"/>
          <w:spacing w:val="0"/>
          <w:w w:val="100"/>
          <w:position w:val="0"/>
        </w:rPr>
        <w:t>网络运行及支撑成本：同比上升</w:t>
      </w:r>
      <w:r>
        <w:rPr>
          <w:rFonts w:ascii="Times New Roman" w:eastAsia="Times New Roman" w:hAnsi="Times New Roman" w:cs="Times New Roman"/>
          <w:color w:val="000000"/>
          <w:spacing w:val="0"/>
          <w:w w:val="100"/>
          <w:position w:val="0"/>
        </w:rPr>
        <w:t>14.7%</w:t>
      </w:r>
      <w:r>
        <w:rPr>
          <w:color w:val="000000"/>
          <w:spacing w:val="0"/>
          <w:w w:val="100"/>
          <w:position w:val="0"/>
        </w:rPr>
        <w:t>，主要由于</w:t>
      </w:r>
      <w:r>
        <w:rPr>
          <w:rFonts w:ascii="Times New Roman" w:eastAsia="Times New Roman" w:hAnsi="Times New Roman" w:cs="Times New Roman"/>
          <w:color w:val="000000"/>
          <w:spacing w:val="0"/>
          <w:w w:val="100"/>
          <w:position w:val="0"/>
        </w:rPr>
        <w:t>5G</w:t>
      </w:r>
      <w:r>
        <w:rPr>
          <w:color w:val="000000"/>
          <w:spacing w:val="0"/>
          <w:w w:val="100"/>
          <w:position w:val="0"/>
        </w:rPr>
        <w:t>网络进一步投入使用；</w:t>
      </w:r>
    </w:p>
    <w:p>
      <w:pPr>
        <w:pStyle w:val="Style5"/>
        <w:keepNext w:val="0"/>
        <w:keepLines w:val="0"/>
        <w:widowControl w:val="0"/>
        <w:numPr>
          <w:ilvl w:val="0"/>
          <w:numId w:val="17"/>
        </w:numPr>
        <w:shd w:val="clear" w:color="auto" w:fill="auto"/>
        <w:tabs>
          <w:tab w:pos="754" w:val="left"/>
        </w:tabs>
        <w:bidi w:val="0"/>
        <w:spacing w:before="0" w:line="367" w:lineRule="exact"/>
        <w:ind w:left="420" w:right="0" w:firstLine="0"/>
        <w:jc w:val="left"/>
      </w:pPr>
      <w:bookmarkStart w:id="256" w:name="bookmark256"/>
      <w:bookmarkEnd w:id="256"/>
      <w:r>
        <w:rPr>
          <w:color w:val="000000"/>
          <w:spacing w:val="0"/>
          <w:w w:val="100"/>
          <w:position w:val="0"/>
        </w:rPr>
        <w:t>网间结算成本：成本上升</w:t>
      </w:r>
      <w:r>
        <w:rPr>
          <w:rFonts w:ascii="Times New Roman" w:eastAsia="Times New Roman" w:hAnsi="Times New Roman" w:cs="Times New Roman"/>
          <w:color w:val="000000"/>
          <w:spacing w:val="0"/>
          <w:w w:val="100"/>
          <w:position w:val="0"/>
        </w:rPr>
        <w:t>9.3%</w:t>
      </w:r>
      <w:r>
        <w:rPr>
          <w:color w:val="000000"/>
          <w:spacing w:val="0"/>
          <w:w w:val="100"/>
          <w:position w:val="0"/>
        </w:rPr>
        <w:t>，国际电信运营商结算支出增加；</w:t>
      </w:r>
    </w:p>
    <w:p>
      <w:pPr>
        <w:pStyle w:val="Style5"/>
        <w:keepNext w:val="0"/>
        <w:keepLines w:val="0"/>
        <w:widowControl w:val="0"/>
        <w:numPr>
          <w:ilvl w:val="0"/>
          <w:numId w:val="17"/>
        </w:numPr>
        <w:shd w:val="clear" w:color="auto" w:fill="auto"/>
        <w:bidi w:val="0"/>
        <w:spacing w:before="0" w:line="370" w:lineRule="exact"/>
        <w:ind w:left="420" w:right="0" w:firstLine="0"/>
        <w:jc w:val="left"/>
      </w:pPr>
      <w:bookmarkStart w:id="257" w:name="bookmark257"/>
      <w:bookmarkEnd w:id="257"/>
      <w:r>
        <w:rPr>
          <w:rFonts w:ascii="Times New Roman" w:eastAsia="Times New Roman" w:hAnsi="Times New Roman" w:cs="Times New Roman"/>
          <w:color w:val="000000"/>
          <w:spacing w:val="0"/>
          <w:w w:val="100"/>
          <w:position w:val="0"/>
        </w:rPr>
        <w:t xml:space="preserve"> </w:t>
      </w:r>
      <w:r>
        <w:rPr>
          <w:color w:val="000000"/>
          <w:spacing w:val="0"/>
          <w:w w:val="100"/>
          <w:position w:val="0"/>
        </w:rPr>
        <w:t>人工成本：同比增长</w:t>
      </w:r>
      <w:r>
        <w:rPr>
          <w:rFonts w:ascii="Times New Roman" w:eastAsia="Times New Roman" w:hAnsi="Times New Roman" w:cs="Times New Roman"/>
          <w:color w:val="000000"/>
          <w:spacing w:val="0"/>
          <w:w w:val="100"/>
          <w:position w:val="0"/>
        </w:rPr>
        <w:t>6.7%</w:t>
      </w:r>
      <w:r>
        <w:rPr>
          <w:color w:val="000000"/>
          <w:spacing w:val="0"/>
          <w:w w:val="100"/>
          <w:position w:val="0"/>
        </w:rPr>
        <w:t>，主要由于公司持续推进激励机制改革，强化激励与绩效挂钩，同时加大 引入创新人才；</w:t>
      </w:r>
    </w:p>
    <w:p>
      <w:pPr>
        <w:pStyle w:val="Style5"/>
        <w:keepNext w:val="0"/>
        <w:keepLines w:val="0"/>
        <w:widowControl w:val="0"/>
        <w:numPr>
          <w:ilvl w:val="0"/>
          <w:numId w:val="17"/>
        </w:numPr>
        <w:shd w:val="clear" w:color="auto" w:fill="auto"/>
        <w:tabs>
          <w:tab w:pos="754" w:val="left"/>
        </w:tabs>
        <w:bidi w:val="0"/>
        <w:spacing w:before="0" w:line="365" w:lineRule="exact"/>
        <w:ind w:left="420" w:right="0" w:firstLine="0"/>
        <w:jc w:val="left"/>
      </w:pPr>
      <w:bookmarkStart w:id="258" w:name="bookmark258"/>
      <w:bookmarkEnd w:id="258"/>
      <w:r>
        <w:rPr>
          <w:color w:val="000000"/>
          <w:spacing w:val="0"/>
          <w:w w:val="100"/>
          <w:position w:val="0"/>
        </w:rPr>
        <w:t>折旧及摊销：得益于近年资本开支的良好管控及网络共建共享，公司在网络基础能力显著增强的同 时，折旧及摊销费用微涨</w:t>
      </w:r>
      <w:r>
        <w:rPr>
          <w:rFonts w:ascii="Times New Roman" w:eastAsia="Times New Roman" w:hAnsi="Times New Roman" w:cs="Times New Roman"/>
          <w:color w:val="000000"/>
          <w:spacing w:val="0"/>
          <w:w w:val="100"/>
          <w:position w:val="0"/>
        </w:rPr>
        <w:t>3.6%</w:t>
      </w:r>
      <w:r>
        <w:rPr>
          <w:color w:val="000000"/>
          <w:spacing w:val="0"/>
          <w:w w:val="100"/>
          <w:position w:val="0"/>
        </w:rPr>
        <w:t>；</w:t>
      </w:r>
    </w:p>
    <w:p>
      <w:pPr>
        <w:pStyle w:val="Style5"/>
        <w:keepNext w:val="0"/>
        <w:keepLines w:val="0"/>
        <w:widowControl w:val="0"/>
        <w:numPr>
          <w:ilvl w:val="0"/>
          <w:numId w:val="17"/>
        </w:numPr>
        <w:shd w:val="clear" w:color="auto" w:fill="auto"/>
        <w:tabs>
          <w:tab w:pos="754" w:val="left"/>
        </w:tabs>
        <w:bidi w:val="0"/>
        <w:spacing w:before="0" w:after="580" w:line="367" w:lineRule="exact"/>
        <w:ind w:left="420" w:right="0" w:firstLine="0"/>
        <w:jc w:val="left"/>
      </w:pPr>
      <w:bookmarkStart w:id="259" w:name="bookmark259"/>
      <w:bookmarkEnd w:id="259"/>
      <w:r>
        <w:rPr>
          <w:color w:val="000000"/>
          <w:spacing w:val="0"/>
          <w:w w:val="100"/>
          <w:position w:val="0"/>
        </w:rPr>
        <w:t>销售通信产品成本：公司销售通信产品成本发生人民币</w:t>
      </w:r>
      <w:r>
        <w:rPr>
          <w:rFonts w:ascii="Times New Roman" w:eastAsia="Times New Roman" w:hAnsi="Times New Roman" w:cs="Times New Roman"/>
          <w:color w:val="000000"/>
          <w:spacing w:val="0"/>
          <w:w w:val="100"/>
          <w:position w:val="0"/>
        </w:rPr>
        <w:t>306.8</w:t>
      </w:r>
      <w:r>
        <w:rPr>
          <w:color w:val="000000"/>
          <w:spacing w:val="0"/>
          <w:w w:val="100"/>
          <w:position w:val="0"/>
        </w:rPr>
        <w:t>亿元，同期销售通信产品收入为人民 币</w:t>
      </w:r>
      <w:r>
        <w:rPr>
          <w:rFonts w:ascii="Times New Roman" w:eastAsia="Times New Roman" w:hAnsi="Times New Roman" w:cs="Times New Roman"/>
          <w:color w:val="000000"/>
          <w:spacing w:val="0"/>
          <w:w w:val="100"/>
          <w:position w:val="0"/>
        </w:rPr>
        <w:t>317.0</w:t>
      </w:r>
      <w:r>
        <w:rPr>
          <w:color w:val="000000"/>
          <w:spacing w:val="0"/>
          <w:w w:val="100"/>
          <w:position w:val="0"/>
        </w:rPr>
        <w:t>亿元，销售通信产品盈利为人民币</w:t>
      </w:r>
      <w:r>
        <w:rPr>
          <w:rFonts w:ascii="Times New Roman" w:eastAsia="Times New Roman" w:hAnsi="Times New Roman" w:cs="Times New Roman"/>
          <w:color w:val="000000"/>
          <w:spacing w:val="0"/>
          <w:w w:val="100"/>
          <w:position w:val="0"/>
        </w:rPr>
        <w:t>10.2</w:t>
      </w:r>
      <w:r>
        <w:rPr>
          <w:color w:val="000000"/>
          <w:spacing w:val="0"/>
          <w:w w:val="100"/>
          <w:position w:val="0"/>
        </w:rPr>
        <w:t>亿元，主要因</w:t>
      </w:r>
      <w:r>
        <w:rPr>
          <w:rFonts w:ascii="Times New Roman" w:eastAsia="Times New Roman" w:hAnsi="Times New Roman" w:cs="Times New Roman"/>
          <w:color w:val="000000"/>
          <w:spacing w:val="0"/>
          <w:w w:val="100"/>
          <w:position w:val="0"/>
        </w:rPr>
        <w:t>5G</w:t>
      </w:r>
      <w:r>
        <w:rPr>
          <w:color w:val="000000"/>
          <w:spacing w:val="0"/>
          <w:w w:val="100"/>
          <w:position w:val="0"/>
        </w:rPr>
        <w:t>用户大幅增长、智慧家庭业务推广 带动终端销售显著提速。</w:t>
      </w:r>
    </w:p>
    <w:p>
      <w:pPr>
        <w:pStyle w:val="Style16"/>
        <w:keepNext/>
        <w:keepLines/>
        <w:widowControl w:val="0"/>
        <w:numPr>
          <w:ilvl w:val="0"/>
          <w:numId w:val="13"/>
        </w:numPr>
        <w:shd w:val="clear" w:color="auto" w:fill="auto"/>
        <w:bidi w:val="0"/>
        <w:spacing w:before="0" w:line="367" w:lineRule="exact"/>
        <w:ind w:left="420" w:right="0" w:firstLine="0"/>
        <w:jc w:val="left"/>
      </w:pPr>
      <w:bookmarkStart w:id="260" w:name="bookmark260"/>
      <w:bookmarkStart w:id="261" w:name="bookmark261"/>
      <w:bookmarkStart w:id="262" w:name="bookmark262"/>
      <w:bookmarkStart w:id="263" w:name="bookmark263"/>
      <w:bookmarkEnd w:id="262"/>
      <w:r>
        <w:rPr>
          <w:color w:val="000000"/>
          <w:spacing w:val="0"/>
          <w:w w:val="100"/>
          <w:position w:val="0"/>
        </w:rPr>
        <w:t>.</w:t>
      </w:r>
      <w:r>
        <w:rPr>
          <w:color w:val="000000"/>
          <w:spacing w:val="0"/>
          <w:w w:val="100"/>
          <w:position w:val="0"/>
        </w:rPr>
        <w:t>主要销售客户及主要供应商情况</w:t>
      </w:r>
      <w:bookmarkEnd w:id="260"/>
      <w:bookmarkEnd w:id="261"/>
      <w:bookmarkEnd w:id="263"/>
    </w:p>
    <w:p>
      <w:pPr>
        <w:pStyle w:val="Style16"/>
        <w:keepNext/>
        <w:keepLines/>
        <w:widowControl w:val="0"/>
        <w:numPr>
          <w:ilvl w:val="0"/>
          <w:numId w:val="19"/>
        </w:numPr>
        <w:shd w:val="clear" w:color="auto" w:fill="auto"/>
        <w:tabs>
          <w:tab w:pos="817" w:val="left"/>
        </w:tabs>
        <w:bidi w:val="0"/>
        <w:spacing w:before="0" w:line="367" w:lineRule="exact"/>
        <w:ind w:left="0" w:right="0"/>
        <w:jc w:val="both"/>
      </w:pPr>
      <w:bookmarkStart w:id="260" w:name="bookmark260"/>
      <w:bookmarkStart w:id="261" w:name="bookmark261"/>
      <w:bookmarkStart w:id="264" w:name="bookmark264"/>
      <w:bookmarkStart w:id="265" w:name="bookmark265"/>
      <w:bookmarkEnd w:id="264"/>
      <w:r>
        <w:rPr>
          <w:color w:val="000000"/>
          <w:spacing w:val="0"/>
          <w:w w:val="100"/>
          <w:position w:val="0"/>
        </w:rPr>
        <w:t>公司主要销售客户情况</w:t>
      </w:r>
      <w:bookmarkEnd w:id="260"/>
      <w:bookmarkEnd w:id="261"/>
      <w:bookmarkEnd w:id="265"/>
    </w:p>
    <w:p>
      <w:pPr>
        <w:pStyle w:val="Style5"/>
        <w:keepNext w:val="0"/>
        <w:keepLines w:val="0"/>
        <w:widowControl w:val="0"/>
        <w:shd w:val="clear" w:color="auto" w:fill="auto"/>
        <w:bidi w:val="0"/>
        <w:spacing w:before="0" w:line="365" w:lineRule="exact"/>
        <w:ind w:left="42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892,313.50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2.72%</w:t>
      </w:r>
      <w:r>
        <w:rPr>
          <w:color w:val="000000"/>
          <w:spacing w:val="0"/>
          <w:w w:val="100"/>
          <w:position w:val="0"/>
        </w:rPr>
        <w:t xml:space="preserve">；其中前五名客户销售额中关联方销售额 </w:t>
      </w:r>
      <w:r>
        <w:rPr>
          <w:rFonts w:ascii="Times New Roman" w:eastAsia="Times New Roman" w:hAnsi="Times New Roman" w:cs="Times New Roman"/>
          <w:color w:val="000000"/>
          <w:spacing w:val="0"/>
          <w:w w:val="100"/>
          <w:position w:val="0"/>
        </w:rPr>
        <w:t>484,029.99</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 xml:space="preserve">1.48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numPr>
          <w:ilvl w:val="0"/>
          <w:numId w:val="19"/>
        </w:numPr>
        <w:shd w:val="clear" w:color="auto" w:fill="auto"/>
        <w:tabs>
          <w:tab w:pos="817" w:val="left"/>
        </w:tabs>
        <w:bidi w:val="0"/>
        <w:spacing w:before="0" w:line="367" w:lineRule="exact"/>
        <w:ind w:left="0" w:right="0" w:firstLine="420"/>
        <w:jc w:val="both"/>
      </w:pPr>
      <w:bookmarkStart w:id="266" w:name="bookmark266"/>
      <w:bookmarkEnd w:id="266"/>
      <w:r>
        <w:rPr>
          <w:b/>
          <w:bCs/>
          <w:color w:val="000000"/>
          <w:spacing w:val="0"/>
          <w:w w:val="100"/>
          <w:position w:val="0"/>
        </w:rPr>
        <w:t>公司主要供应商情况</w:t>
      </w:r>
      <w:r>
        <w:br w:type="page"/>
      </w:r>
    </w:p>
    <w:p>
      <w:pPr>
        <w:pStyle w:val="Style5"/>
        <w:keepNext w:val="0"/>
        <w:keepLines w:val="0"/>
        <w:widowControl w:val="0"/>
        <w:shd w:val="clear" w:color="auto" w:fill="auto"/>
        <w:bidi w:val="0"/>
        <w:spacing w:before="0" w:after="780" w:line="360" w:lineRule="exact"/>
        <w:ind w:left="400" w:right="0" w:firstLine="2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6,018,347.94</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45</w:t>
      </w:r>
      <w:r>
        <w:rPr>
          <w:color w:val="000000"/>
          <w:spacing w:val="0"/>
          <w:w w:val="100"/>
          <w:position w:val="0"/>
        </w:rPr>
        <w:t>%；其中前五名供应商采购额中关联方采 购额</w:t>
      </w:r>
      <w:r>
        <w:rPr>
          <w:rFonts w:ascii="Times New Roman" w:eastAsia="Times New Roman" w:hAnsi="Times New Roman" w:cs="Times New Roman"/>
          <w:color w:val="000000"/>
          <w:spacing w:val="0"/>
          <w:w w:val="100"/>
          <w:position w:val="0"/>
        </w:rPr>
        <w:t>1,461,392.03</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费用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本期数</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32,212,432,115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30,461,035,396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24,779,618,578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25,759,169,107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4,792,173,304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2,963,703,038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96,713,074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226,721,429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w:t>
            </w:r>
          </w:p>
        </w:tc>
      </w:tr>
    </w:tbl>
    <w:p>
      <w:pPr>
        <w:widowControl w:val="0"/>
        <w:spacing w:after="319" w:line="1" w:lineRule="exact"/>
      </w:pPr>
    </w:p>
    <w:p>
      <w:pPr>
        <w:pStyle w:val="Style16"/>
        <w:keepNext/>
        <w:keepLines/>
        <w:widowControl w:val="0"/>
        <w:numPr>
          <w:ilvl w:val="0"/>
          <w:numId w:val="15"/>
        </w:numPr>
        <w:shd w:val="clear" w:color="auto" w:fill="auto"/>
        <w:bidi w:val="0"/>
        <w:spacing w:before="0" w:line="240" w:lineRule="auto"/>
        <w:ind w:left="0" w:right="0" w:firstLine="400"/>
        <w:jc w:val="both"/>
      </w:pPr>
      <w:bookmarkStart w:id="267" w:name="bookmark267"/>
      <w:bookmarkStart w:id="268" w:name="bookmark268"/>
      <w:bookmarkStart w:id="269" w:name="bookmark269"/>
      <w:bookmarkStart w:id="270" w:name="bookmark270"/>
      <w:bookmarkEnd w:id="269"/>
      <w:r>
        <w:rPr>
          <w:color w:val="000000"/>
          <w:spacing w:val="0"/>
          <w:w w:val="100"/>
          <w:position w:val="0"/>
        </w:rPr>
        <w:t>研发投入</w:t>
      </w:r>
      <w:bookmarkEnd w:id="267"/>
      <w:bookmarkEnd w:id="268"/>
      <w:bookmarkEnd w:id="270"/>
    </w:p>
    <w:p>
      <w:pPr>
        <w:pStyle w:val="Style16"/>
        <w:keepNext/>
        <w:keepLines/>
        <w:widowControl w:val="0"/>
        <w:shd w:val="clear" w:color="auto" w:fill="auto"/>
        <w:bidi w:val="0"/>
        <w:spacing w:before="0" w:after="320" w:line="240" w:lineRule="auto"/>
        <w:ind w:left="0" w:right="0" w:firstLine="400"/>
        <w:jc w:val="both"/>
      </w:pPr>
      <w:bookmarkStart w:id="267" w:name="bookmark267"/>
      <w:bookmarkStart w:id="268" w:name="bookmark268"/>
      <w:bookmarkStart w:id="271" w:name="bookmark271"/>
      <w:r>
        <w:rPr>
          <w:color w:val="000000"/>
          <w:spacing w:val="0"/>
          <w:w w:val="100"/>
          <w:position w:val="0"/>
        </w:rPr>
        <w:t>（1）.</w:t>
      </w:r>
      <w:r>
        <w:rPr>
          <w:color w:val="000000"/>
          <w:spacing w:val="0"/>
          <w:w w:val="100"/>
          <w:position w:val="0"/>
        </w:rPr>
        <w:t>研发投入情况表</w:t>
      </w:r>
      <w:bookmarkEnd w:id="267"/>
      <w:bookmarkEnd w:id="268"/>
      <w:bookmarkEnd w:id="271"/>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4478"/>
        <w:gridCol w:w="4752"/>
      </w:tblGrid>
      <w:tr>
        <w:trPr>
          <w:trHeight w:val="28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4,792,173,304</w:t>
            </w:r>
          </w:p>
        </w:tc>
      </w:tr>
      <w:tr>
        <w:trPr>
          <w:trHeight w:val="27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2,965,756,023</w:t>
            </w:r>
          </w:p>
        </w:tc>
      </w:tr>
      <w:tr>
        <w:trPr>
          <w:trHeight w:val="283"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7,757,929,327</w:t>
            </w:r>
          </w:p>
        </w:tc>
      </w:tr>
      <w:tr>
        <w:trPr>
          <w:trHeight w:val="283"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293" w:hRule="exact"/>
        </w:trPr>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研发人员情况表</w:t>
      </w:r>
    </w:p>
    <w:tbl>
      <w:tblPr>
        <w:tblOverlap w:val="never"/>
        <w:jc w:val="center"/>
        <w:tblLayout w:type="fixed"/>
      </w:tblPr>
      <w:tblGrid>
        <w:gridCol w:w="5083"/>
        <w:gridCol w:w="409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14,917</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bl>
    <w:p>
      <w:pPr>
        <w:widowControl w:val="0"/>
        <w:spacing w:after="159" w:line="1" w:lineRule="exact"/>
      </w:pPr>
    </w:p>
    <w:p>
      <w:pPr>
        <w:pStyle w:val="Style16"/>
        <w:keepNext/>
        <w:keepLines/>
        <w:widowControl w:val="0"/>
        <w:numPr>
          <w:ilvl w:val="0"/>
          <w:numId w:val="15"/>
        </w:numPr>
        <w:shd w:val="clear" w:color="auto" w:fill="auto"/>
        <w:bidi w:val="0"/>
        <w:spacing w:before="0" w:line="367" w:lineRule="exact"/>
        <w:ind w:left="0" w:right="0" w:firstLine="400"/>
        <w:jc w:val="both"/>
      </w:pPr>
      <w:bookmarkStart w:id="272" w:name="bookmark272"/>
      <w:bookmarkStart w:id="273" w:name="bookmark273"/>
      <w:bookmarkStart w:id="274" w:name="bookmark274"/>
      <w:bookmarkStart w:id="275" w:name="bookmark275"/>
      <w:bookmarkEnd w:id="274"/>
      <w:r>
        <w:rPr>
          <w:color w:val="000000"/>
          <w:spacing w:val="0"/>
          <w:w w:val="100"/>
          <w:position w:val="0"/>
        </w:rPr>
        <w:t>现金流</w:t>
      </w:r>
      <w:bookmarkEnd w:id="272"/>
      <w:bookmarkEnd w:id="273"/>
      <w:bookmarkEnd w:id="275"/>
    </w:p>
    <w:p>
      <w:pPr>
        <w:pStyle w:val="Style5"/>
        <w:keepNext w:val="0"/>
        <w:keepLines w:val="0"/>
        <w:widowControl w:val="0"/>
        <w:shd w:val="clear" w:color="auto" w:fill="auto"/>
        <w:bidi w:val="0"/>
        <w:spacing w:before="0" w:after="480" w:line="367" w:lineRule="exact"/>
        <w:ind w:left="40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年公司经营活动现金流量净额为人民币</w:t>
      </w:r>
      <w:r>
        <w:rPr>
          <w:rFonts w:ascii="Times New Roman" w:eastAsia="Times New Roman" w:hAnsi="Times New Roman" w:cs="Times New Roman"/>
          <w:color w:val="000000"/>
          <w:spacing w:val="0"/>
          <w:w w:val="100"/>
          <w:position w:val="0"/>
        </w:rPr>
        <w:t>1,119.7</w:t>
      </w:r>
      <w:r>
        <w:rPr>
          <w:color w:val="000000"/>
          <w:spacing w:val="0"/>
          <w:w w:val="100"/>
          <w:position w:val="0"/>
        </w:rPr>
        <w:t>亿元，扣除本年资本开支后自由现金流为人 民币</w:t>
      </w:r>
      <w:r>
        <w:rPr>
          <w:rFonts w:ascii="Times New Roman" w:eastAsia="Times New Roman" w:hAnsi="Times New Roman" w:cs="Times New Roman"/>
          <w:color w:val="000000"/>
          <w:spacing w:val="0"/>
          <w:w w:val="100"/>
          <w:position w:val="0"/>
        </w:rPr>
        <w:t>430.1</w:t>
      </w:r>
      <w:r>
        <w:rPr>
          <w:color w:val="000000"/>
          <w:spacing w:val="0"/>
          <w:w w:val="100"/>
          <w:position w:val="0"/>
        </w:rPr>
        <w:t>亿元。考虑到公司经营活动净现金流入保持稳定以及良好的信贷信用，我们相信公司应有 足够的运营资金满足生产经营需要。</w:t>
      </w:r>
    </w:p>
    <w:p>
      <w:pPr>
        <w:pStyle w:val="Style16"/>
        <w:keepNext/>
        <w:keepLines/>
        <w:widowControl w:val="0"/>
        <w:shd w:val="clear" w:color="auto" w:fill="auto"/>
        <w:bidi w:val="0"/>
        <w:spacing w:before="0" w:after="0" w:line="367" w:lineRule="exact"/>
        <w:ind w:left="0" w:right="0" w:firstLine="400"/>
        <w:jc w:val="both"/>
      </w:pPr>
      <w:bookmarkStart w:id="276" w:name="bookmark276"/>
      <w:bookmarkStart w:id="277" w:name="bookmark277"/>
      <w:bookmarkStart w:id="278" w:name="bookmark278"/>
      <w:bookmarkStart w:id="279" w:name="bookmark279"/>
      <w:r>
        <w:rPr>
          <w:color w:val="000000"/>
          <w:spacing w:val="0"/>
          <w:w w:val="100"/>
          <w:position w:val="0"/>
        </w:rPr>
        <w:t>（</w:t>
      </w:r>
      <w:bookmarkEnd w:id="278"/>
      <w:r>
        <w:rPr>
          <w:color w:val="000000"/>
          <w:spacing w:val="0"/>
          <w:w w:val="100"/>
          <w:position w:val="0"/>
        </w:rPr>
        <w:t>二）资产、负债情况分析</w:t>
      </w:r>
      <w:bookmarkEnd w:id="276"/>
      <w:bookmarkEnd w:id="277"/>
      <w:bookmarkEnd w:id="279"/>
    </w:p>
    <w:p>
      <w:pPr>
        <w:pStyle w:val="Style16"/>
        <w:keepNext/>
        <w:keepLines/>
        <w:widowControl w:val="0"/>
        <w:numPr>
          <w:ilvl w:val="0"/>
          <w:numId w:val="21"/>
        </w:numPr>
        <w:shd w:val="clear" w:color="auto" w:fill="auto"/>
        <w:bidi w:val="0"/>
        <w:spacing w:before="0" w:after="320" w:line="367" w:lineRule="exact"/>
        <w:ind w:left="0" w:right="0" w:firstLine="400"/>
        <w:jc w:val="both"/>
      </w:pPr>
      <w:bookmarkStart w:id="276" w:name="bookmark276"/>
      <w:bookmarkStart w:id="277" w:name="bookmark277"/>
      <w:bookmarkStart w:id="280" w:name="bookmark280"/>
      <w:bookmarkStart w:id="281" w:name="bookmark281"/>
      <w:bookmarkEnd w:id="280"/>
      <w:r>
        <w:rPr>
          <w:color w:val="000000"/>
          <w:spacing w:val="0"/>
          <w:w w:val="100"/>
          <w:position w:val="0"/>
        </w:rPr>
        <w:t>资产及负债状况</w:t>
      </w:r>
      <w:bookmarkEnd w:id="276"/>
      <w:bookmarkEnd w:id="277"/>
      <w:bookmarkEnd w:id="2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0"/>
        <w:gridCol w:w="1675"/>
        <w:gridCol w:w="1142"/>
        <w:gridCol w:w="1646"/>
        <w:gridCol w:w="1118"/>
        <w:gridCol w:w="1277"/>
        <w:gridCol w:w="1891"/>
      </w:tblGrid>
      <w:tr>
        <w:trPr>
          <w:trHeight w:val="1104"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上期期末 数占总资 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w:t>
            </w:r>
          </w:p>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额较上期期 末变动比例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46,273,232,520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35,215,402,475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主要得益于强劲 的自由现金流</w:t>
            </w:r>
          </w:p>
        </w:tc>
      </w:tr>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交易性金融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3,286,826,770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1,560,063,669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主要由于本年所 属子公司增加理 财产品的购买</w:t>
            </w:r>
          </w:p>
        </w:tc>
      </w:tr>
      <w:tr>
        <w:trPr>
          <w:trHeight w:val="30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123,440,429,958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114,882,554,217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主要是伴随</w:t>
            </w:r>
            <w:r>
              <w:rPr>
                <w:rFonts w:ascii="Times New Roman" w:eastAsia="Times New Roman" w:hAnsi="Times New Roman" w:cs="Times New Roman"/>
                <w:color w:val="000000"/>
                <w:spacing w:val="0"/>
                <w:w w:val="100"/>
                <w:position w:val="0"/>
              </w:rPr>
              <w:t>5G</w:t>
            </w:r>
            <w:r>
              <w:rPr>
                <w:color w:val="000000"/>
                <w:spacing w:val="0"/>
                <w:w w:val="100"/>
                <w:position w:val="0"/>
              </w:rPr>
              <w:t>工</w:t>
            </w:r>
          </w:p>
        </w:tc>
      </w:tr>
    </w:tbl>
    <w:tbl>
      <w:tblPr>
        <w:tblOverlap w:val="never"/>
        <w:jc w:val="center"/>
        <w:tblLayout w:type="fixed"/>
      </w:tblPr>
      <w:tblGrid>
        <w:gridCol w:w="1090"/>
        <w:gridCol w:w="1675"/>
        <w:gridCol w:w="1142"/>
        <w:gridCol w:w="1646"/>
        <w:gridCol w:w="1118"/>
        <w:gridCol w:w="1277"/>
        <w:gridCol w:w="1891"/>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程的进一步投入， 应付工程款相应 增加</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2,071,221,495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981,162,727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公司加大在科研 方面的投入</w:t>
            </w:r>
          </w:p>
        </w:tc>
      </w:tr>
      <w:tr>
        <w:trPr>
          <w:trHeight w:val="11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2,997,466,647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left"/>
            </w:pPr>
            <w:r>
              <w:rPr>
                <w:color w:val="000000"/>
                <w:spacing w:val="0"/>
                <w:w w:val="100"/>
                <w:position w:val="0"/>
              </w:rPr>
              <w:t>偿还到期债券，一 年内到期债券重 分类至一年内到 期的非流动负债</w:t>
            </w:r>
          </w:p>
        </w:tc>
      </w:tr>
    </w:tbl>
    <w:p>
      <w:pPr>
        <w:widowControl w:val="0"/>
        <w:spacing w:after="559" w:line="1" w:lineRule="exact"/>
      </w:pPr>
    </w:p>
    <w:p>
      <w:pPr>
        <w:pStyle w:val="Style16"/>
        <w:keepNext/>
        <w:keepLines/>
        <w:widowControl w:val="0"/>
        <w:shd w:val="clear" w:color="auto" w:fill="auto"/>
        <w:tabs>
          <w:tab w:pos="901" w:val="left"/>
        </w:tabs>
        <w:bidi w:val="0"/>
        <w:spacing w:before="0" w:after="120" w:line="361" w:lineRule="exact"/>
        <w:ind w:left="0" w:right="0"/>
        <w:jc w:val="both"/>
      </w:pPr>
      <w:bookmarkStart w:id="282" w:name="bookmark282"/>
      <w:bookmarkStart w:id="283" w:name="bookmark283"/>
      <w:bookmarkStart w:id="284" w:name="bookmark284"/>
      <w:bookmarkStart w:id="285" w:name="bookmark285"/>
      <w:r>
        <w:rPr>
          <w:i/>
          <w:iCs/>
          <w:color w:val="000000"/>
          <w:spacing w:val="0"/>
          <w:w w:val="100"/>
          <w:position w:val="0"/>
        </w:rPr>
        <w:t>（</w:t>
      </w:r>
      <w:bookmarkEnd w:id="284"/>
      <w:r>
        <w:rPr>
          <w:i/>
          <w:iCs/>
          <w:color w:val="000000"/>
          <w:spacing w:val="0"/>
          <w:w w:val="100"/>
          <w:position w:val="0"/>
        </w:rPr>
        <w:t>三）</w:t>
      </w:r>
      <w:r>
        <w:rPr>
          <w:color w:val="000000"/>
          <w:spacing w:val="0"/>
          <w:w w:val="100"/>
          <w:position w:val="0"/>
        </w:rPr>
        <w:tab/>
        <w:t>行业经营性信息分析</w:t>
      </w:r>
      <w:bookmarkEnd w:id="282"/>
      <w:bookmarkEnd w:id="283"/>
      <w:bookmarkEnd w:id="285"/>
    </w:p>
    <w:p>
      <w:pPr>
        <w:pStyle w:val="Style5"/>
        <w:keepNext w:val="0"/>
        <w:keepLines w:val="0"/>
        <w:widowControl w:val="0"/>
        <w:shd w:val="clear" w:color="auto" w:fill="auto"/>
        <w:bidi w:val="0"/>
        <w:spacing w:before="0" w:after="120" w:line="360" w:lineRule="exact"/>
        <w:ind w:left="4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年，我国通信业全面贯彻党的十九大和十九届历次全会精神，深入落实党中央、国务院决策 部署，积极推进网络强国、数字中国建设和智慧社会建设，</w:t>
      </w:r>
      <w:r>
        <w:rPr>
          <w:rFonts w:ascii="Times New Roman" w:eastAsia="Times New Roman" w:hAnsi="Times New Roman" w:cs="Times New Roman"/>
          <w:color w:val="000000"/>
          <w:spacing w:val="0"/>
          <w:w w:val="100"/>
          <w:position w:val="0"/>
        </w:rPr>
        <w:t>5G</w:t>
      </w:r>
      <w:r>
        <w:rPr>
          <w:color w:val="000000"/>
          <w:spacing w:val="0"/>
          <w:w w:val="100"/>
          <w:position w:val="0"/>
        </w:rPr>
        <w:t>和千兆光网等新型信息基础设施建设 覆盖和应用普及全面加速，为打造数字经济新优势、增强经济发展新动能提供有力支撑。行业发展质 量和增长水平进一步提升，实现了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的良好开局。</w:t>
      </w:r>
    </w:p>
    <w:p>
      <w:pPr>
        <w:pStyle w:val="Style5"/>
        <w:keepNext w:val="0"/>
        <w:keepLines w:val="0"/>
        <w:widowControl w:val="0"/>
        <w:shd w:val="clear" w:color="auto" w:fill="auto"/>
        <w:bidi w:val="0"/>
        <w:spacing w:before="0" w:after="120" w:line="363" w:lineRule="exact"/>
        <w:ind w:left="4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年，我国电信业量收保持较快增长，呈现稳中向好态势。全年电信业务收入较上年增长</w:t>
      </w:r>
      <w:r>
        <w:rPr>
          <w:rFonts w:ascii="Times New Roman" w:eastAsia="Times New Roman" w:hAnsi="Times New Roman" w:cs="Times New Roman"/>
          <w:color w:val="000000"/>
          <w:spacing w:val="0"/>
          <w:w w:val="100"/>
          <w:position w:val="0"/>
        </w:rPr>
        <w:t>8%</w:t>
      </w:r>
      <w:r>
        <w:rPr>
          <w:color w:val="000000"/>
          <w:spacing w:val="0"/>
          <w:w w:val="100"/>
          <w:position w:val="0"/>
        </w:rPr>
        <w:t>， 增速同比提升超</w:t>
      </w:r>
      <w:r>
        <w:rPr>
          <w:rFonts w:ascii="Times New Roman" w:eastAsia="Times New Roman" w:hAnsi="Times New Roman" w:cs="Times New Roman"/>
          <w:color w:val="000000"/>
          <w:spacing w:val="0"/>
          <w:w w:val="100"/>
          <w:position w:val="0"/>
        </w:rPr>
        <w:t>4</w:t>
      </w:r>
      <w:r>
        <w:rPr>
          <w:color w:val="000000"/>
          <w:spacing w:val="0"/>
          <w:w w:val="100"/>
          <w:position w:val="0"/>
        </w:rPr>
        <w:t>个百分点。其中，云计算、大数据、数据中心等面向企业的新兴数字化服务快速发 展，拉动电信业务收入增长</w:t>
      </w:r>
      <w:r>
        <w:rPr>
          <w:rFonts w:ascii="Times New Roman" w:eastAsia="Times New Roman" w:hAnsi="Times New Roman" w:cs="Times New Roman"/>
          <w:color w:val="000000"/>
          <w:spacing w:val="0"/>
          <w:w w:val="100"/>
          <w:position w:val="0"/>
        </w:rPr>
        <w:t>3.6</w:t>
      </w:r>
      <w:r>
        <w:rPr>
          <w:color w:val="000000"/>
          <w:spacing w:val="0"/>
          <w:w w:val="100"/>
          <w:position w:val="0"/>
        </w:rPr>
        <w:t>个百分点，成为收入增长第一拉动力；固定、移动数据及互联网业务 继续发挥稳定器作用，对电信业务收入增长贡献率为</w:t>
      </w:r>
      <w:r>
        <w:rPr>
          <w:rFonts w:ascii="Times New Roman" w:eastAsia="Times New Roman" w:hAnsi="Times New Roman" w:cs="Times New Roman"/>
          <w:color w:val="000000"/>
          <w:spacing w:val="0"/>
          <w:w w:val="100"/>
          <w:position w:val="0"/>
        </w:rPr>
        <w:t>39.4%</w:t>
      </w:r>
      <w:r>
        <w:rPr>
          <w:color w:val="000000"/>
          <w:spacing w:val="0"/>
          <w:w w:val="100"/>
          <w:position w:val="0"/>
        </w:rPr>
        <w:t>。</w:t>
      </w:r>
    </w:p>
    <w:p>
      <w:pPr>
        <w:pStyle w:val="Style5"/>
        <w:keepNext w:val="0"/>
        <w:keepLines w:val="0"/>
        <w:widowControl w:val="0"/>
        <w:shd w:val="clear" w:color="auto" w:fill="auto"/>
        <w:bidi w:val="0"/>
        <w:spacing w:before="0" w:after="120" w:line="353" w:lineRule="exact"/>
        <w:ind w:left="420" w:right="0" w:firstLine="420"/>
        <w:jc w:val="both"/>
      </w:pPr>
      <w:r>
        <w:rPr>
          <w:color w:val="000000"/>
          <w:spacing w:val="0"/>
          <w:w w:val="100"/>
          <w:position w:val="0"/>
        </w:rPr>
        <w:t>疫情影响下，非接触性服务普及率大幅提升，用户对网上购物、在线办公等移动互联网应用的依 赖度加深。</w:t>
      </w:r>
      <w:r>
        <w:rPr>
          <w:rFonts w:ascii="Times New Roman" w:eastAsia="Times New Roman" w:hAnsi="Times New Roman" w:cs="Times New Roman"/>
          <w:color w:val="000000"/>
          <w:spacing w:val="0"/>
          <w:w w:val="100"/>
          <w:position w:val="0"/>
        </w:rPr>
        <w:t>2021</w:t>
      </w:r>
      <w:r>
        <w:rPr>
          <w:color w:val="000000"/>
          <w:spacing w:val="0"/>
          <w:w w:val="100"/>
          <w:position w:val="0"/>
        </w:rPr>
        <w:t>年，全年移动互联网接入流量同比增长超</w:t>
      </w:r>
      <w:r>
        <w:rPr>
          <w:rFonts w:ascii="Times New Roman" w:eastAsia="Times New Roman" w:hAnsi="Times New Roman" w:cs="Times New Roman"/>
          <w:color w:val="000000"/>
          <w:spacing w:val="0"/>
          <w:w w:val="100"/>
          <w:position w:val="0"/>
        </w:rPr>
        <w:t>30%</w:t>
      </w:r>
      <w:r>
        <w:rPr>
          <w:color w:val="000000"/>
          <w:spacing w:val="0"/>
          <w:w w:val="100"/>
          <w:position w:val="0"/>
        </w:rPr>
        <w:t>，移动互联网月户均流量</w:t>
      </w:r>
      <w:r>
        <w:rPr>
          <w:color w:val="000000"/>
          <w:spacing w:val="0"/>
          <w:w w:val="100"/>
          <w:position w:val="0"/>
        </w:rPr>
        <w:t>（</w:t>
      </w:r>
      <w:r>
        <w:rPr>
          <w:rFonts w:ascii="Times New Roman" w:eastAsia="Times New Roman" w:hAnsi="Times New Roman" w:cs="Times New Roman"/>
          <w:color w:val="000000"/>
          <w:spacing w:val="0"/>
          <w:w w:val="100"/>
          <w:position w:val="0"/>
        </w:rPr>
        <w:t>DOU</w:t>
      </w:r>
      <w:r>
        <w:rPr>
          <w:color w:val="000000"/>
          <w:spacing w:val="0"/>
          <w:w w:val="100"/>
          <w:position w:val="0"/>
        </w:rPr>
        <w:t>）</w:t>
      </w:r>
      <w:r>
        <w:rPr>
          <w:color w:val="000000"/>
          <w:spacing w:val="0"/>
          <w:w w:val="100"/>
          <w:position w:val="0"/>
        </w:rPr>
        <w:t xml:space="preserve">超 </w:t>
      </w:r>
      <w:r>
        <w:rPr>
          <w:rFonts w:ascii="Times New Roman" w:eastAsia="Times New Roman" w:hAnsi="Times New Roman" w:cs="Times New Roman"/>
          <w:color w:val="000000"/>
          <w:spacing w:val="0"/>
          <w:w w:val="100"/>
          <w:position w:val="0"/>
        </w:rPr>
        <w:t>13GB/</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月。</w:t>
      </w:r>
    </w:p>
    <w:p>
      <w:pPr>
        <w:pStyle w:val="Style5"/>
        <w:keepNext w:val="0"/>
        <w:keepLines w:val="0"/>
        <w:widowControl w:val="0"/>
        <w:shd w:val="clear" w:color="auto" w:fill="auto"/>
        <w:bidi w:val="0"/>
        <w:spacing w:before="0" w:after="460" w:line="362" w:lineRule="exact"/>
        <w:ind w:left="4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年，全行业加快</w:t>
      </w:r>
      <w:r>
        <w:rPr>
          <w:rFonts w:ascii="Times New Roman" w:eastAsia="Times New Roman" w:hAnsi="Times New Roman" w:cs="Times New Roman"/>
          <w:color w:val="000000"/>
          <w:spacing w:val="0"/>
          <w:w w:val="100"/>
          <w:position w:val="0"/>
        </w:rPr>
        <w:t>“</w:t>
      </w:r>
      <w:r>
        <w:rPr>
          <w:color w:val="000000"/>
          <w:spacing w:val="0"/>
          <w:w w:val="100"/>
          <w:position w:val="0"/>
        </w:rPr>
        <w:t>双千兆</w:t>
      </w:r>
      <w:r>
        <w:rPr>
          <w:rFonts w:ascii="Times New Roman" w:eastAsia="Times New Roman" w:hAnsi="Times New Roman" w:cs="Times New Roman"/>
          <w:color w:val="000000"/>
          <w:spacing w:val="0"/>
          <w:w w:val="100"/>
          <w:position w:val="0"/>
        </w:rPr>
        <w:t>”</w:t>
      </w:r>
      <w:r>
        <w:rPr>
          <w:color w:val="000000"/>
          <w:spacing w:val="0"/>
          <w:w w:val="100"/>
          <w:position w:val="0"/>
        </w:rPr>
        <w:t>建设，推动国家大数据中心发展，构建云网融合新型基础设施，赋 能社会数字化转型的供给能力不断提升，并持续推进电信普遍服务，全国所有行政村实现</w:t>
      </w:r>
      <w:r>
        <w:rPr>
          <w:rFonts w:ascii="Times New Roman" w:eastAsia="Times New Roman" w:hAnsi="Times New Roman" w:cs="Times New Roman"/>
          <w:color w:val="000000"/>
          <w:spacing w:val="0"/>
          <w:w w:val="100"/>
          <w:position w:val="0"/>
        </w:rPr>
        <w:t>“</w:t>
      </w:r>
      <w:r>
        <w:rPr>
          <w:color w:val="000000"/>
          <w:spacing w:val="0"/>
          <w:w w:val="100"/>
          <w:position w:val="0"/>
        </w:rPr>
        <w:t>村村通宽 带</w:t>
      </w:r>
      <w:r>
        <w:rPr>
          <w:rFonts w:ascii="Times New Roman" w:eastAsia="Times New Roman" w:hAnsi="Times New Roman" w:cs="Times New Roman"/>
          <w:color w:val="000000"/>
          <w:spacing w:val="0"/>
          <w:w w:val="100"/>
          <w:position w:val="0"/>
        </w:rPr>
        <w:t>”</w:t>
      </w:r>
      <w:r>
        <w:rPr>
          <w:color w:val="000000"/>
          <w:spacing w:val="0"/>
          <w:w w:val="100"/>
          <w:position w:val="0"/>
        </w:rPr>
        <w:t>。目前我国已建成全球最大</w:t>
      </w:r>
      <w:r>
        <w:rPr>
          <w:rFonts w:ascii="Times New Roman" w:eastAsia="Times New Roman" w:hAnsi="Times New Roman" w:cs="Times New Roman"/>
          <w:color w:val="000000"/>
          <w:spacing w:val="0"/>
          <w:w w:val="100"/>
          <w:position w:val="0"/>
        </w:rPr>
        <w:t>5G</w:t>
      </w:r>
      <w:r>
        <w:rPr>
          <w:color w:val="000000"/>
          <w:spacing w:val="0"/>
          <w:w w:val="100"/>
          <w:position w:val="0"/>
        </w:rPr>
        <w:t>网，全年</w:t>
      </w:r>
      <w:r>
        <w:rPr>
          <w:rFonts w:ascii="Times New Roman" w:eastAsia="Times New Roman" w:hAnsi="Times New Roman" w:cs="Times New Roman"/>
          <w:color w:val="000000"/>
          <w:spacing w:val="0"/>
          <w:w w:val="100"/>
          <w:position w:val="0"/>
        </w:rPr>
        <w:t>5G</w:t>
      </w:r>
      <w:r>
        <w:rPr>
          <w:color w:val="000000"/>
          <w:spacing w:val="0"/>
          <w:w w:val="100"/>
          <w:position w:val="0"/>
        </w:rPr>
        <w:t>投资</w:t>
      </w:r>
      <w:r>
        <w:rPr>
          <w:rFonts w:ascii="Times New Roman" w:eastAsia="Times New Roman" w:hAnsi="Times New Roman" w:cs="Times New Roman"/>
          <w:color w:val="000000"/>
          <w:spacing w:val="0"/>
          <w:w w:val="100"/>
          <w:position w:val="0"/>
        </w:rPr>
        <w:t>1,849</w:t>
      </w:r>
      <w:r>
        <w:rPr>
          <w:color w:val="000000"/>
          <w:spacing w:val="0"/>
          <w:w w:val="100"/>
          <w:position w:val="0"/>
        </w:rPr>
        <w:t>亿元，占电信固定资产投资比达</w:t>
      </w:r>
      <w:r>
        <w:rPr>
          <w:rFonts w:ascii="Times New Roman" w:eastAsia="Times New Roman" w:hAnsi="Times New Roman" w:cs="Times New Roman"/>
          <w:color w:val="000000"/>
          <w:spacing w:val="0"/>
          <w:w w:val="100"/>
          <w:position w:val="0"/>
        </w:rPr>
        <w:t>45.6%</w:t>
      </w:r>
      <w:r>
        <w:rPr>
          <w:color w:val="000000"/>
          <w:spacing w:val="0"/>
          <w:w w:val="100"/>
          <w:position w:val="0"/>
        </w:rPr>
        <w:t>， 累计建成并开通</w:t>
      </w:r>
      <w:r>
        <w:rPr>
          <w:rFonts w:ascii="Times New Roman" w:eastAsia="Times New Roman" w:hAnsi="Times New Roman" w:cs="Times New Roman"/>
          <w:color w:val="000000"/>
          <w:spacing w:val="0"/>
          <w:w w:val="100"/>
          <w:position w:val="0"/>
        </w:rPr>
        <w:t>5G</w:t>
      </w:r>
      <w:r>
        <w:rPr>
          <w:color w:val="000000"/>
          <w:spacing w:val="0"/>
          <w:w w:val="100"/>
          <w:position w:val="0"/>
        </w:rPr>
        <w:t>基站</w:t>
      </w:r>
      <w:r>
        <w:rPr>
          <w:rFonts w:ascii="Times New Roman" w:eastAsia="Times New Roman" w:hAnsi="Times New Roman" w:cs="Times New Roman"/>
          <w:color w:val="000000"/>
          <w:spacing w:val="0"/>
          <w:w w:val="100"/>
          <w:position w:val="0"/>
        </w:rPr>
        <w:t>142.5</w:t>
      </w:r>
      <w:r>
        <w:rPr>
          <w:color w:val="000000"/>
          <w:spacing w:val="0"/>
          <w:w w:val="100"/>
          <w:position w:val="0"/>
        </w:rPr>
        <w:t>万个，其中共建共享</w:t>
      </w:r>
      <w:r>
        <w:rPr>
          <w:rFonts w:ascii="Times New Roman" w:eastAsia="Times New Roman" w:hAnsi="Times New Roman" w:cs="Times New Roman"/>
          <w:color w:val="000000"/>
          <w:spacing w:val="0"/>
          <w:w w:val="100"/>
          <w:position w:val="0"/>
        </w:rPr>
        <w:t>5G</w:t>
      </w:r>
      <w:r>
        <w:rPr>
          <w:color w:val="000000"/>
          <w:spacing w:val="0"/>
          <w:w w:val="100"/>
          <w:position w:val="0"/>
        </w:rPr>
        <w:t>基站达</w:t>
      </w:r>
      <w:r>
        <w:rPr>
          <w:rFonts w:ascii="Times New Roman" w:eastAsia="Times New Roman" w:hAnsi="Times New Roman" w:cs="Times New Roman"/>
          <w:color w:val="000000"/>
          <w:spacing w:val="0"/>
          <w:w w:val="100"/>
          <w:position w:val="0"/>
        </w:rPr>
        <w:t>84</w:t>
      </w:r>
      <w:r>
        <w:rPr>
          <w:color w:val="000000"/>
          <w:spacing w:val="0"/>
          <w:w w:val="100"/>
          <w:position w:val="0"/>
        </w:rPr>
        <w:t>万个，实现覆盖全国所有地级市城 区、超过</w:t>
      </w:r>
      <w:r>
        <w:rPr>
          <w:rFonts w:ascii="Times New Roman" w:eastAsia="Times New Roman" w:hAnsi="Times New Roman" w:cs="Times New Roman"/>
          <w:color w:val="000000"/>
          <w:spacing w:val="0"/>
          <w:w w:val="100"/>
          <w:position w:val="0"/>
        </w:rPr>
        <w:t>98%</w:t>
      </w:r>
      <w:r>
        <w:rPr>
          <w:color w:val="000000"/>
          <w:spacing w:val="0"/>
          <w:w w:val="100"/>
          <w:position w:val="0"/>
        </w:rPr>
        <w:t>的县城城区和</w:t>
      </w:r>
      <w:r>
        <w:rPr>
          <w:rFonts w:ascii="Times New Roman" w:eastAsia="Times New Roman" w:hAnsi="Times New Roman" w:cs="Times New Roman"/>
          <w:color w:val="000000"/>
          <w:spacing w:val="0"/>
          <w:w w:val="100"/>
          <w:position w:val="0"/>
        </w:rPr>
        <w:t>80%</w:t>
      </w:r>
      <w:r>
        <w:rPr>
          <w:color w:val="000000"/>
          <w:spacing w:val="0"/>
          <w:w w:val="100"/>
          <w:position w:val="0"/>
        </w:rPr>
        <w:t>的乡镇镇区，并逐步向有需求的农村地区推进。全国已有超过</w:t>
      </w:r>
      <w:r>
        <w:rPr>
          <w:rFonts w:ascii="Times New Roman" w:eastAsia="Times New Roman" w:hAnsi="Times New Roman" w:cs="Times New Roman"/>
          <w:color w:val="000000"/>
          <w:spacing w:val="0"/>
          <w:w w:val="100"/>
          <w:position w:val="0"/>
        </w:rPr>
        <w:t>300</w:t>
      </w:r>
      <w:r>
        <w:rPr>
          <w:color w:val="000000"/>
          <w:spacing w:val="0"/>
          <w:w w:val="100"/>
          <w:position w:val="0"/>
        </w:rPr>
        <w:t>个 城市启动千兆光纤宽带网络建设，截至</w:t>
      </w:r>
      <w:r>
        <w:rPr>
          <w:rFonts w:ascii="Times New Roman" w:eastAsia="Times New Roman" w:hAnsi="Times New Roman" w:cs="Times New Roman"/>
          <w:color w:val="000000"/>
          <w:spacing w:val="0"/>
          <w:w w:val="100"/>
          <w:position w:val="0"/>
        </w:rPr>
        <w:t>2021</w:t>
      </w:r>
      <w:r>
        <w:rPr>
          <w:color w:val="000000"/>
          <w:spacing w:val="0"/>
          <w:w w:val="100"/>
          <w:position w:val="0"/>
        </w:rPr>
        <w:t>年底已建成</w:t>
      </w:r>
      <w:r>
        <w:rPr>
          <w:rFonts w:ascii="Times New Roman" w:eastAsia="Times New Roman" w:hAnsi="Times New Roman" w:cs="Times New Roman"/>
          <w:color w:val="000000"/>
          <w:spacing w:val="0"/>
          <w:w w:val="100"/>
          <w:position w:val="0"/>
        </w:rPr>
        <w:t>10G PON</w:t>
      </w:r>
      <w:r>
        <w:rPr>
          <w:color w:val="000000"/>
          <w:spacing w:val="0"/>
          <w:w w:val="100"/>
          <w:position w:val="0"/>
        </w:rPr>
        <w:t xml:space="preserve">端口 </w:t>
      </w:r>
      <w:r>
        <w:rPr>
          <w:rFonts w:ascii="Times New Roman" w:eastAsia="Times New Roman" w:hAnsi="Times New Roman" w:cs="Times New Roman"/>
          <w:color w:val="000000"/>
          <w:spacing w:val="0"/>
          <w:w w:val="100"/>
          <w:position w:val="0"/>
        </w:rPr>
        <w:t>786</w:t>
      </w:r>
      <w:r>
        <w:rPr>
          <w:color w:val="000000"/>
          <w:spacing w:val="0"/>
          <w:w w:val="100"/>
          <w:position w:val="0"/>
        </w:rPr>
        <w:t>万个，具备覆盖</w:t>
      </w:r>
      <w:r>
        <w:rPr>
          <w:rFonts w:ascii="Times New Roman" w:eastAsia="Times New Roman" w:hAnsi="Times New Roman" w:cs="Times New Roman"/>
          <w:color w:val="000000"/>
          <w:spacing w:val="0"/>
          <w:w w:val="100"/>
          <w:position w:val="0"/>
        </w:rPr>
        <w:t>3</w:t>
      </w:r>
      <w:r>
        <w:rPr>
          <w:color w:val="000000"/>
          <w:spacing w:val="0"/>
          <w:w w:val="100"/>
          <w:position w:val="0"/>
        </w:rPr>
        <w:t>亿户家 庭的能力。</w:t>
      </w:r>
    </w:p>
    <w:p>
      <w:pPr>
        <w:pStyle w:val="Style16"/>
        <w:keepNext/>
        <w:keepLines/>
        <w:widowControl w:val="0"/>
        <w:shd w:val="clear" w:color="auto" w:fill="auto"/>
        <w:tabs>
          <w:tab w:pos="901" w:val="left"/>
        </w:tabs>
        <w:bidi w:val="0"/>
        <w:spacing w:before="0" w:after="0" w:line="361" w:lineRule="exact"/>
        <w:ind w:left="0" w:right="0"/>
        <w:jc w:val="both"/>
      </w:pPr>
      <w:bookmarkStart w:id="286" w:name="bookmark286"/>
      <w:bookmarkStart w:id="287" w:name="bookmark287"/>
      <w:bookmarkStart w:id="288" w:name="bookmark288"/>
      <w:bookmarkStart w:id="289" w:name="bookmark289"/>
      <w:r>
        <w:rPr>
          <w:color w:val="000000"/>
          <w:spacing w:val="0"/>
          <w:w w:val="100"/>
          <w:position w:val="0"/>
        </w:rPr>
        <w:t>（</w:t>
      </w:r>
      <w:bookmarkEnd w:id="288"/>
      <w:r>
        <w:rPr>
          <w:color w:val="000000"/>
          <w:spacing w:val="0"/>
          <w:w w:val="100"/>
          <w:position w:val="0"/>
        </w:rPr>
        <w:t>四）</w:t>
        <w:tab/>
        <w:t>投资状况分析</w:t>
      </w:r>
      <w:bookmarkEnd w:id="286"/>
      <w:bookmarkEnd w:id="287"/>
      <w:bookmarkEnd w:id="289"/>
    </w:p>
    <w:p>
      <w:pPr>
        <w:pStyle w:val="Style16"/>
        <w:keepNext/>
        <w:keepLines/>
        <w:widowControl w:val="0"/>
        <w:shd w:val="clear" w:color="auto" w:fill="auto"/>
        <w:bidi w:val="0"/>
        <w:spacing w:before="0" w:after="120" w:line="361" w:lineRule="exact"/>
        <w:ind w:left="0" w:right="0"/>
        <w:jc w:val="both"/>
      </w:pPr>
      <w:bookmarkStart w:id="286" w:name="bookmark286"/>
      <w:bookmarkStart w:id="287" w:name="bookmark287"/>
      <w:bookmarkStart w:id="290" w:name="bookmark290"/>
      <w:r>
        <w:rPr>
          <w:color w:val="000000"/>
          <w:spacing w:val="0"/>
          <w:w w:val="100"/>
          <w:position w:val="0"/>
        </w:rPr>
        <w:t>对外股权投资总体分析</w:t>
      </w:r>
      <w:bookmarkEnd w:id="286"/>
      <w:bookmarkEnd w:id="287"/>
      <w:bookmarkEnd w:id="290"/>
    </w:p>
    <w:p>
      <w:pPr>
        <w:pStyle w:val="Style5"/>
        <w:keepNext w:val="0"/>
        <w:keepLines w:val="0"/>
        <w:widowControl w:val="0"/>
        <w:shd w:val="clear" w:color="auto" w:fill="auto"/>
        <w:bidi w:val="0"/>
        <w:spacing w:before="0" w:after="120" w:line="355" w:lineRule="exact"/>
        <w:ind w:left="420" w:right="0" w:firstLine="420"/>
        <w:jc w:val="both"/>
      </w:pPr>
      <w:r>
        <w:rPr>
          <w:color w:val="000000"/>
          <w:spacing w:val="0"/>
          <w:w w:val="100"/>
          <w:position w:val="0"/>
        </w:rPr>
        <w:t>公司本年无新增重大股权投资，报告期内持有的重大股权投资包括：联通运营公司持有于香港上 市的铁塔公司普通股股份约</w:t>
      </w:r>
      <w:r>
        <w:rPr>
          <w:rFonts w:ascii="Times New Roman" w:eastAsia="Times New Roman" w:hAnsi="Times New Roman" w:cs="Times New Roman"/>
          <w:color w:val="000000"/>
          <w:spacing w:val="0"/>
          <w:w w:val="100"/>
          <w:position w:val="0"/>
        </w:rPr>
        <w:t>3,634,584</w:t>
      </w:r>
      <w:r>
        <w:rPr>
          <w:color w:val="000000"/>
          <w:spacing w:val="0"/>
          <w:w w:val="100"/>
          <w:position w:val="0"/>
        </w:rPr>
        <w:t>万股，约占铁塔公司总股份的</w:t>
      </w:r>
      <w:r>
        <w:rPr>
          <w:rFonts w:ascii="Times New Roman" w:eastAsia="Times New Roman" w:hAnsi="Times New Roman" w:cs="Times New Roman"/>
          <w:color w:val="000000"/>
          <w:spacing w:val="0"/>
          <w:w w:val="100"/>
          <w:position w:val="0"/>
        </w:rPr>
        <w:t>20.65%</w:t>
      </w:r>
      <w:r>
        <w:rPr>
          <w:color w:val="000000"/>
          <w:spacing w:val="0"/>
          <w:w w:val="100"/>
          <w:position w:val="0"/>
        </w:rPr>
        <w:t>；联通运营公司对招联消 费金融有限公司投资成本共计人民币</w:t>
      </w:r>
      <w:r>
        <w:rPr>
          <w:rFonts w:ascii="Times New Roman" w:eastAsia="Times New Roman" w:hAnsi="Times New Roman" w:cs="Times New Roman"/>
          <w:color w:val="000000"/>
          <w:spacing w:val="0"/>
          <w:w w:val="100"/>
          <w:position w:val="0"/>
        </w:rPr>
        <w:t>26</w:t>
      </w:r>
      <w:r>
        <w:rPr>
          <w:color w:val="000000"/>
          <w:spacing w:val="0"/>
          <w:w w:val="100"/>
          <w:position w:val="0"/>
        </w:rPr>
        <w:t>亿元，持股比例为</w:t>
      </w:r>
      <w:r>
        <w:rPr>
          <w:rFonts w:ascii="Times New Roman" w:eastAsia="Times New Roman" w:hAnsi="Times New Roman" w:cs="Times New Roman"/>
          <w:color w:val="000000"/>
          <w:spacing w:val="0"/>
          <w:w w:val="100"/>
          <w:position w:val="0"/>
        </w:rPr>
        <w:t>50%</w:t>
      </w:r>
      <w:r>
        <w:rPr>
          <w:color w:val="000000"/>
          <w:spacing w:val="0"/>
          <w:w w:val="100"/>
          <w:position w:val="0"/>
        </w:rPr>
        <w:t>；联通红筹公司持有西班牙电信普通 股股份约</w:t>
      </w:r>
      <w:r>
        <w:rPr>
          <w:rFonts w:ascii="Times New Roman" w:eastAsia="Times New Roman" w:hAnsi="Times New Roman" w:cs="Times New Roman"/>
          <w:color w:val="000000"/>
          <w:spacing w:val="0"/>
          <w:w w:val="100"/>
          <w:position w:val="0"/>
        </w:rPr>
        <w:t>6,420</w:t>
      </w:r>
      <w:r>
        <w:rPr>
          <w:color w:val="000000"/>
          <w:spacing w:val="0"/>
          <w:w w:val="100"/>
          <w:position w:val="0"/>
        </w:rPr>
        <w:t>万股。</w:t>
      </w:r>
    </w:p>
    <w:p>
      <w:pPr>
        <w:pStyle w:val="Style16"/>
        <w:keepNext/>
        <w:keepLines/>
        <w:widowControl w:val="0"/>
        <w:numPr>
          <w:ilvl w:val="0"/>
          <w:numId w:val="23"/>
        </w:numPr>
        <w:shd w:val="clear" w:color="auto" w:fill="auto"/>
        <w:bidi w:val="0"/>
        <w:spacing w:before="0" w:line="361" w:lineRule="exact"/>
        <w:ind w:left="0" w:right="0"/>
        <w:jc w:val="left"/>
      </w:pPr>
      <w:bookmarkStart w:id="291" w:name="bookmark291"/>
      <w:bookmarkStart w:id="292" w:name="bookmark292"/>
      <w:bookmarkStart w:id="293" w:name="bookmark293"/>
      <w:bookmarkStart w:id="294" w:name="bookmark294"/>
      <w:bookmarkEnd w:id="293"/>
      <w:r>
        <w:rPr>
          <w:color w:val="000000"/>
          <w:spacing w:val="0"/>
          <w:w w:val="100"/>
          <w:position w:val="0"/>
        </w:rPr>
        <w:t>重大的非股权投资</w:t>
      </w:r>
      <w:bookmarkEnd w:id="291"/>
      <w:bookmarkEnd w:id="292"/>
      <w:bookmarkEnd w:id="294"/>
    </w:p>
    <w:p>
      <w:pPr>
        <w:pStyle w:val="Style5"/>
        <w:keepNext w:val="0"/>
        <w:keepLines w:val="0"/>
        <w:widowControl w:val="0"/>
        <w:shd w:val="clear" w:color="auto" w:fill="auto"/>
        <w:bidi w:val="0"/>
        <w:spacing w:before="0" w:after="480" w:line="361" w:lineRule="exact"/>
        <w:ind w:left="4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年公司累计完成资本开支</w:t>
      </w:r>
      <w:r>
        <w:rPr>
          <w:rFonts w:ascii="Times New Roman" w:eastAsia="Times New Roman" w:hAnsi="Times New Roman" w:cs="Times New Roman"/>
          <w:color w:val="000000"/>
          <w:spacing w:val="0"/>
          <w:w w:val="100"/>
          <w:position w:val="0"/>
        </w:rPr>
        <w:t>689.6</w:t>
      </w:r>
      <w:r>
        <w:rPr>
          <w:color w:val="000000"/>
          <w:spacing w:val="0"/>
          <w:w w:val="100"/>
          <w:position w:val="0"/>
        </w:rPr>
        <w:t>亿元，重点保障移动网、宽带数据网、基础设施和传送网专 业，总计投资</w:t>
      </w:r>
      <w:r>
        <w:rPr>
          <w:rFonts w:ascii="Times New Roman" w:eastAsia="Times New Roman" w:hAnsi="Times New Roman" w:cs="Times New Roman"/>
          <w:color w:val="000000"/>
          <w:spacing w:val="0"/>
          <w:w w:val="100"/>
          <w:position w:val="0"/>
        </w:rPr>
        <w:t>641.1</w:t>
      </w:r>
      <w:r>
        <w:rPr>
          <w:color w:val="000000"/>
          <w:spacing w:val="0"/>
          <w:w w:val="100"/>
          <w:position w:val="0"/>
        </w:rPr>
        <w:t>亿元，其中</w:t>
      </w:r>
      <w:r>
        <w:rPr>
          <w:rFonts w:ascii="Times New Roman" w:eastAsia="Times New Roman" w:hAnsi="Times New Roman" w:cs="Times New Roman"/>
          <w:color w:val="000000"/>
          <w:spacing w:val="0"/>
          <w:w w:val="100"/>
          <w:position w:val="0"/>
        </w:rPr>
        <w:t>5G</w:t>
      </w:r>
      <w:r>
        <w:rPr>
          <w:color w:val="000000"/>
          <w:spacing w:val="0"/>
          <w:w w:val="100"/>
          <w:position w:val="0"/>
        </w:rPr>
        <w:t>完成投资</w:t>
      </w:r>
      <w:r>
        <w:rPr>
          <w:rFonts w:ascii="Times New Roman" w:eastAsia="Times New Roman" w:hAnsi="Times New Roman" w:cs="Times New Roman"/>
          <w:color w:val="000000"/>
          <w:spacing w:val="0"/>
          <w:w w:val="100"/>
          <w:position w:val="0"/>
        </w:rPr>
        <w:t>320.5</w:t>
      </w:r>
      <w:r>
        <w:rPr>
          <w:color w:val="000000"/>
          <w:spacing w:val="0"/>
          <w:w w:val="100"/>
          <w:position w:val="0"/>
        </w:rPr>
        <w:t>亿元。资金来源包括自筹、借款及募集资金。公司 坚持低碳创新经营，积极落实新基建要求，全面深入推进网络共建共享，资源利用效能大幅提升，持 续强化网络服务支撑能力，助力公司高质量发展。此外，公司所属联通集团财务有限公司本年开展了 同业存单、政策性银行债、商业银行债等投资业务。</w:t>
      </w:r>
    </w:p>
    <w:p>
      <w:pPr>
        <w:pStyle w:val="Style25"/>
        <w:keepNext w:val="0"/>
        <w:keepLines w:val="0"/>
        <w:widowControl w:val="0"/>
        <w:shd w:val="clear" w:color="auto" w:fill="auto"/>
        <w:bidi w:val="0"/>
        <w:spacing w:before="0" w:after="0" w:line="240" w:lineRule="auto"/>
        <w:ind w:left="269" w:right="0" w:firstLine="0"/>
        <w:jc w:val="left"/>
      </w:pPr>
      <w:r>
        <w:rPr>
          <w:b/>
          <w:bCs/>
          <w:color w:val="000000"/>
          <w:spacing w:val="0"/>
          <w:w w:val="100"/>
          <w:position w:val="0"/>
        </w:rPr>
        <w:t>2.</w:t>
      </w:r>
      <w:r>
        <w:rPr>
          <w:b/>
          <w:bCs/>
          <w:color w:val="000000"/>
          <w:spacing w:val="0"/>
          <w:w w:val="100"/>
          <w:position w:val="0"/>
        </w:rPr>
        <w:t>以公允价值计量的金融资产</w:t>
      </w:r>
    </w:p>
    <w:tbl>
      <w:tblPr>
        <w:tblOverlap w:val="never"/>
        <w:jc w:val="center"/>
        <w:tblLayout w:type="fixed"/>
      </w:tblPr>
      <w:tblGrid>
        <w:gridCol w:w="1896"/>
        <w:gridCol w:w="1896"/>
        <w:gridCol w:w="1896"/>
        <w:gridCol w:w="1824"/>
        <w:gridCol w:w="2155"/>
      </w:tblGrid>
      <w:tr>
        <w:trPr>
          <w:trHeight w:val="840"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当期变动</w:t>
            </w:r>
          </w:p>
        </w:tc>
        <w:tc>
          <w:tcPr>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对当期利润的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1,560,063,669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3,286,826,770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1,726,763,101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-59,093,333.37</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22,628,955,841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25,603,040,836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2,974,084,995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819,866,088.26</w:t>
            </w:r>
          </w:p>
        </w:tc>
      </w:tr>
      <w:tr>
        <w:trPr>
          <w:trHeight w:val="58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933,690,125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802,977,478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-130,712,647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36,557,334.46</w:t>
            </w:r>
          </w:p>
        </w:tc>
      </w:tr>
      <w:tr>
        <w:trPr>
          <w:trHeight w:val="58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子公司持有的交 通银行股票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113,721,803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117,021,766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8,613,320.78</w:t>
            </w:r>
          </w:p>
        </w:tc>
      </w:tr>
      <w:tr>
        <w:trPr>
          <w:trHeight w:val="58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子公司持有的西 班牙电信股票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1,671,955,957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1,785,554,160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113,598,203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169,889,567.67</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721,083,937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906,275,865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185,191,928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24,731,719.62</w:t>
            </w:r>
          </w:p>
        </w:tc>
      </w:tr>
      <w:tr>
        <w:trPr>
          <w:trHeight w:val="58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一年内到期的非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121,057,685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121,057,685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4,115,231.06</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52,623,151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103,026,537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50,403,386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0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27,682,094,483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32,725,781,097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5,043,686,614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1,004,679,928.48</w:t>
            </w:r>
          </w:p>
        </w:tc>
      </w:tr>
    </w:tbl>
    <w:p>
      <w:pPr>
        <w:widowControl w:val="0"/>
        <w:spacing w:after="399" w:line="1" w:lineRule="exact"/>
      </w:pPr>
    </w:p>
    <w:p>
      <w:pPr>
        <w:pStyle w:val="Style16"/>
        <w:keepNext/>
        <w:keepLines/>
        <w:widowControl w:val="0"/>
        <w:shd w:val="clear" w:color="auto" w:fill="auto"/>
        <w:bidi w:val="0"/>
        <w:spacing w:before="0"/>
        <w:ind w:left="0" w:right="0"/>
        <w:jc w:val="both"/>
      </w:pPr>
      <w:bookmarkStart w:id="295" w:name="bookmark295"/>
      <w:bookmarkStart w:id="296" w:name="bookmark296"/>
      <w:bookmarkStart w:id="297" w:name="bookmark297"/>
      <w:bookmarkStart w:id="298" w:name="bookmark298"/>
      <w:r>
        <w:rPr>
          <w:color w:val="000000"/>
          <w:spacing w:val="0"/>
          <w:w w:val="100"/>
          <w:position w:val="0"/>
        </w:rPr>
        <w:t>（</w:t>
      </w:r>
      <w:bookmarkEnd w:id="297"/>
      <w:r>
        <w:rPr>
          <w:color w:val="000000"/>
          <w:spacing w:val="0"/>
          <w:w w:val="100"/>
          <w:position w:val="0"/>
        </w:rPr>
        <w:t>五）主要控股参股公司分析</w:t>
      </w:r>
      <w:bookmarkEnd w:id="295"/>
      <w:bookmarkEnd w:id="296"/>
      <w:bookmarkEnd w:id="298"/>
    </w:p>
    <w:p>
      <w:pPr>
        <w:pStyle w:val="Style5"/>
        <w:keepNext w:val="0"/>
        <w:keepLines w:val="0"/>
        <w:widowControl w:val="0"/>
        <w:shd w:val="clear" w:color="auto" w:fill="auto"/>
        <w:bidi w:val="0"/>
        <w:spacing w:before="0" w:line="360" w:lineRule="exact"/>
        <w:ind w:left="420" w:right="0" w:firstLine="0"/>
        <w:jc w:val="left"/>
      </w:pPr>
      <w:r>
        <w:rPr>
          <w:color w:val="000000"/>
          <w:spacing w:val="0"/>
          <w:w w:val="100"/>
          <w:position w:val="0"/>
        </w:rPr>
        <w:t>公司主要子公司为联通运营公司，详见本节“一、经营情况讨论与分析”。</w:t>
      </w:r>
    </w:p>
    <w:p>
      <w:pPr>
        <w:pStyle w:val="Style5"/>
        <w:keepNext w:val="0"/>
        <w:keepLines w:val="0"/>
        <w:widowControl w:val="0"/>
        <w:shd w:val="clear" w:color="auto" w:fill="auto"/>
        <w:bidi w:val="0"/>
        <w:spacing w:before="0" w:line="360" w:lineRule="exact"/>
        <w:ind w:left="420" w:right="0" w:firstLine="0"/>
        <w:jc w:val="left"/>
      </w:pPr>
      <w:r>
        <w:rPr>
          <w:color w:val="000000"/>
          <w:spacing w:val="0"/>
          <w:w w:val="100"/>
          <w:position w:val="0"/>
        </w:rPr>
        <w:t>公司主要参股公司为西班牙电信及中国铁塔股份有限公司。</w:t>
      </w:r>
    </w:p>
    <w:p>
      <w:pPr>
        <w:pStyle w:val="Style5"/>
        <w:keepNext w:val="0"/>
        <w:keepLines w:val="0"/>
        <w:widowControl w:val="0"/>
        <w:shd w:val="clear" w:color="auto" w:fill="auto"/>
        <w:bidi w:val="0"/>
        <w:spacing w:before="0" w:line="360" w:lineRule="exact"/>
        <w:ind w:left="42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年度，本公司所属子公司联通红筹公司收到西班牙电信宣布派发的现金股利人民币</w:t>
      </w:r>
      <w:r>
        <w:rPr>
          <w:rFonts w:ascii="Times New Roman" w:eastAsia="Times New Roman" w:hAnsi="Times New Roman" w:cs="Times New Roman"/>
          <w:color w:val="000000"/>
          <w:spacing w:val="0"/>
          <w:w w:val="100"/>
          <w:position w:val="0"/>
        </w:rPr>
        <w:t>1.70</w:t>
      </w:r>
      <w:r>
        <w:rPr>
          <w:color w:val="000000"/>
          <w:spacing w:val="0"/>
          <w:w w:val="100"/>
          <w:position w:val="0"/>
        </w:rPr>
        <w:t>亿元。</w:t>
      </w:r>
    </w:p>
    <w:p>
      <w:pPr>
        <w:pStyle w:val="Style5"/>
        <w:keepNext w:val="0"/>
        <w:keepLines w:val="0"/>
        <w:widowControl w:val="0"/>
        <w:shd w:val="clear" w:color="auto" w:fill="auto"/>
        <w:bidi w:val="0"/>
        <w:spacing w:before="0" w:after="480" w:line="360" w:lineRule="exact"/>
        <w:ind w:left="42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年度，公司收到铁塔公司宣布派发的现金股利人民币</w:t>
      </w:r>
      <w:r>
        <w:rPr>
          <w:rFonts w:ascii="Times New Roman" w:eastAsia="Times New Roman" w:hAnsi="Times New Roman" w:cs="Times New Roman"/>
          <w:color w:val="000000"/>
          <w:spacing w:val="0"/>
          <w:w w:val="100"/>
          <w:position w:val="0"/>
        </w:rPr>
        <w:t>8.12</w:t>
      </w:r>
      <w:r>
        <w:rPr>
          <w:color w:val="000000"/>
          <w:spacing w:val="0"/>
          <w:w w:val="100"/>
          <w:position w:val="0"/>
        </w:rPr>
        <w:t>亿元，按权益法核算的投资收益为人 民币</w:t>
      </w:r>
      <w:r>
        <w:rPr>
          <w:rFonts w:ascii="Times New Roman" w:eastAsia="Times New Roman" w:hAnsi="Times New Roman" w:cs="Times New Roman"/>
          <w:color w:val="000000"/>
          <w:spacing w:val="0"/>
          <w:w w:val="100"/>
          <w:position w:val="0"/>
        </w:rPr>
        <w:t>17.74</w:t>
      </w:r>
      <w:r>
        <w:rPr>
          <w:color w:val="000000"/>
          <w:spacing w:val="0"/>
          <w:w w:val="100"/>
          <w:position w:val="0"/>
        </w:rPr>
        <w:t>亿元。</w:t>
      </w:r>
    </w:p>
    <w:p>
      <w:pPr>
        <w:pStyle w:val="Style16"/>
        <w:keepNext/>
        <w:keepLines/>
        <w:widowControl w:val="0"/>
        <w:shd w:val="clear" w:color="auto" w:fill="auto"/>
        <w:bidi w:val="0"/>
        <w:spacing w:before="0" w:after="0"/>
        <w:ind w:left="420" w:right="0" w:firstLine="0"/>
        <w:jc w:val="left"/>
      </w:pPr>
      <w:bookmarkStart w:id="299" w:name="bookmark299"/>
      <w:bookmarkStart w:id="300" w:name="bookmark300"/>
      <w:bookmarkStart w:id="301" w:name="bookmark301"/>
      <w:bookmarkStart w:id="302" w:name="bookmark302"/>
      <w:r>
        <w:rPr>
          <w:color w:val="000000"/>
          <w:spacing w:val="0"/>
          <w:w w:val="100"/>
          <w:position w:val="0"/>
        </w:rPr>
        <w:t>五</w:t>
      </w:r>
      <w:bookmarkEnd w:id="301"/>
      <w:r>
        <w:rPr>
          <w:color w:val="000000"/>
          <w:spacing w:val="0"/>
          <w:w w:val="100"/>
          <w:position w:val="0"/>
        </w:rPr>
        <w:t>、公司关于公司未来发展的讨论与分析</w:t>
      </w:r>
      <w:bookmarkEnd w:id="299"/>
      <w:bookmarkEnd w:id="300"/>
      <w:bookmarkEnd w:id="302"/>
    </w:p>
    <w:p>
      <w:pPr>
        <w:pStyle w:val="Style16"/>
        <w:keepNext/>
        <w:keepLines/>
        <w:widowControl w:val="0"/>
        <w:shd w:val="clear" w:color="auto" w:fill="auto"/>
        <w:bidi w:val="0"/>
        <w:spacing w:before="0"/>
        <w:ind w:left="420" w:right="0" w:firstLine="0"/>
        <w:jc w:val="left"/>
      </w:pPr>
      <w:bookmarkStart w:id="299" w:name="bookmark299"/>
      <w:bookmarkStart w:id="300" w:name="bookmark300"/>
      <w:bookmarkStart w:id="303" w:name="bookmark303"/>
      <w:bookmarkStart w:id="304" w:name="bookmark304"/>
      <w:r>
        <w:rPr>
          <w:color w:val="000000"/>
          <w:spacing w:val="0"/>
          <w:w w:val="100"/>
          <w:position w:val="0"/>
        </w:rPr>
        <w:t>（</w:t>
      </w:r>
      <w:bookmarkEnd w:id="303"/>
      <w:r>
        <w:rPr>
          <w:color w:val="000000"/>
          <w:spacing w:val="0"/>
          <w:w w:val="100"/>
          <w:position w:val="0"/>
        </w:rPr>
        <w:t>一）行业格局和趋势</w:t>
      </w:r>
      <w:bookmarkEnd w:id="299"/>
      <w:bookmarkEnd w:id="300"/>
      <w:bookmarkEnd w:id="304"/>
    </w:p>
    <w:p>
      <w:pPr>
        <w:pStyle w:val="Style5"/>
        <w:keepNext w:val="0"/>
        <w:keepLines w:val="0"/>
        <w:widowControl w:val="0"/>
        <w:shd w:val="clear" w:color="auto" w:fill="auto"/>
        <w:bidi w:val="0"/>
        <w:spacing w:before="0" w:line="360" w:lineRule="exact"/>
        <w:ind w:left="420" w:right="0" w:firstLine="420"/>
        <w:jc w:val="both"/>
      </w:pPr>
      <w:r>
        <w:rPr>
          <w:color w:val="000000"/>
          <w:spacing w:val="0"/>
          <w:w w:val="100"/>
          <w:position w:val="0"/>
        </w:rPr>
        <w:t xml:space="preserve">当前，数字经济已成为推动我国经济发展的重要动能，国家一系列政策的出台为通信行业发展创 造了良好的产业政策环境。电信企业作为数字化基础设施的赋能者，依托“云网边端业”一体化优势， 联合产业链上下游合作伙伴加速产业布局，与人工智能、物联网、云计算、大数据、边缘计算等技术 深度融合，加速千行百业向数字化、网络化、智能化转型，开启数字经济的新时代。同时，行业市场 </w:t>
      </w:r>
      <w:r>
        <w:rPr>
          <w:color w:val="000000"/>
          <w:spacing w:val="0"/>
          <w:w w:val="100"/>
          <w:position w:val="0"/>
        </w:rPr>
        <w:t>竞争环境趋于理性，传统通信业务质态逐步得到改善，电信企业通过创新产品、提升服务等引领信息 通信消费升级，共同开启通信行业高质量发展新篇章。</w:t>
      </w:r>
    </w:p>
    <w:p>
      <w:pPr>
        <w:pStyle w:val="Style5"/>
        <w:keepNext w:val="0"/>
        <w:keepLines w:val="0"/>
        <w:widowControl w:val="0"/>
        <w:shd w:val="clear" w:color="auto" w:fill="auto"/>
        <w:bidi w:val="0"/>
        <w:spacing w:before="0" w:after="360" w:line="363" w:lineRule="exact"/>
        <w:ind w:left="420" w:right="0" w:firstLine="420"/>
        <w:jc w:val="both"/>
      </w:pPr>
      <w:r>
        <w:rPr>
          <w:color w:val="000000"/>
          <w:spacing w:val="0"/>
          <w:w w:val="100"/>
          <w:position w:val="0"/>
        </w:rPr>
        <w:t>未来，公司将坚决践行国家使命，落实网络强国战略，服务数字中国、智慧社会建设，深刻把握 数字化、网络化、智能化方向，全面发力数字经济主航道，聚焦“大联接、大计算、大数据、大应用、 大安全”五大主责主业，深化数字技术为千行百业赋能赋智赋值，提升客户价值，更好服务和融入新 发展格局，开创高质量发展新局面。</w:t>
      </w:r>
    </w:p>
    <w:p>
      <w:pPr>
        <w:pStyle w:val="Style16"/>
        <w:keepNext/>
        <w:keepLines/>
        <w:widowControl w:val="0"/>
        <w:shd w:val="clear" w:color="auto" w:fill="auto"/>
        <w:tabs>
          <w:tab w:pos="901" w:val="left"/>
        </w:tabs>
        <w:bidi w:val="0"/>
        <w:spacing w:before="0" w:line="363" w:lineRule="exact"/>
        <w:ind w:left="0" w:right="0"/>
        <w:jc w:val="both"/>
      </w:pPr>
      <w:bookmarkStart w:id="305" w:name="bookmark305"/>
      <w:bookmarkStart w:id="306" w:name="bookmark306"/>
      <w:bookmarkStart w:id="307" w:name="bookmark307"/>
      <w:bookmarkStart w:id="308" w:name="bookmark308"/>
      <w:r>
        <w:rPr>
          <w:color w:val="000000"/>
          <w:spacing w:val="0"/>
          <w:w w:val="100"/>
          <w:position w:val="0"/>
        </w:rPr>
        <w:t>（</w:t>
      </w:r>
      <w:bookmarkEnd w:id="307"/>
      <w:r>
        <w:rPr>
          <w:color w:val="000000"/>
          <w:spacing w:val="0"/>
          <w:w w:val="100"/>
          <w:position w:val="0"/>
        </w:rPr>
        <w:t>二）</w:t>
        <w:tab/>
        <w:t>公司发展战略</w:t>
      </w:r>
      <w:bookmarkEnd w:id="305"/>
      <w:bookmarkEnd w:id="306"/>
      <w:bookmarkEnd w:id="308"/>
    </w:p>
    <w:p>
      <w:pPr>
        <w:pStyle w:val="Style5"/>
        <w:keepNext w:val="0"/>
        <w:keepLines w:val="0"/>
        <w:widowControl w:val="0"/>
        <w:shd w:val="clear" w:color="auto" w:fill="auto"/>
        <w:bidi w:val="0"/>
        <w:spacing w:before="0" w:after="500" w:line="359" w:lineRule="exact"/>
        <w:ind w:left="420" w:right="0" w:firstLine="420"/>
        <w:jc w:val="both"/>
      </w:pPr>
      <w:r>
        <w:rPr>
          <w:color w:val="000000"/>
          <w:spacing w:val="0"/>
          <w:w w:val="100"/>
          <w:position w:val="0"/>
        </w:rPr>
        <w:t>立足新征程，中国联通积极主动服务和融入国家战略，坚决扛起网络强国、数字中国、智慧社会、 科技创新的使命责任担当，将公司定位为“数字信息基础设施运营服务国家队、网络强国数字中国智 慧社会建设主力军、数字技术融合创新排头兵”。传承历史，补齐短板，发挥优势，公司战略由“聚 焦创新合作”升级为“强基固本、守正创新、融合开放”，聚焦</w:t>
      </w:r>
      <w:r>
        <w:rPr>
          <w:rFonts w:ascii="Times New Roman" w:eastAsia="Times New Roman" w:hAnsi="Times New Roman" w:cs="Times New Roman"/>
          <w:color w:val="000000"/>
          <w:spacing w:val="0"/>
          <w:w w:val="100"/>
          <w:position w:val="0"/>
        </w:rPr>
        <w:t>“</w:t>
      </w:r>
      <w:r>
        <w:rPr>
          <w:color w:val="000000"/>
          <w:spacing w:val="0"/>
          <w:w w:val="100"/>
          <w:position w:val="0"/>
        </w:rPr>
        <w:t>大联接、大计算、大数据、大应用、 大安全</w:t>
      </w:r>
      <w:r>
        <w:rPr>
          <w:rFonts w:ascii="Times New Roman" w:eastAsia="Times New Roman" w:hAnsi="Times New Roman" w:cs="Times New Roman"/>
          <w:color w:val="000000"/>
          <w:spacing w:val="0"/>
          <w:w w:val="100"/>
          <w:position w:val="0"/>
        </w:rPr>
        <w:t>”</w:t>
      </w:r>
      <w:r>
        <w:rPr>
          <w:color w:val="000000"/>
          <w:spacing w:val="0"/>
          <w:w w:val="100"/>
          <w:position w:val="0"/>
        </w:rPr>
        <w:t>主责主业，实现发展路径、方式和模式全方位转变，开辟新的发展空间。到</w:t>
      </w:r>
      <w:r>
        <w:rPr>
          <w:rFonts w:ascii="Times New Roman" w:eastAsia="Times New Roman" w:hAnsi="Times New Roman" w:cs="Times New Roman"/>
          <w:color w:val="000000"/>
          <w:spacing w:val="0"/>
          <w:w w:val="100"/>
          <w:position w:val="0"/>
        </w:rPr>
        <w:t>2025</w:t>
      </w:r>
      <w:r>
        <w:rPr>
          <w:color w:val="000000"/>
          <w:spacing w:val="0"/>
          <w:w w:val="100"/>
          <w:position w:val="0"/>
        </w:rPr>
        <w:t>年，实现发 展质量新跃升、基础设施新升级、数智服务新突破、科技创新新作为、治理效能新提升，赋能经济社 会数字化转型升级的能力显著增强。到</w:t>
      </w:r>
      <w:r>
        <w:rPr>
          <w:rFonts w:ascii="Times New Roman" w:eastAsia="Times New Roman" w:hAnsi="Times New Roman" w:cs="Times New Roman"/>
          <w:color w:val="000000"/>
          <w:spacing w:val="0"/>
          <w:w w:val="100"/>
          <w:position w:val="0"/>
        </w:rPr>
        <w:t>2035</w:t>
      </w:r>
      <w:r>
        <w:rPr>
          <w:color w:val="000000"/>
          <w:spacing w:val="0"/>
          <w:w w:val="100"/>
          <w:position w:val="0"/>
        </w:rPr>
        <w:t>年，在质量效益、创新能力、治理水平、品牌形象、国 际影响力、企业家队伍等方面，达到或接近世界一流水平。</w:t>
      </w:r>
    </w:p>
    <w:p>
      <w:pPr>
        <w:pStyle w:val="Style16"/>
        <w:keepNext/>
        <w:keepLines/>
        <w:widowControl w:val="0"/>
        <w:shd w:val="clear" w:color="auto" w:fill="auto"/>
        <w:tabs>
          <w:tab w:pos="901" w:val="left"/>
        </w:tabs>
        <w:bidi w:val="0"/>
        <w:spacing w:before="0" w:line="363" w:lineRule="exact"/>
        <w:ind w:left="0" w:right="0"/>
        <w:jc w:val="both"/>
      </w:pPr>
      <w:bookmarkStart w:id="309" w:name="bookmark309"/>
      <w:bookmarkStart w:id="310" w:name="bookmark310"/>
      <w:bookmarkStart w:id="311" w:name="bookmark311"/>
      <w:bookmarkStart w:id="312" w:name="bookmark312"/>
      <w:r>
        <w:rPr>
          <w:color w:val="000000"/>
          <w:spacing w:val="0"/>
          <w:w w:val="100"/>
          <w:position w:val="0"/>
        </w:rPr>
        <w:t>（</w:t>
      </w:r>
      <w:bookmarkEnd w:id="311"/>
      <w:r>
        <w:rPr>
          <w:color w:val="000000"/>
          <w:spacing w:val="0"/>
          <w:w w:val="100"/>
          <w:position w:val="0"/>
        </w:rPr>
        <w:t>三）</w:t>
        <w:tab/>
        <w:t>经营计划</w:t>
      </w:r>
      <w:bookmarkEnd w:id="309"/>
      <w:bookmarkEnd w:id="310"/>
      <w:bookmarkEnd w:id="312"/>
    </w:p>
    <w:p>
      <w:pPr>
        <w:pStyle w:val="Style5"/>
        <w:keepNext w:val="0"/>
        <w:keepLines w:val="0"/>
        <w:widowControl w:val="0"/>
        <w:shd w:val="clear" w:color="auto" w:fill="auto"/>
        <w:bidi w:val="0"/>
        <w:spacing w:before="0" w:line="365" w:lineRule="exact"/>
        <w:ind w:left="42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年，中国联通将以贯彻落实集团党组战略规划为工作主线，聚焦</w:t>
      </w:r>
      <w:r>
        <w:rPr>
          <w:rFonts w:ascii="Times New Roman" w:eastAsia="Times New Roman" w:hAnsi="Times New Roman" w:cs="Times New Roman"/>
          <w:color w:val="000000"/>
          <w:spacing w:val="0"/>
          <w:w w:val="100"/>
          <w:position w:val="0"/>
        </w:rPr>
        <w:t>“</w:t>
      </w:r>
      <w:r>
        <w:rPr>
          <w:color w:val="000000"/>
          <w:spacing w:val="0"/>
          <w:w w:val="100"/>
          <w:position w:val="0"/>
        </w:rPr>
        <w:t>大联接、大计算、大数据、 大应用、大安全</w:t>
      </w:r>
      <w:r>
        <w:rPr>
          <w:rFonts w:ascii="Times New Roman" w:eastAsia="Times New Roman" w:hAnsi="Times New Roman" w:cs="Times New Roman"/>
          <w:color w:val="000000"/>
          <w:spacing w:val="0"/>
          <w:w w:val="100"/>
          <w:position w:val="0"/>
        </w:rPr>
        <w:t>''</w:t>
      </w:r>
      <w:r>
        <w:rPr>
          <w:color w:val="000000"/>
          <w:spacing w:val="0"/>
          <w:w w:val="100"/>
          <w:position w:val="0"/>
        </w:rPr>
        <w:t>五大主责主业，以稳字当头、稳中求进总基调，深化基于规模的价值经营。</w:t>
      </w:r>
    </w:p>
    <w:p>
      <w:pPr>
        <w:pStyle w:val="Style5"/>
        <w:keepNext w:val="0"/>
        <w:keepLines w:val="0"/>
        <w:widowControl w:val="0"/>
        <w:shd w:val="clear" w:color="auto" w:fill="auto"/>
        <w:bidi w:val="0"/>
        <w:spacing w:before="0" w:after="500" w:line="363" w:lineRule="exact"/>
        <w:ind w:left="420" w:right="0" w:firstLine="420"/>
        <w:jc w:val="both"/>
      </w:pPr>
      <w:r>
        <w:rPr>
          <w:color w:val="000000"/>
          <w:spacing w:val="0"/>
          <w:w w:val="100"/>
          <w:position w:val="0"/>
        </w:rPr>
        <w:t>深入实施</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发展行动计划</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宽带及智慧家庭发展行动计划</w:t>
      </w:r>
      <w:r>
        <w:rPr>
          <w:rFonts w:ascii="Times New Roman" w:eastAsia="Times New Roman" w:hAnsi="Times New Roman" w:cs="Times New Roman"/>
          <w:color w:val="000000"/>
          <w:spacing w:val="0"/>
          <w:w w:val="100"/>
          <w:position w:val="0"/>
        </w:rPr>
        <w:t>”</w:t>
      </w:r>
      <w:r>
        <w:rPr>
          <w:color w:val="000000"/>
          <w:spacing w:val="0"/>
          <w:w w:val="100"/>
          <w:position w:val="0"/>
        </w:rPr>
        <w:t>，聚焦重点场景，突出融合业务、 家庭和个人应用创新。加速推进智能云网产品和服务升级，通过差异优势推动规模发展，以</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云 网</w:t>
      </w:r>
      <w:r>
        <w:rPr>
          <w:rFonts w:ascii="Times New Roman" w:eastAsia="Times New Roman" w:hAnsi="Times New Roman" w:cs="Times New Roman"/>
          <w:color w:val="000000"/>
          <w:spacing w:val="0"/>
          <w:w w:val="100"/>
          <w:position w:val="0"/>
        </w:rPr>
        <w:t>+X”</w:t>
      </w:r>
      <w:r>
        <w:rPr>
          <w:color w:val="000000"/>
          <w:spacing w:val="0"/>
          <w:w w:val="100"/>
          <w:position w:val="0"/>
        </w:rPr>
        <w:t>带动移动用户规模上量、价值提升，深耕要客、楼宇市场。推动基础业务创新，在为客户创造 价值的过程中提升企业价值。推进基于大联接的端网业服协同发展，确保基础业务的联接有价值地做 大，充分利用</w:t>
      </w:r>
      <w:r>
        <w:rPr>
          <w:rFonts w:ascii="Times New Roman" w:eastAsia="Times New Roman" w:hAnsi="Times New Roman" w:cs="Times New Roman"/>
          <w:color w:val="000000"/>
          <w:spacing w:val="0"/>
          <w:w w:val="100"/>
          <w:position w:val="0"/>
        </w:rPr>
        <w:t>“</w:t>
      </w:r>
      <w:r>
        <w:rPr>
          <w:color w:val="000000"/>
          <w:spacing w:val="0"/>
          <w:w w:val="100"/>
          <w:position w:val="0"/>
        </w:rPr>
        <w:t>双千兆</w:t>
      </w:r>
      <w:r>
        <w:rPr>
          <w:rFonts w:ascii="Times New Roman" w:eastAsia="Times New Roman" w:hAnsi="Times New Roman" w:cs="Times New Roman"/>
          <w:color w:val="000000"/>
          <w:spacing w:val="0"/>
          <w:w w:val="100"/>
          <w:position w:val="0"/>
        </w:rPr>
        <w:t>''</w:t>
      </w:r>
      <w:r>
        <w:rPr>
          <w:color w:val="000000"/>
          <w:spacing w:val="0"/>
          <w:w w:val="100"/>
          <w:position w:val="0"/>
        </w:rPr>
        <w:t>升级的价值红利。创新业务做好扬优势和强弱项方面的重点工作，实现跨越发 展。</w:t>
      </w:r>
    </w:p>
    <w:p>
      <w:pPr>
        <w:pStyle w:val="Style16"/>
        <w:keepNext/>
        <w:keepLines/>
        <w:widowControl w:val="0"/>
        <w:shd w:val="clear" w:color="auto" w:fill="auto"/>
        <w:tabs>
          <w:tab w:pos="901" w:val="left"/>
        </w:tabs>
        <w:bidi w:val="0"/>
        <w:spacing w:before="0" w:after="240" w:line="363" w:lineRule="exact"/>
        <w:ind w:left="0" w:right="0"/>
        <w:jc w:val="both"/>
      </w:pPr>
      <w:bookmarkStart w:id="313" w:name="bookmark313"/>
      <w:bookmarkStart w:id="314" w:name="bookmark314"/>
      <w:bookmarkStart w:id="315" w:name="bookmark315"/>
      <w:bookmarkStart w:id="316" w:name="bookmark316"/>
      <w:r>
        <w:rPr>
          <w:color w:val="000000"/>
          <w:spacing w:val="0"/>
          <w:w w:val="100"/>
          <w:position w:val="0"/>
        </w:rPr>
        <w:t>（</w:t>
      </w:r>
      <w:bookmarkEnd w:id="315"/>
      <w:r>
        <w:rPr>
          <w:color w:val="000000"/>
          <w:spacing w:val="0"/>
          <w:w w:val="100"/>
          <w:position w:val="0"/>
        </w:rPr>
        <w:t>四）</w:t>
        <w:tab/>
        <w:t>可能面对的风险</w:t>
      </w:r>
      <w:bookmarkEnd w:id="313"/>
      <w:bookmarkEnd w:id="314"/>
      <w:bookmarkEnd w:id="316"/>
    </w:p>
    <w:p>
      <w:pPr>
        <w:pStyle w:val="Style16"/>
        <w:keepNext/>
        <w:keepLines/>
        <w:widowControl w:val="0"/>
        <w:numPr>
          <w:ilvl w:val="0"/>
          <w:numId w:val="25"/>
        </w:numPr>
        <w:shd w:val="clear" w:color="auto" w:fill="auto"/>
        <w:tabs>
          <w:tab w:pos="1114" w:val="left"/>
        </w:tabs>
        <w:bidi w:val="0"/>
        <w:spacing w:before="0" w:after="0" w:line="379" w:lineRule="auto"/>
        <w:ind w:left="420" w:right="0"/>
        <w:jc w:val="both"/>
      </w:pPr>
      <w:bookmarkStart w:id="313" w:name="bookmark313"/>
      <w:bookmarkStart w:id="314" w:name="bookmark314"/>
      <w:bookmarkStart w:id="317" w:name="bookmark317"/>
      <w:bookmarkStart w:id="318" w:name="bookmark318"/>
      <w:bookmarkEnd w:id="317"/>
      <w:r>
        <w:rPr>
          <w:color w:val="000000"/>
          <w:spacing w:val="0"/>
          <w:w w:val="100"/>
          <w:position w:val="0"/>
        </w:rPr>
        <w:t>市场竞争持续风险</w:t>
      </w:r>
      <w:bookmarkEnd w:id="313"/>
      <w:bookmarkEnd w:id="314"/>
      <w:bookmarkEnd w:id="318"/>
    </w:p>
    <w:p>
      <w:pPr>
        <w:pStyle w:val="Style5"/>
        <w:keepNext w:val="0"/>
        <w:keepLines w:val="0"/>
        <w:widowControl w:val="0"/>
        <w:shd w:val="clear" w:color="auto" w:fill="auto"/>
        <w:bidi w:val="0"/>
        <w:spacing w:before="0" w:after="240" w:line="358" w:lineRule="exact"/>
        <w:ind w:left="420" w:right="0" w:firstLine="420"/>
        <w:jc w:val="both"/>
      </w:pPr>
      <w:r>
        <w:rPr>
          <w:color w:val="000000"/>
          <w:spacing w:val="0"/>
          <w:w w:val="100"/>
          <w:position w:val="0"/>
        </w:rPr>
        <w:t>近年来，电信行业收入增长缓慢，盈利能力偏低，行业传统赛道维持在存量博弈，产品同质化严 重，差异化不足，价格战仍是竞争的主要方式，行业竞争仍面临严峻形势。公司将深入落实新定位新 战略和战略规划目标、强化和提升战略执行力，加强与友商协同，坚决摒弃价格恶性竞争，保持有序 良性竞争，维护行业可持续发展。</w:t>
      </w:r>
    </w:p>
    <w:p>
      <w:pPr>
        <w:pStyle w:val="Style5"/>
        <w:keepNext w:val="0"/>
        <w:keepLines w:val="0"/>
        <w:widowControl w:val="0"/>
        <w:numPr>
          <w:ilvl w:val="0"/>
          <w:numId w:val="25"/>
        </w:numPr>
        <w:shd w:val="clear" w:color="auto" w:fill="auto"/>
        <w:tabs>
          <w:tab w:pos="1124" w:val="left"/>
        </w:tabs>
        <w:bidi w:val="0"/>
        <w:spacing w:before="0" w:after="240" w:line="379" w:lineRule="auto"/>
        <w:ind w:left="420" w:right="0" w:firstLine="420"/>
        <w:jc w:val="both"/>
      </w:pPr>
      <w:bookmarkStart w:id="319" w:name="bookmark319"/>
      <w:bookmarkEnd w:id="319"/>
      <w:r>
        <w:rPr>
          <w:b/>
          <w:bCs/>
          <w:color w:val="000000"/>
          <w:spacing w:val="0"/>
          <w:w w:val="100"/>
          <w:position w:val="0"/>
        </w:rPr>
        <w:t>行业监管政策风险</w:t>
      </w:r>
    </w:p>
    <w:p>
      <w:pPr>
        <w:pStyle w:val="Style5"/>
        <w:keepNext w:val="0"/>
        <w:keepLines w:val="0"/>
        <w:widowControl w:val="0"/>
        <w:shd w:val="clear" w:color="auto" w:fill="auto"/>
        <w:bidi w:val="0"/>
        <w:spacing w:before="0" w:line="358" w:lineRule="exact"/>
        <w:ind w:left="420" w:right="0" w:firstLine="420"/>
        <w:jc w:val="both"/>
      </w:pPr>
      <w:r>
        <w:rPr>
          <w:color w:val="000000"/>
          <w:spacing w:val="0"/>
          <w:w w:val="100"/>
          <w:position w:val="0"/>
        </w:rPr>
        <w:t>中国政府将继续推进电信业向外资和民间资本开放、“提速降费”、国内电信业务网间结算调整 等政策，这些监管政策在给公司带来新的发展机遇的同时也带来挑战。公司将密切关注监管政策的变 化，及时应对监管政策调整带来的相关影响。</w:t>
      </w:r>
    </w:p>
    <w:p>
      <w:pPr>
        <w:pStyle w:val="Style16"/>
        <w:keepNext/>
        <w:keepLines/>
        <w:widowControl w:val="0"/>
        <w:numPr>
          <w:ilvl w:val="0"/>
          <w:numId w:val="25"/>
        </w:numPr>
        <w:shd w:val="clear" w:color="auto" w:fill="auto"/>
        <w:tabs>
          <w:tab w:pos="1128" w:val="left"/>
        </w:tabs>
        <w:bidi w:val="0"/>
        <w:spacing w:before="0"/>
        <w:ind w:left="420" w:right="0"/>
        <w:jc w:val="both"/>
      </w:pPr>
      <w:bookmarkStart w:id="320" w:name="bookmark320"/>
      <w:bookmarkStart w:id="321" w:name="bookmark321"/>
      <w:bookmarkStart w:id="322" w:name="bookmark322"/>
      <w:bookmarkStart w:id="323" w:name="bookmark323"/>
      <w:bookmarkEnd w:id="322"/>
      <w:r>
        <w:rPr>
          <w:color w:val="000000"/>
          <w:spacing w:val="0"/>
          <w:w w:val="100"/>
          <w:position w:val="0"/>
        </w:rPr>
        <w:t>网络与信息安全风险</w:t>
      </w:r>
      <w:bookmarkEnd w:id="320"/>
      <w:bookmarkEnd w:id="321"/>
      <w:bookmarkEnd w:id="323"/>
    </w:p>
    <w:p>
      <w:pPr>
        <w:pStyle w:val="Style5"/>
        <w:keepNext w:val="0"/>
        <w:keepLines w:val="0"/>
        <w:widowControl w:val="0"/>
        <w:shd w:val="clear" w:color="auto" w:fill="auto"/>
        <w:bidi w:val="0"/>
        <w:spacing w:before="0" w:line="360" w:lineRule="exact"/>
        <w:ind w:left="420" w:right="0" w:firstLine="420"/>
        <w:jc w:val="both"/>
      </w:pPr>
      <w:r>
        <w:rPr>
          <w:color w:val="000000"/>
          <w:spacing w:val="0"/>
          <w:w w:val="100"/>
          <w:position w:val="0"/>
        </w:rPr>
        <w:t>随着数字经济和信息通信技术的快速发展，电信运营商的用户信息安全受到国家和社会的广泛重 视，法律监管将更加严格。公司应用系统众多，拥有海量用户数据，安全防护点多面广，防护成本高 难度大，数据安全面临风险挑战。公司高度重视网络与信息安全工作，严格按照国家法律法规要求， 全面贯彻落实总体国家安全观，强化通信网络运行安全保障，深化信息安全综合治理。</w:t>
      </w:r>
    </w:p>
    <w:p>
      <w:pPr>
        <w:pStyle w:val="Style16"/>
        <w:keepNext/>
        <w:keepLines/>
        <w:widowControl w:val="0"/>
        <w:numPr>
          <w:ilvl w:val="0"/>
          <w:numId w:val="25"/>
        </w:numPr>
        <w:shd w:val="clear" w:color="auto" w:fill="auto"/>
        <w:tabs>
          <w:tab w:pos="1128" w:val="left"/>
        </w:tabs>
        <w:bidi w:val="0"/>
        <w:spacing w:before="0"/>
        <w:ind w:left="420" w:right="0"/>
        <w:jc w:val="both"/>
      </w:pPr>
      <w:bookmarkStart w:id="324" w:name="bookmark324"/>
      <w:bookmarkStart w:id="325" w:name="bookmark325"/>
      <w:bookmarkStart w:id="326" w:name="bookmark326"/>
      <w:bookmarkStart w:id="327" w:name="bookmark327"/>
      <w:bookmarkEnd w:id="326"/>
      <w:r>
        <w:rPr>
          <w:color w:val="000000"/>
          <w:spacing w:val="0"/>
          <w:w w:val="100"/>
          <w:position w:val="0"/>
        </w:rPr>
        <w:t>业务转型发展风险</w:t>
      </w:r>
      <w:bookmarkEnd w:id="324"/>
      <w:bookmarkEnd w:id="325"/>
      <w:bookmarkEnd w:id="327"/>
    </w:p>
    <w:p>
      <w:pPr>
        <w:pStyle w:val="Style5"/>
        <w:keepNext w:val="0"/>
        <w:keepLines w:val="0"/>
        <w:widowControl w:val="0"/>
        <w:shd w:val="clear" w:color="auto" w:fill="auto"/>
        <w:bidi w:val="0"/>
        <w:spacing w:before="0" w:line="362" w:lineRule="exact"/>
        <w:ind w:left="420" w:right="0" w:firstLine="420"/>
        <w:jc w:val="both"/>
      </w:pPr>
      <w:r>
        <w:rPr>
          <w:color w:val="000000"/>
          <w:spacing w:val="0"/>
          <w:w w:val="100"/>
          <w:position w:val="0"/>
        </w:rPr>
        <w:t>电信行业的传统业务日趋饱和，千行百业数字化、网络化、智能化转型升级的新需求日益高涨， 创新产品研发将成为可持续发展的长期挑战。公司持续强化创新驱动，加大创新投入，扩大科技创新 人员、研发人员规模，坚持成果导向、价值导向，深刻洞察行业需求，紧密结合行业特点，增强核心 竞争力和可持续发展能力。</w:t>
      </w:r>
    </w:p>
    <w:p>
      <w:pPr>
        <w:pStyle w:val="Style16"/>
        <w:keepNext/>
        <w:keepLines/>
        <w:widowControl w:val="0"/>
        <w:numPr>
          <w:ilvl w:val="0"/>
          <w:numId w:val="25"/>
        </w:numPr>
        <w:shd w:val="clear" w:color="auto" w:fill="auto"/>
        <w:tabs>
          <w:tab w:pos="1128" w:val="left"/>
        </w:tabs>
        <w:bidi w:val="0"/>
        <w:spacing w:before="0"/>
        <w:ind w:left="420" w:right="0"/>
        <w:jc w:val="both"/>
      </w:pPr>
      <w:bookmarkStart w:id="328" w:name="bookmark328"/>
      <w:bookmarkStart w:id="329" w:name="bookmark329"/>
      <w:bookmarkStart w:id="330" w:name="bookmark330"/>
      <w:bookmarkStart w:id="331" w:name="bookmark331"/>
      <w:bookmarkEnd w:id="330"/>
      <w:r>
        <w:rPr>
          <w:color w:val="000000"/>
          <w:spacing w:val="0"/>
          <w:w w:val="100"/>
          <w:position w:val="0"/>
        </w:rPr>
        <w:t>技术迭代发展风险</w:t>
      </w:r>
      <w:bookmarkEnd w:id="328"/>
      <w:bookmarkEnd w:id="329"/>
      <w:bookmarkEnd w:id="331"/>
    </w:p>
    <w:p>
      <w:pPr>
        <w:pStyle w:val="Style5"/>
        <w:keepNext w:val="0"/>
        <w:keepLines w:val="0"/>
        <w:widowControl w:val="0"/>
        <w:shd w:val="clear" w:color="auto" w:fill="auto"/>
        <w:bidi w:val="0"/>
        <w:spacing w:before="0" w:after="1580" w:line="360" w:lineRule="exact"/>
        <w:ind w:left="420" w:right="0" w:firstLine="420"/>
        <w:jc w:val="both"/>
      </w:pPr>
      <w:r>
        <w:rPr>
          <w:color w:val="000000"/>
          <w:spacing w:val="0"/>
          <w:w w:val="100"/>
          <w:position w:val="0"/>
        </w:rPr>
        <w:t>全球电信运营商加快网络升级与推进</w:t>
      </w:r>
      <w:r>
        <w:rPr>
          <w:rFonts w:ascii="Times New Roman" w:eastAsia="Times New Roman" w:hAnsi="Times New Roman" w:cs="Times New Roman"/>
          <w:color w:val="000000"/>
          <w:spacing w:val="0"/>
          <w:w w:val="100"/>
          <w:position w:val="0"/>
        </w:rPr>
        <w:t>5G</w:t>
      </w:r>
      <w:r>
        <w:rPr>
          <w:color w:val="000000"/>
          <w:spacing w:val="0"/>
          <w:w w:val="100"/>
          <w:position w:val="0"/>
        </w:rPr>
        <w:t>技术应用，信息通信新技术加速升级迭代，公司</w:t>
      </w:r>
      <w:r>
        <w:rPr>
          <w:rFonts w:ascii="Times New Roman" w:eastAsia="Times New Roman" w:hAnsi="Times New Roman" w:cs="Times New Roman"/>
          <w:color w:val="000000"/>
          <w:spacing w:val="0"/>
          <w:w w:val="100"/>
          <w:position w:val="0"/>
        </w:rPr>
        <w:t>5G</w:t>
      </w:r>
      <w:r>
        <w:rPr>
          <w:color w:val="000000"/>
          <w:spacing w:val="0"/>
          <w:w w:val="100"/>
          <w:position w:val="0"/>
        </w:rPr>
        <w:t>网 络建设规模逐步扩大，面临大额</w:t>
      </w:r>
      <w:r>
        <w:rPr>
          <w:rFonts w:ascii="Times New Roman" w:eastAsia="Times New Roman" w:hAnsi="Times New Roman" w:cs="Times New Roman"/>
          <w:color w:val="000000"/>
          <w:spacing w:val="0"/>
          <w:w w:val="100"/>
          <w:position w:val="0"/>
        </w:rPr>
        <w:t>CAPEX</w:t>
      </w:r>
      <w:r>
        <w:rPr>
          <w:color w:val="000000"/>
          <w:spacing w:val="0"/>
          <w:w w:val="100"/>
          <w:position w:val="0"/>
        </w:rPr>
        <w:t>支出，</w:t>
      </w:r>
      <w:r>
        <w:rPr>
          <w:rFonts w:ascii="Times New Roman" w:eastAsia="Times New Roman" w:hAnsi="Times New Roman" w:cs="Times New Roman"/>
          <w:color w:val="000000"/>
          <w:spacing w:val="0"/>
          <w:w w:val="100"/>
          <w:position w:val="0"/>
        </w:rPr>
        <w:t>OPEX</w:t>
      </w:r>
      <w:r>
        <w:rPr>
          <w:color w:val="000000"/>
          <w:spacing w:val="0"/>
          <w:w w:val="100"/>
          <w:position w:val="0"/>
        </w:rPr>
        <w:t>成本也将大幅增加。公司积极参与世界主流国 际标准组织工作，深入开展新技术与新业务的研究与试验，持续深化共建共享和产业合作，推动产业 链协同和技术成熟，加强对终端产业链的拉动和引导，促进</w:t>
      </w:r>
      <w:r>
        <w:rPr>
          <w:rFonts w:ascii="Times New Roman" w:eastAsia="Times New Roman" w:hAnsi="Times New Roman" w:cs="Times New Roman"/>
          <w:color w:val="000000"/>
          <w:spacing w:val="0"/>
          <w:w w:val="100"/>
          <w:position w:val="0"/>
        </w:rPr>
        <w:t>5G</w:t>
      </w:r>
      <w:r>
        <w:rPr>
          <w:color w:val="000000"/>
          <w:spacing w:val="0"/>
          <w:w w:val="100"/>
          <w:position w:val="0"/>
        </w:rPr>
        <w:t>应用规模化发展。</w:t>
      </w:r>
    </w:p>
    <w:p>
      <w:pPr>
        <w:pStyle w:val="Style13"/>
        <w:keepNext/>
        <w:keepLines/>
        <w:widowControl w:val="0"/>
        <w:shd w:val="clear" w:color="auto" w:fill="auto"/>
        <w:bidi w:val="0"/>
        <w:spacing w:before="0" w:after="160" w:line="240" w:lineRule="auto"/>
        <w:ind w:left="0" w:right="0" w:firstLine="0"/>
        <w:jc w:val="center"/>
      </w:pPr>
      <w:bookmarkStart w:id="332" w:name="bookmark332"/>
      <w:bookmarkStart w:id="333" w:name="bookmark333"/>
      <w:bookmarkStart w:id="334" w:name="bookmark334"/>
      <w:r>
        <w:rPr>
          <w:color w:val="000000"/>
          <w:spacing w:val="0"/>
          <w:w w:val="100"/>
          <w:position w:val="0"/>
        </w:rPr>
        <w:t>第四节公司治理</w:t>
      </w:r>
      <w:bookmarkEnd w:id="332"/>
      <w:bookmarkEnd w:id="333"/>
      <w:bookmarkEnd w:id="334"/>
    </w:p>
    <w:p>
      <w:pPr>
        <w:pStyle w:val="Style16"/>
        <w:keepNext/>
        <w:keepLines/>
        <w:widowControl w:val="0"/>
        <w:shd w:val="clear" w:color="auto" w:fill="auto"/>
        <w:bidi w:val="0"/>
        <w:spacing w:before="0" w:line="361" w:lineRule="exact"/>
        <w:ind w:left="0" w:right="0"/>
        <w:jc w:val="both"/>
      </w:pPr>
      <w:bookmarkStart w:id="335" w:name="bookmark335"/>
      <w:bookmarkStart w:id="336" w:name="bookmark336"/>
      <w:bookmarkStart w:id="337" w:name="bookmark337"/>
      <w:bookmarkStart w:id="338" w:name="bookmark338"/>
      <w:bookmarkStart w:id="339" w:name="bookmark339"/>
      <w:r>
        <w:rPr>
          <w:color w:val="000000"/>
          <w:spacing w:val="0"/>
          <w:w w:val="100"/>
          <w:position w:val="0"/>
        </w:rPr>
        <w:t>一</w:t>
      </w:r>
      <w:bookmarkEnd w:id="338"/>
      <w:r>
        <w:rPr>
          <w:color w:val="000000"/>
          <w:spacing w:val="0"/>
          <w:w w:val="100"/>
          <w:position w:val="0"/>
        </w:rPr>
        <w:t>、公司治理相关情况说明</w:t>
      </w:r>
      <w:bookmarkEnd w:id="336"/>
      <w:bookmarkEnd w:id="337"/>
      <w:bookmarkEnd w:id="339"/>
      <w:bookmarkEnd w:id="335"/>
    </w:p>
    <w:p>
      <w:pPr>
        <w:pStyle w:val="Style5"/>
        <w:keepNext w:val="0"/>
        <w:keepLines w:val="0"/>
        <w:widowControl w:val="0"/>
        <w:shd w:val="clear" w:color="auto" w:fill="auto"/>
        <w:bidi w:val="0"/>
        <w:spacing w:before="0" w:line="361" w:lineRule="exact"/>
        <w:ind w:left="420" w:right="0" w:firstLine="420"/>
        <w:jc w:val="both"/>
      </w:pPr>
      <w:r>
        <w:rPr>
          <w:color w:val="000000"/>
          <w:spacing w:val="0"/>
          <w:w w:val="100"/>
          <w:position w:val="0"/>
        </w:rPr>
        <w:t>本公司严格按照《公司法》《证券法》和中国证监会、上海证券交易所有关公司治理的要求，持 续提升公司治理水平，优化公司治理制度体系和运行机制，建立健全内部控制和风险管理体系，依法 履行信息披露义务，加强投资者关系管理，确保公司规范运作，保障投资者利益。本公司股东会、董 事会、监事会及董事会各专门委员会有关职权范围请见公司在上交所及公司网站公布的《公司章程》、 相关议事规则及工作细则。报告期内，本公司的公司治理现状与中国证监会发布有关上市公司治理的 规范性文件不存在重大差异。报告期内，本公司累计召开股东大会</w:t>
      </w:r>
      <w:r>
        <w:rPr>
          <w:rFonts w:ascii="Times New Roman" w:eastAsia="Times New Roman" w:hAnsi="Times New Roman" w:cs="Times New Roman"/>
          <w:color w:val="000000"/>
          <w:spacing w:val="0"/>
          <w:w w:val="100"/>
          <w:position w:val="0"/>
        </w:rPr>
        <w:t>4</w:t>
      </w:r>
      <w:r>
        <w:rPr>
          <w:color w:val="000000"/>
          <w:spacing w:val="0"/>
          <w:w w:val="100"/>
          <w:position w:val="0"/>
        </w:rPr>
        <w:t>次、董事会会议</w:t>
      </w:r>
      <w:r>
        <w:rPr>
          <w:rFonts w:ascii="Times New Roman" w:eastAsia="Times New Roman" w:hAnsi="Times New Roman" w:cs="Times New Roman"/>
          <w:color w:val="000000"/>
          <w:spacing w:val="0"/>
          <w:w w:val="100"/>
          <w:position w:val="0"/>
        </w:rPr>
        <w:t>12</w:t>
      </w:r>
      <w:r>
        <w:rPr>
          <w:color w:val="000000"/>
          <w:spacing w:val="0"/>
          <w:w w:val="100"/>
          <w:position w:val="0"/>
        </w:rPr>
        <w:t>次、监事会会 议</w:t>
      </w:r>
      <w:r>
        <w:rPr>
          <w:rFonts w:ascii="Times New Roman" w:eastAsia="Times New Roman" w:hAnsi="Times New Roman" w:cs="Times New Roman"/>
          <w:color w:val="000000"/>
          <w:spacing w:val="0"/>
          <w:w w:val="100"/>
          <w:position w:val="0"/>
        </w:rPr>
        <w:t>5</w:t>
      </w:r>
      <w:r>
        <w:rPr>
          <w:color w:val="000000"/>
          <w:spacing w:val="0"/>
          <w:w w:val="100"/>
          <w:position w:val="0"/>
        </w:rPr>
        <w:t>次，所有会议的召集、召开、表决、披露程序均符合法律法规及公司管理制度要求。所有需提交 股东大会审议事项均按程序提交股东大会审议。</w:t>
      </w:r>
    </w:p>
    <w:p>
      <w:pPr>
        <w:pStyle w:val="Style5"/>
        <w:keepNext w:val="0"/>
        <w:keepLines w:val="0"/>
        <w:widowControl w:val="0"/>
        <w:shd w:val="clear" w:color="auto" w:fill="auto"/>
        <w:bidi w:val="0"/>
        <w:spacing w:before="0" w:line="350" w:lineRule="exact"/>
        <w:ind w:left="420" w:right="0" w:firstLine="420"/>
        <w:jc w:val="both"/>
      </w:pPr>
      <w:r>
        <w:rPr>
          <w:color w:val="000000"/>
          <w:spacing w:val="0"/>
          <w:w w:val="100"/>
          <w:position w:val="0"/>
        </w:rPr>
        <w:t>公司持续完善治理制度，着力优化各治理主体的权责边界、协调运作。</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年，公司修订完善《公 司章程》《董事会议事规则》，制定《董事会授权管理办法》，不断优化公司治理主体权责清单，清 </w:t>
      </w:r>
      <w:r>
        <w:rPr>
          <w:color w:val="000000"/>
          <w:spacing w:val="0"/>
          <w:w w:val="100"/>
          <w:position w:val="0"/>
        </w:rPr>
        <w:t>晰权责边界、理顺治理链条、提高决策效率，为各治理主体规范运作、高效运行、有效制衡、科学决 策奠定制度基础。</w:t>
      </w:r>
    </w:p>
    <w:p>
      <w:pPr>
        <w:pStyle w:val="Style5"/>
        <w:keepNext w:val="0"/>
        <w:keepLines w:val="0"/>
        <w:widowControl w:val="0"/>
        <w:shd w:val="clear" w:color="auto" w:fill="auto"/>
        <w:bidi w:val="0"/>
        <w:spacing w:before="0" w:line="358" w:lineRule="exact"/>
        <w:ind w:left="420" w:right="0" w:firstLine="440"/>
        <w:jc w:val="both"/>
      </w:pPr>
      <w:r>
        <w:rPr>
          <w:color w:val="000000"/>
          <w:spacing w:val="0"/>
          <w:w w:val="100"/>
          <w:position w:val="0"/>
        </w:rPr>
        <w:t>公司积极履行信息披露义务，确保信息披露合规性。</w:t>
      </w:r>
      <w:r>
        <w:rPr>
          <w:rFonts w:ascii="Times New Roman" w:eastAsia="Times New Roman" w:hAnsi="Times New Roman" w:cs="Times New Roman"/>
          <w:color w:val="000000"/>
          <w:spacing w:val="0"/>
          <w:w w:val="100"/>
          <w:position w:val="0"/>
        </w:rPr>
        <w:t>2021</w:t>
      </w:r>
      <w:r>
        <w:rPr>
          <w:color w:val="000000"/>
          <w:spacing w:val="0"/>
          <w:w w:val="100"/>
          <w:position w:val="0"/>
        </w:rPr>
        <w:t>年，公司高度重视信息披露工作，确保 公司信息披露合法合规，有效防范与信息披露相关的法律风险。确保披露合规，及时发布定期报告、 股东大会资料以及第二期限制性股票激励计划、利润分配等各类临时公告等应披露信息。加强主动披 露，每月主动发布业务运营数据，提升公司透明度。丰富信息披露平台，开设投资者关系微信公众号， 提升投资者获取信息的便捷性。坚持公平披露，每年年报、半年报披露后立即召开香港、北京等多地 同步业绩推介会，确保所有投资者享有平等机会获取相关信息。基于良好的信息披露表现，公司荣获 上海证券交易所授予的</w:t>
      </w:r>
      <w:r>
        <w:rPr>
          <w:rFonts w:ascii="Times New Roman" w:eastAsia="Times New Roman" w:hAnsi="Times New Roman" w:cs="Times New Roman"/>
          <w:color w:val="000000"/>
          <w:spacing w:val="0"/>
          <w:w w:val="100"/>
          <w:position w:val="0"/>
        </w:rPr>
        <w:t>2020</w:t>
      </w:r>
      <w:r>
        <w:rPr>
          <w:color w:val="000000"/>
          <w:spacing w:val="0"/>
          <w:w w:val="100"/>
          <w:position w:val="0"/>
        </w:rPr>
        <w:t>至</w:t>
      </w:r>
      <w:r>
        <w:rPr>
          <w:rFonts w:ascii="Times New Roman" w:eastAsia="Times New Roman" w:hAnsi="Times New Roman" w:cs="Times New Roman"/>
          <w:color w:val="000000"/>
          <w:spacing w:val="0"/>
          <w:w w:val="100"/>
          <w:position w:val="0"/>
        </w:rPr>
        <w:t>2021</w:t>
      </w:r>
      <w:r>
        <w:rPr>
          <w:color w:val="000000"/>
          <w:spacing w:val="0"/>
          <w:w w:val="100"/>
          <w:position w:val="0"/>
        </w:rPr>
        <w:t>年度信息披露工作最优级</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级）评价。</w:t>
      </w:r>
    </w:p>
    <w:p>
      <w:pPr>
        <w:pStyle w:val="Style5"/>
        <w:keepNext w:val="0"/>
        <w:keepLines w:val="0"/>
        <w:widowControl w:val="0"/>
        <w:shd w:val="clear" w:color="auto" w:fill="auto"/>
        <w:bidi w:val="0"/>
        <w:spacing w:before="0" w:line="360" w:lineRule="exact"/>
        <w:ind w:left="420" w:right="0" w:firstLine="440"/>
        <w:jc w:val="both"/>
      </w:pPr>
      <w:r>
        <w:rPr>
          <w:color w:val="000000"/>
          <w:spacing w:val="0"/>
          <w:w w:val="100"/>
          <w:position w:val="0"/>
        </w:rPr>
        <w:t>公司高度重视投资者关系，通过多种渠道与投资者开展沟通交流。在公司年报、半年报后，公司 及时召开分析师及投资者发布会，与分析师、基金经理沟通交流公司战略、经营情况及重大交易进展。 股东大会上，董事会积极回答投资者关心的问题、采纳投资者提出的有益建议。董事会秘书会见重要 投资者及证券分析师，开展深度交流。公司还设有专人负责与投资者的日常沟通，包括接待投资者来 访、接听热线电话、回复邮件问询、回复上证</w:t>
      </w:r>
      <w:r>
        <w:rPr>
          <w:rFonts w:ascii="Times New Roman" w:eastAsia="Times New Roman" w:hAnsi="Times New Roman" w:cs="Times New Roman"/>
          <w:color w:val="000000"/>
          <w:spacing w:val="0"/>
          <w:w w:val="100"/>
          <w:position w:val="0"/>
        </w:rPr>
        <w:t>E</w:t>
      </w:r>
      <w:r>
        <w:rPr>
          <w:color w:val="000000"/>
          <w:spacing w:val="0"/>
          <w:w w:val="100"/>
          <w:position w:val="0"/>
        </w:rPr>
        <w:t>互动平台的投资者提问等，确保投资者及时了解公司 信息，切实保护中小投资者合法权益。</w:t>
      </w:r>
    </w:p>
    <w:p>
      <w:pPr>
        <w:pStyle w:val="Style5"/>
        <w:keepNext w:val="0"/>
        <w:keepLines w:val="0"/>
        <w:widowControl w:val="0"/>
        <w:shd w:val="clear" w:color="auto" w:fill="auto"/>
        <w:bidi w:val="0"/>
        <w:spacing w:before="0" w:line="361" w:lineRule="exact"/>
        <w:ind w:left="420" w:right="0" w:firstLine="440"/>
        <w:jc w:val="both"/>
      </w:pPr>
      <w:r>
        <w:rPr>
          <w:color w:val="000000"/>
          <w:spacing w:val="0"/>
          <w:w w:val="100"/>
          <w:position w:val="0"/>
        </w:rPr>
        <w:t>同时，董事会积极拓宽与投资者的数字化、新媒体方式沟通渠道。</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月，公司近年来首次 采用在线直播方式发布公司年度业绩，董事长亲自带领管理层与全球投资者进行在线交流，第一时间 回应股东关切。联合冬奥</w:t>
      </w:r>
      <w:r>
        <w:rPr>
          <w:rFonts w:ascii="Times New Roman" w:eastAsia="Times New Roman" w:hAnsi="Times New Roman" w:cs="Times New Roman"/>
          <w:color w:val="000000"/>
          <w:spacing w:val="0"/>
          <w:w w:val="100"/>
          <w:position w:val="0"/>
        </w:rPr>
        <w:t>IP“</w:t>
      </w:r>
      <w:r>
        <w:rPr>
          <w:color w:val="000000"/>
          <w:spacing w:val="0"/>
          <w:w w:val="100"/>
          <w:position w:val="0"/>
        </w:rPr>
        <w:t>小梦''制作视频业绩推介材料，采用</w:t>
      </w:r>
      <w:r>
        <w:rPr>
          <w:rFonts w:ascii="Times New Roman" w:eastAsia="Times New Roman" w:hAnsi="Times New Roman" w:cs="Times New Roman"/>
          <w:color w:val="000000"/>
          <w:spacing w:val="0"/>
          <w:w w:val="100"/>
          <w:position w:val="0"/>
        </w:rPr>
        <w:t>“</w:t>
      </w:r>
      <w:r>
        <w:rPr>
          <w:color w:val="000000"/>
          <w:spacing w:val="0"/>
          <w:w w:val="100"/>
          <w:position w:val="0"/>
        </w:rPr>
        <w:t>一图读懂''方式在联通投资者关系微 信公众号平台发布每季度业绩，数字图表更简明易懂，公司形象更鲜活立体，让投资者</w:t>
      </w:r>
      <w:r>
        <w:rPr>
          <w:rFonts w:ascii="Times New Roman" w:eastAsia="Times New Roman" w:hAnsi="Times New Roman" w:cs="Times New Roman"/>
          <w:color w:val="000000"/>
          <w:spacing w:val="0"/>
          <w:w w:val="100"/>
          <w:position w:val="0"/>
        </w:rPr>
        <w:t>“</w:t>
      </w:r>
      <w:r>
        <w:rPr>
          <w:color w:val="000000"/>
          <w:spacing w:val="0"/>
          <w:w w:val="100"/>
          <w:position w:val="0"/>
        </w:rPr>
        <w:t>看得清</w:t>
      </w:r>
      <w:r>
        <w:rPr>
          <w:rFonts w:ascii="Times New Roman" w:eastAsia="Times New Roman" w:hAnsi="Times New Roman" w:cs="Times New Roman"/>
          <w:color w:val="000000"/>
          <w:spacing w:val="0"/>
          <w:w w:val="100"/>
          <w:position w:val="0"/>
        </w:rPr>
        <w:t>”“</w:t>
      </w:r>
      <w:r>
        <w:rPr>
          <w:color w:val="000000"/>
          <w:spacing w:val="0"/>
          <w:w w:val="100"/>
          <w:position w:val="0"/>
        </w:rPr>
        <w:t>听得 见</w:t>
      </w:r>
      <w:r>
        <w:rPr>
          <w:rFonts w:ascii="Times New Roman" w:eastAsia="Times New Roman" w:hAnsi="Times New Roman" w:cs="Times New Roman"/>
          <w:color w:val="000000"/>
          <w:spacing w:val="0"/>
          <w:w w:val="100"/>
          <w:position w:val="0"/>
        </w:rPr>
        <w:t>”</w:t>
      </w:r>
      <w:r>
        <w:rPr>
          <w:color w:val="000000"/>
          <w:spacing w:val="0"/>
          <w:w w:val="100"/>
          <w:position w:val="0"/>
        </w:rPr>
        <w:t>，做投资决策心里</w:t>
      </w:r>
      <w:r>
        <w:rPr>
          <w:rFonts w:ascii="Times New Roman" w:eastAsia="Times New Roman" w:hAnsi="Times New Roman" w:cs="Times New Roman"/>
          <w:color w:val="000000"/>
          <w:spacing w:val="0"/>
          <w:w w:val="100"/>
          <w:position w:val="0"/>
        </w:rPr>
        <w:t>“</w:t>
      </w:r>
      <w:r>
        <w:rPr>
          <w:color w:val="000000"/>
          <w:spacing w:val="0"/>
          <w:w w:val="100"/>
          <w:position w:val="0"/>
        </w:rPr>
        <w:t>更有底</w:t>
      </w:r>
      <w:r>
        <w:rPr>
          <w:rFonts w:ascii="Times New Roman" w:eastAsia="Times New Roman" w:hAnsi="Times New Roman" w:cs="Times New Roman"/>
          <w:color w:val="000000"/>
          <w:spacing w:val="0"/>
          <w:w w:val="100"/>
          <w:position w:val="0"/>
        </w:rPr>
        <w:t>”</w:t>
      </w:r>
      <w:r>
        <w:rPr>
          <w:color w:val="000000"/>
          <w:spacing w:val="0"/>
          <w:w w:val="100"/>
          <w:position w:val="0"/>
        </w:rPr>
        <w:t>。整个活动得到中小投资者和机构投资者的踊跃参加，取得良好成效。 公司因此入选中国上市公司协会评选的</w:t>
      </w:r>
      <w:r>
        <w:rPr>
          <w:rFonts w:ascii="Times New Roman" w:eastAsia="Times New Roman" w:hAnsi="Times New Roman" w:cs="Times New Roman"/>
          <w:color w:val="000000"/>
          <w:spacing w:val="0"/>
          <w:w w:val="100"/>
          <w:position w:val="0"/>
        </w:rPr>
        <w:t>“</w:t>
      </w:r>
      <w:r>
        <w:rPr>
          <w:color w:val="000000"/>
          <w:spacing w:val="0"/>
          <w:w w:val="100"/>
          <w:position w:val="0"/>
        </w:rPr>
        <w:t>业绩说明会最佳案例</w:t>
      </w:r>
      <w:r>
        <w:rPr>
          <w:rFonts w:ascii="Times New Roman" w:eastAsia="Times New Roman" w:hAnsi="Times New Roman" w:cs="Times New Roman"/>
          <w:color w:val="000000"/>
          <w:spacing w:val="0"/>
          <w:w w:val="100"/>
          <w:position w:val="0"/>
        </w:rPr>
        <w:t>”</w:t>
      </w:r>
      <w:r>
        <w:rPr>
          <w:color w:val="000000"/>
          <w:spacing w:val="0"/>
          <w:w w:val="100"/>
          <w:position w:val="0"/>
        </w:rPr>
        <w:t>，排名全国前</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w:t>
      </w:r>
      <w:r>
        <w:rPr>
          <w:color w:val="000000"/>
          <w:spacing w:val="0"/>
          <w:w w:val="100"/>
          <w:position w:val="0"/>
        </w:rPr>
        <w:t>，是通信业及北京非 金融央企集团唯一代表。</w:t>
      </w:r>
    </w:p>
    <w:p>
      <w:pPr>
        <w:pStyle w:val="Style5"/>
        <w:keepNext w:val="0"/>
        <w:keepLines w:val="0"/>
        <w:widowControl w:val="0"/>
        <w:shd w:val="clear" w:color="auto" w:fill="auto"/>
        <w:bidi w:val="0"/>
        <w:spacing w:before="0" w:after="600" w:line="361" w:lineRule="exact"/>
        <w:ind w:left="42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年，公司及控股子公司荣获资本市场多项嘉奖，公司获中国上市公司协会颁发的“董事会办 公室最佳实践案例”和“业绩说明会最佳实践案例”奖项，获全景网“杰出</w:t>
      </w:r>
      <w:r>
        <w:rPr>
          <w:rFonts w:ascii="Times New Roman" w:eastAsia="Times New Roman" w:hAnsi="Times New Roman" w:cs="Times New Roman"/>
          <w:color w:val="000000"/>
          <w:spacing w:val="0"/>
          <w:w w:val="100"/>
          <w:position w:val="0"/>
        </w:rPr>
        <w:t>IR</w:t>
      </w:r>
      <w:r>
        <w:rPr>
          <w:color w:val="000000"/>
          <w:spacing w:val="0"/>
          <w:w w:val="100"/>
          <w:position w:val="0"/>
        </w:rPr>
        <w:t>企业奖</w:t>
      </w:r>
      <w:r>
        <w:rPr>
          <w:rFonts w:ascii="Times New Roman" w:eastAsia="Times New Roman" w:hAnsi="Times New Roman" w:cs="Times New Roman"/>
          <w:color w:val="000000"/>
          <w:spacing w:val="0"/>
          <w:w w:val="100"/>
          <w:position w:val="0"/>
        </w:rPr>
        <w:t>”“</w:t>
      </w:r>
      <w:r>
        <w:rPr>
          <w:color w:val="000000"/>
          <w:spacing w:val="0"/>
          <w:w w:val="100"/>
          <w:position w:val="0"/>
        </w:rPr>
        <w:t>最佳新媒体运 营奖</w:t>
      </w:r>
      <w:r>
        <w:rPr>
          <w:rFonts w:ascii="Times New Roman" w:eastAsia="Times New Roman" w:hAnsi="Times New Roman" w:cs="Times New Roman"/>
          <w:color w:val="000000"/>
          <w:spacing w:val="0"/>
          <w:w w:val="100"/>
          <w:position w:val="0"/>
        </w:rPr>
        <w:t>”</w:t>
      </w:r>
      <w:r>
        <w:rPr>
          <w:color w:val="000000"/>
          <w:spacing w:val="0"/>
          <w:w w:val="100"/>
          <w:position w:val="0"/>
        </w:rPr>
        <w:t>；《证券时报》中国上市公司投资者关系</w:t>
      </w:r>
      <w:r>
        <w:rPr>
          <w:rFonts w:ascii="Times New Roman" w:eastAsia="Times New Roman" w:hAnsi="Times New Roman" w:cs="Times New Roman"/>
          <w:color w:val="000000"/>
          <w:spacing w:val="0"/>
          <w:w w:val="100"/>
          <w:position w:val="0"/>
        </w:rPr>
        <w:t>“</w:t>
      </w:r>
      <w:r>
        <w:rPr>
          <w:color w:val="000000"/>
          <w:spacing w:val="0"/>
          <w:w w:val="100"/>
          <w:position w:val="0"/>
        </w:rPr>
        <w:t>天马奖</w:t>
      </w:r>
      <w:r>
        <w:rPr>
          <w:rFonts w:ascii="Times New Roman" w:eastAsia="Times New Roman" w:hAnsi="Times New Roman" w:cs="Times New Roman"/>
          <w:color w:val="000000"/>
          <w:spacing w:val="0"/>
          <w:w w:val="100"/>
          <w:position w:val="0"/>
        </w:rPr>
        <w:t>”</w:t>
      </w:r>
      <w:r>
        <w:rPr>
          <w:color w:val="000000"/>
          <w:spacing w:val="0"/>
          <w:w w:val="100"/>
          <w:position w:val="0"/>
        </w:rPr>
        <w:t>；卓越</w:t>
      </w:r>
      <w:r>
        <w:rPr>
          <w:rFonts w:ascii="Times New Roman" w:eastAsia="Times New Roman" w:hAnsi="Times New Roman" w:cs="Times New Roman"/>
          <w:color w:val="000000"/>
          <w:spacing w:val="0"/>
          <w:w w:val="100"/>
          <w:position w:val="0"/>
        </w:rPr>
        <w:t>IR</w:t>
      </w:r>
      <w:r>
        <w:rPr>
          <w:color w:val="000000"/>
          <w:spacing w:val="0"/>
          <w:w w:val="100"/>
          <w:position w:val="0"/>
        </w:rPr>
        <w:t>峰会</w:t>
      </w:r>
      <w:r>
        <w:rPr>
          <w:rFonts w:ascii="Times New Roman" w:eastAsia="Times New Roman" w:hAnsi="Times New Roman" w:cs="Times New Roman"/>
          <w:color w:val="000000"/>
          <w:spacing w:val="0"/>
          <w:w w:val="100"/>
          <w:position w:val="0"/>
        </w:rPr>
        <w:t>“2020-202</w:t>
      </w:r>
      <w:r>
        <w:rPr>
          <w:rFonts w:ascii="Times New Roman" w:eastAsia="Times New Roman" w:hAnsi="Times New Roman" w:cs="Times New Roman"/>
          <w:color w:val="000000"/>
          <w:spacing w:val="0"/>
          <w:w w:val="100"/>
          <w:position w:val="0"/>
        </w:rPr>
        <w:t>1</w:t>
      </w:r>
      <w:r>
        <w:rPr>
          <w:color w:val="000000"/>
          <w:spacing w:val="0"/>
          <w:w w:val="100"/>
          <w:position w:val="0"/>
        </w:rPr>
        <w:t>年度最佳数字化投资 者关系奖</w:t>
      </w:r>
      <w:r>
        <w:rPr>
          <w:rFonts w:ascii="Times New Roman" w:eastAsia="Times New Roman" w:hAnsi="Times New Roman" w:cs="Times New Roman"/>
          <w:color w:val="000000"/>
          <w:spacing w:val="0"/>
          <w:w w:val="100"/>
          <w:position w:val="0"/>
        </w:rPr>
        <w:t>”</w:t>
      </w:r>
      <w:r>
        <w:rPr>
          <w:color w:val="000000"/>
          <w:spacing w:val="0"/>
          <w:w w:val="100"/>
          <w:position w:val="0"/>
        </w:rPr>
        <w:t>；《中国证券报》</w:t>
      </w:r>
      <w:r>
        <w:rPr>
          <w:rFonts w:ascii="Times New Roman" w:eastAsia="Times New Roman" w:hAnsi="Times New Roman" w:cs="Times New Roman"/>
          <w:color w:val="000000"/>
          <w:spacing w:val="0"/>
          <w:w w:val="100"/>
          <w:position w:val="0"/>
        </w:rPr>
        <w:t>2020</w:t>
      </w:r>
      <w:r>
        <w:rPr>
          <w:color w:val="000000"/>
          <w:spacing w:val="0"/>
          <w:w w:val="100"/>
          <w:position w:val="0"/>
        </w:rPr>
        <w:t>年度金牛社会责任奖。控股子公司中国联合网络通信（香港）股份 有限公司被《机构投资者》杂志连续六年评为“亚洲最受尊崇电信企业”第一名，并被评为“亚洲最 佳</w:t>
      </w:r>
      <w:r>
        <w:rPr>
          <w:rFonts w:ascii="Times New Roman" w:eastAsia="Times New Roman" w:hAnsi="Times New Roman" w:cs="Times New Roman"/>
          <w:color w:val="000000"/>
          <w:spacing w:val="0"/>
          <w:w w:val="100"/>
          <w:position w:val="0"/>
        </w:rPr>
        <w:t>ESG</w:t>
      </w:r>
      <w:r>
        <w:rPr>
          <w:color w:val="000000"/>
          <w:spacing w:val="0"/>
          <w:w w:val="100"/>
          <w:position w:val="0"/>
        </w:rPr>
        <w:t>公司（电信业）</w:t>
      </w:r>
      <w:r>
        <w:rPr>
          <w:rFonts w:ascii="Times New Roman" w:eastAsia="Times New Roman" w:hAnsi="Times New Roman" w:cs="Times New Roman"/>
          <w:color w:val="000000"/>
          <w:spacing w:val="0"/>
          <w:w w:val="100"/>
          <w:position w:val="0"/>
        </w:rPr>
        <w:t>”“</w:t>
      </w:r>
      <w:r>
        <w:rPr>
          <w:color w:val="000000"/>
          <w:spacing w:val="0"/>
          <w:w w:val="100"/>
          <w:position w:val="0"/>
        </w:rPr>
        <w:t>亚洲最佳投资者关系团队（电信业）</w:t>
      </w:r>
      <w:r>
        <w:rPr>
          <w:rFonts w:ascii="Times New Roman" w:eastAsia="Times New Roman" w:hAnsi="Times New Roman" w:cs="Times New Roman"/>
          <w:color w:val="000000"/>
          <w:spacing w:val="0"/>
          <w:w w:val="100"/>
          <w:position w:val="0"/>
        </w:rPr>
        <w:t>”</w:t>
      </w:r>
      <w:r>
        <w:rPr>
          <w:color w:val="000000"/>
          <w:spacing w:val="0"/>
          <w:w w:val="100"/>
          <w:position w:val="0"/>
        </w:rPr>
        <w:t>；获《金融亚洲》评为</w:t>
      </w:r>
      <w:r>
        <w:rPr>
          <w:rFonts w:ascii="Times New Roman" w:eastAsia="Times New Roman" w:hAnsi="Times New Roman" w:cs="Times New Roman"/>
          <w:color w:val="000000"/>
          <w:spacing w:val="0"/>
          <w:w w:val="100"/>
          <w:position w:val="0"/>
        </w:rPr>
        <w:t>“</w:t>
      </w:r>
      <w:r>
        <w:rPr>
          <w:color w:val="000000"/>
          <w:spacing w:val="0"/>
          <w:w w:val="100"/>
          <w:position w:val="0"/>
        </w:rPr>
        <w:t>亚洲最佳电信 公司</w:t>
      </w:r>
      <w:r>
        <w:rPr>
          <w:rFonts w:ascii="Times New Roman" w:eastAsia="Times New Roman" w:hAnsi="Times New Roman" w:cs="Times New Roman"/>
          <w:color w:val="000000"/>
          <w:spacing w:val="0"/>
          <w:w w:val="100"/>
          <w:position w:val="0"/>
        </w:rPr>
        <w:t>”</w:t>
      </w:r>
      <w:r>
        <w:rPr>
          <w:color w:val="000000"/>
          <w:spacing w:val="0"/>
          <w:w w:val="100"/>
          <w:position w:val="0"/>
        </w:rPr>
        <w:t>第一名、</w:t>
      </w:r>
      <w:r>
        <w:rPr>
          <w:rFonts w:ascii="Times New Roman" w:eastAsia="Times New Roman" w:hAnsi="Times New Roman" w:cs="Times New Roman"/>
          <w:color w:val="000000"/>
          <w:spacing w:val="0"/>
          <w:w w:val="100"/>
          <w:position w:val="0"/>
        </w:rPr>
        <w:t>“</w:t>
      </w:r>
      <w:r>
        <w:rPr>
          <w:color w:val="000000"/>
          <w:spacing w:val="0"/>
          <w:w w:val="100"/>
          <w:position w:val="0"/>
        </w:rPr>
        <w:t>中国最佳管理上市公司</w:t>
      </w:r>
      <w:r>
        <w:rPr>
          <w:rFonts w:ascii="Times New Roman" w:eastAsia="Times New Roman" w:hAnsi="Times New Roman" w:cs="Times New Roman"/>
          <w:color w:val="000000"/>
          <w:spacing w:val="0"/>
          <w:w w:val="100"/>
          <w:position w:val="0"/>
        </w:rPr>
        <w:t>”</w:t>
      </w:r>
      <w:r>
        <w:rPr>
          <w:color w:val="000000"/>
          <w:spacing w:val="0"/>
          <w:w w:val="100"/>
          <w:position w:val="0"/>
        </w:rPr>
        <w:t>第一名、</w:t>
      </w:r>
      <w:r>
        <w:rPr>
          <w:rFonts w:ascii="Times New Roman" w:eastAsia="Times New Roman" w:hAnsi="Times New Roman" w:cs="Times New Roman"/>
          <w:color w:val="000000"/>
          <w:spacing w:val="0"/>
          <w:w w:val="100"/>
          <w:position w:val="0"/>
        </w:rPr>
        <w:t>“</w:t>
      </w:r>
      <w:r>
        <w:rPr>
          <w:color w:val="000000"/>
          <w:spacing w:val="0"/>
          <w:w w:val="100"/>
          <w:position w:val="0"/>
        </w:rPr>
        <w:t>中国最佳投资者关系''第一名；获《亚洲公司治理》 杂志评为</w:t>
      </w:r>
      <w:r>
        <w:rPr>
          <w:rFonts w:ascii="Times New Roman" w:eastAsia="Times New Roman" w:hAnsi="Times New Roman" w:cs="Times New Roman"/>
          <w:color w:val="000000"/>
          <w:spacing w:val="0"/>
          <w:w w:val="100"/>
          <w:position w:val="0"/>
        </w:rPr>
        <w:t>“</w:t>
      </w:r>
      <w:r>
        <w:rPr>
          <w:color w:val="000000"/>
          <w:spacing w:val="0"/>
          <w:w w:val="100"/>
          <w:position w:val="0"/>
        </w:rPr>
        <w:t>亚洲最佳公司</w:t>
      </w:r>
      <w:r>
        <w:rPr>
          <w:rFonts w:ascii="Times New Roman" w:eastAsia="Times New Roman" w:hAnsi="Times New Roman" w:cs="Times New Roman"/>
          <w:color w:val="000000"/>
          <w:spacing w:val="0"/>
          <w:w w:val="100"/>
          <w:position w:val="0"/>
        </w:rPr>
        <w:t>-ESG</w:t>
      </w:r>
      <w:r>
        <w:rPr>
          <w:color w:val="000000"/>
          <w:spacing w:val="0"/>
          <w:w w:val="100"/>
          <w:position w:val="0"/>
        </w:rPr>
        <w:t>典范</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“ESG</w:t>
      </w:r>
      <w:r>
        <w:rPr>
          <w:color w:val="000000"/>
          <w:spacing w:val="0"/>
          <w:w w:val="100"/>
          <w:position w:val="0"/>
        </w:rPr>
        <w:t>具影响力企业</w:t>
      </w:r>
      <w:r>
        <w:rPr>
          <w:rFonts w:ascii="Times New Roman" w:eastAsia="Times New Roman" w:hAnsi="Times New Roman" w:cs="Times New Roman"/>
          <w:color w:val="000000"/>
          <w:spacing w:val="0"/>
          <w:w w:val="100"/>
          <w:position w:val="0"/>
        </w:rPr>
        <w:t>”</w:t>
      </w:r>
      <w:r>
        <w:rPr>
          <w:color w:val="000000"/>
          <w:spacing w:val="0"/>
          <w:w w:val="100"/>
          <w:position w:val="0"/>
        </w:rPr>
        <w:t>；获《财资》评为</w:t>
      </w:r>
      <w:r>
        <w:rPr>
          <w:rFonts w:ascii="Times New Roman" w:eastAsia="Times New Roman" w:hAnsi="Times New Roman" w:cs="Times New Roman"/>
          <w:color w:val="000000"/>
          <w:spacing w:val="0"/>
          <w:w w:val="100"/>
          <w:position w:val="0"/>
        </w:rPr>
        <w:t>“</w:t>
      </w:r>
      <w:r>
        <w:rPr>
          <w:color w:val="000000"/>
          <w:spacing w:val="0"/>
          <w:w w:val="100"/>
          <w:position w:val="0"/>
        </w:rPr>
        <w:t>卓越管治、环境保护及企业 社会责任金奖</w:t>
      </w:r>
      <w:r>
        <w:rPr>
          <w:rFonts w:ascii="Times New Roman" w:eastAsia="Times New Roman" w:hAnsi="Times New Roman" w:cs="Times New Roman"/>
          <w:color w:val="000000"/>
          <w:spacing w:val="0"/>
          <w:w w:val="100"/>
          <w:position w:val="0"/>
        </w:rPr>
        <w:t>”</w:t>
      </w:r>
      <w:r>
        <w:rPr>
          <w:color w:val="000000"/>
          <w:spacing w:val="0"/>
          <w:w w:val="100"/>
          <w:position w:val="0"/>
        </w:rPr>
        <w:t>；获</w:t>
      </w:r>
      <w:r>
        <w:rPr>
          <w:color w:val="000000"/>
          <w:spacing w:val="0"/>
          <w:w w:val="100"/>
          <w:position w:val="0"/>
        </w:rPr>
        <w:t>《</w:t>
      </w:r>
      <w:r>
        <w:rPr>
          <w:rFonts w:ascii="Times New Roman" w:eastAsia="Times New Roman" w:hAnsi="Times New Roman" w:cs="Times New Roman"/>
          <w:color w:val="000000"/>
          <w:spacing w:val="0"/>
          <w:w w:val="100"/>
          <w:position w:val="0"/>
        </w:rPr>
        <w:t>IR</w:t>
      </w:r>
      <w:r>
        <w:rPr>
          <w:color w:val="000000"/>
          <w:spacing w:val="0"/>
          <w:w w:val="100"/>
          <w:position w:val="0"/>
        </w:rPr>
        <w:t>杂志》评为</w:t>
      </w:r>
      <w:r>
        <w:rPr>
          <w:rFonts w:ascii="Times New Roman" w:eastAsia="Times New Roman" w:hAnsi="Times New Roman" w:cs="Times New Roman"/>
          <w:color w:val="000000"/>
          <w:spacing w:val="0"/>
          <w:w w:val="100"/>
          <w:position w:val="0"/>
        </w:rPr>
        <w:t>“</w:t>
      </w:r>
      <w:r>
        <w:rPr>
          <w:color w:val="000000"/>
          <w:spacing w:val="0"/>
          <w:w w:val="100"/>
          <w:position w:val="0"/>
        </w:rPr>
        <w:t>最佳投资者关系公司</w:t>
      </w:r>
      <w:r>
        <w:rPr>
          <w:rFonts w:ascii="Times New Roman" w:eastAsia="Times New Roman" w:hAnsi="Times New Roman" w:cs="Times New Roman"/>
          <w:color w:val="000000"/>
          <w:spacing w:val="0"/>
          <w:w w:val="100"/>
          <w:position w:val="0"/>
        </w:rPr>
        <w:t>（</w:t>
      </w:r>
      <w:r>
        <w:rPr>
          <w:color w:val="000000"/>
          <w:spacing w:val="0"/>
          <w:w w:val="100"/>
          <w:position w:val="0"/>
        </w:rPr>
        <w:t>大型企业广'通信行业最佳公司''等。</w:t>
      </w:r>
    </w:p>
    <w:p>
      <w:pPr>
        <w:pStyle w:val="Style16"/>
        <w:keepNext/>
        <w:keepLines/>
        <w:widowControl w:val="0"/>
        <w:shd w:val="clear" w:color="auto" w:fill="auto"/>
        <w:bidi w:val="0"/>
        <w:spacing w:before="0" w:line="283" w:lineRule="exact"/>
        <w:ind w:left="840" w:right="0" w:hanging="420"/>
        <w:jc w:val="both"/>
      </w:pPr>
      <w:bookmarkStart w:id="340" w:name="bookmark340"/>
      <w:bookmarkStart w:id="341" w:name="bookmark341"/>
      <w:bookmarkStart w:id="342" w:name="bookmark342"/>
      <w:bookmarkStart w:id="343" w:name="bookmark343"/>
      <w:r>
        <w:rPr>
          <w:color w:val="000000"/>
          <w:spacing w:val="0"/>
          <w:w w:val="100"/>
          <w:position w:val="0"/>
        </w:rPr>
        <w:t>二</w:t>
      </w:r>
      <w:bookmarkEnd w:id="342"/>
      <w:r>
        <w:rPr>
          <w:color w:val="000000"/>
          <w:spacing w:val="0"/>
          <w:w w:val="100"/>
          <w:position w:val="0"/>
        </w:rPr>
        <w:t>、公司控股股东、实际控制人在保证公司资产、人员、财务、机构、业务等方面独立性的具体措施， 以及影响公司独立性而采取的解决方案、工作进度及后续工作计划</w:t>
      </w:r>
      <w:bookmarkEnd w:id="340"/>
      <w:bookmarkEnd w:id="341"/>
      <w:bookmarkEnd w:id="343"/>
    </w:p>
    <w:p>
      <w:pPr>
        <w:pStyle w:val="Style5"/>
        <w:keepNext w:val="0"/>
        <w:keepLines w:val="0"/>
        <w:widowControl w:val="0"/>
        <w:shd w:val="clear" w:color="auto" w:fill="auto"/>
        <w:bidi w:val="0"/>
        <w:spacing w:before="0" w:line="360" w:lineRule="exact"/>
        <w:ind w:left="0" w:right="0" w:firstLine="42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40" w:line="360" w:lineRule="exact"/>
        <w:ind w:left="720" w:right="0"/>
        <w:jc w:val="left"/>
      </w:pPr>
      <w:r>
        <w:rPr>
          <w:color w:val="000000"/>
          <w:spacing w:val="0"/>
          <w:w w:val="100"/>
          <w:position w:val="0"/>
        </w:rPr>
        <w:t>公司控股股东严格规范自己行为，依法行使股东权利，承担义务。公司与控股股东在业务、人员、 资产、机构、财务等方面均保持独立性。</w:t>
      </w:r>
    </w:p>
    <w:p>
      <w:pPr>
        <w:pStyle w:val="Style5"/>
        <w:keepNext w:val="0"/>
        <w:keepLines w:val="0"/>
        <w:widowControl w:val="0"/>
        <w:numPr>
          <w:ilvl w:val="0"/>
          <w:numId w:val="27"/>
        </w:numPr>
        <w:shd w:val="clear" w:color="auto" w:fill="auto"/>
        <w:tabs>
          <w:tab w:pos="1467" w:val="left"/>
        </w:tabs>
        <w:bidi w:val="0"/>
        <w:spacing w:before="0" w:after="40" w:line="365" w:lineRule="exact"/>
        <w:ind w:left="720" w:right="0"/>
        <w:jc w:val="left"/>
      </w:pPr>
      <w:bookmarkStart w:id="344" w:name="bookmark344"/>
      <w:bookmarkEnd w:id="344"/>
      <w:r>
        <w:rPr>
          <w:color w:val="000000"/>
          <w:spacing w:val="0"/>
          <w:w w:val="100"/>
          <w:position w:val="0"/>
        </w:rPr>
        <w:t>由于本公司的经营范围仅限于通过联通</w:t>
      </w:r>
      <w:r>
        <w:rPr>
          <w:rFonts w:ascii="Times New Roman" w:eastAsia="Times New Roman" w:hAnsi="Times New Roman" w:cs="Times New Roman"/>
          <w:color w:val="000000"/>
          <w:spacing w:val="0"/>
          <w:w w:val="100"/>
          <w:position w:val="0"/>
        </w:rPr>
        <w:t>BVI</w:t>
      </w:r>
      <w:r>
        <w:rPr>
          <w:color w:val="000000"/>
          <w:spacing w:val="0"/>
          <w:w w:val="100"/>
          <w:position w:val="0"/>
        </w:rPr>
        <w:t>公司持有联通红筹公司的股权，而不直接经营任何 其它业务，因此业务界面完全独立于控股股东。</w:t>
      </w:r>
    </w:p>
    <w:p>
      <w:pPr>
        <w:pStyle w:val="Style5"/>
        <w:keepNext w:val="0"/>
        <w:keepLines w:val="0"/>
        <w:widowControl w:val="0"/>
        <w:numPr>
          <w:ilvl w:val="0"/>
          <w:numId w:val="27"/>
        </w:numPr>
        <w:shd w:val="clear" w:color="auto" w:fill="auto"/>
        <w:bidi w:val="0"/>
        <w:spacing w:before="0" w:after="40" w:line="370" w:lineRule="exact"/>
        <w:ind w:left="720" w:right="0"/>
        <w:jc w:val="left"/>
      </w:pPr>
      <w:bookmarkStart w:id="345" w:name="bookmark345"/>
      <w:bookmarkEnd w:id="345"/>
      <w:r>
        <w:rPr>
          <w:rFonts w:ascii="Times New Roman" w:eastAsia="Times New Roman" w:hAnsi="Times New Roman" w:cs="Times New Roman"/>
          <w:color w:val="000000"/>
          <w:spacing w:val="0"/>
          <w:w w:val="100"/>
          <w:position w:val="0"/>
        </w:rPr>
        <w:t xml:space="preserve"> </w:t>
      </w:r>
      <w:r>
        <w:rPr>
          <w:color w:val="000000"/>
          <w:spacing w:val="0"/>
          <w:w w:val="100"/>
          <w:position w:val="0"/>
        </w:rPr>
        <w:t>除公司现任总裁、高级副总裁、首席财务官、董事会秘书及总法律顾问在联通集团兼职外（有 关兼职情况详见第八节董事、监事、高级管理人员和员工情况之二（一）在股东单位任职情况），公 司其他高级管理人员均相对控股股东独立配置。</w:t>
      </w:r>
    </w:p>
    <w:p>
      <w:pPr>
        <w:pStyle w:val="Style5"/>
        <w:keepNext w:val="0"/>
        <w:keepLines w:val="0"/>
        <w:widowControl w:val="0"/>
        <w:numPr>
          <w:ilvl w:val="0"/>
          <w:numId w:val="27"/>
        </w:numPr>
        <w:shd w:val="clear" w:color="auto" w:fill="auto"/>
        <w:tabs>
          <w:tab w:pos="1454" w:val="left"/>
        </w:tabs>
        <w:bidi w:val="0"/>
        <w:spacing w:before="0" w:after="40" w:line="370" w:lineRule="exact"/>
        <w:ind w:left="1120" w:right="0" w:firstLine="0"/>
        <w:jc w:val="left"/>
      </w:pPr>
      <w:bookmarkStart w:id="346" w:name="bookmark346"/>
      <w:bookmarkEnd w:id="346"/>
      <w:r>
        <w:rPr>
          <w:color w:val="000000"/>
          <w:spacing w:val="0"/>
          <w:w w:val="100"/>
          <w:position w:val="0"/>
        </w:rPr>
        <w:t>公司所拥有的资产具有完备的所有权和管理权。</w:t>
      </w:r>
    </w:p>
    <w:p>
      <w:pPr>
        <w:pStyle w:val="Style5"/>
        <w:keepNext w:val="0"/>
        <w:keepLines w:val="0"/>
        <w:widowControl w:val="0"/>
        <w:numPr>
          <w:ilvl w:val="0"/>
          <w:numId w:val="27"/>
        </w:numPr>
        <w:shd w:val="clear" w:color="auto" w:fill="auto"/>
        <w:bidi w:val="0"/>
        <w:spacing w:before="0" w:after="40" w:line="370" w:lineRule="exact"/>
        <w:ind w:left="1120" w:right="0" w:firstLine="0"/>
        <w:jc w:val="left"/>
      </w:pPr>
      <w:bookmarkStart w:id="347" w:name="bookmark347"/>
      <w:bookmarkEnd w:id="347"/>
      <w:r>
        <w:rPr>
          <w:rFonts w:ascii="Times New Roman" w:eastAsia="Times New Roman" w:hAnsi="Times New Roman" w:cs="Times New Roman"/>
          <w:color w:val="000000"/>
          <w:spacing w:val="0"/>
          <w:w w:val="100"/>
          <w:position w:val="0"/>
        </w:rPr>
        <w:t xml:space="preserve"> </w:t>
      </w:r>
      <w:r>
        <w:rPr>
          <w:color w:val="000000"/>
          <w:spacing w:val="0"/>
          <w:w w:val="100"/>
          <w:position w:val="0"/>
        </w:rPr>
        <w:t>公司股东会、董事会、监事会和内部机构均相对控股股东独立运作。</w:t>
      </w:r>
    </w:p>
    <w:p>
      <w:pPr>
        <w:pStyle w:val="Style5"/>
        <w:keepNext w:val="0"/>
        <w:keepLines w:val="0"/>
        <w:widowControl w:val="0"/>
        <w:numPr>
          <w:ilvl w:val="0"/>
          <w:numId w:val="27"/>
        </w:numPr>
        <w:shd w:val="clear" w:color="auto" w:fill="auto"/>
        <w:tabs>
          <w:tab w:pos="1462" w:val="left"/>
        </w:tabs>
        <w:bidi w:val="0"/>
        <w:spacing w:before="0" w:after="580" w:line="374" w:lineRule="exact"/>
        <w:ind w:left="720" w:right="0"/>
        <w:jc w:val="left"/>
      </w:pPr>
      <w:bookmarkStart w:id="348" w:name="bookmark348"/>
      <w:bookmarkEnd w:id="348"/>
      <w:r>
        <w:rPr>
          <w:color w:val="000000"/>
          <w:spacing w:val="0"/>
          <w:w w:val="100"/>
          <w:position w:val="0"/>
        </w:rPr>
        <w:t>公司严格按照相关法规要求独立进行会计核算和财务管理，未发现控股股东非经营性占用公司 资金和资产的情况。</w:t>
      </w:r>
    </w:p>
    <w:p>
      <w:pPr>
        <w:pStyle w:val="Style25"/>
        <w:keepNext w:val="0"/>
        <w:keepLines w:val="0"/>
        <w:widowControl w:val="0"/>
        <w:shd w:val="clear" w:color="auto" w:fill="auto"/>
        <w:bidi w:val="0"/>
        <w:spacing w:before="0" w:after="0" w:line="240" w:lineRule="auto"/>
        <w:ind w:left="696" w:right="0" w:firstLine="0"/>
        <w:jc w:val="left"/>
      </w:pPr>
      <w:r>
        <w:rPr>
          <w:b/>
          <w:bCs/>
          <w:color w:val="000000"/>
          <w:spacing w:val="0"/>
          <w:w w:val="100"/>
          <w:position w:val="0"/>
        </w:rPr>
        <w:t>三、股东大会情况简介</w:t>
      </w:r>
    </w:p>
    <w:tbl>
      <w:tblPr>
        <w:tblOverlap w:val="never"/>
        <w:jc w:val="center"/>
        <w:tblLayout w:type="fixed"/>
      </w:tblPr>
      <w:tblGrid>
        <w:gridCol w:w="1171"/>
        <w:gridCol w:w="989"/>
        <w:gridCol w:w="1632"/>
        <w:gridCol w:w="1387"/>
        <w:gridCol w:w="5323"/>
      </w:tblGrid>
      <w:tr>
        <w:trPr>
          <w:trHeight w:val="830"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召开 日期</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78" w:lineRule="exact"/>
              <w:ind w:left="0" w:right="0" w:firstLine="180"/>
              <w:jc w:val="left"/>
            </w:pPr>
            <w:r>
              <w:rPr>
                <w:color w:val="000000"/>
                <w:spacing w:val="0"/>
                <w:w w:val="100"/>
                <w:position w:val="0"/>
              </w:rPr>
              <w:t>决议刊登的指</w:t>
            </w:r>
          </w:p>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定网站的查询 索引</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 次临时股东 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18"/>
                <w:szCs w:val="18"/>
              </w:rPr>
              <w:t>www.sse.com.cn</w:t>
            </w:r>
            <w:r>
              <w:fldChar w:fldCharType="end"/>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chinaunicom</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a.com.cn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决议通过《关于增补陈忠岳先生为公司董事的议案》《关于 增补王军辉先生为公司董事的议案》</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 次临时股东 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18"/>
                <w:szCs w:val="18"/>
              </w:rPr>
              <w:t>www.sse.com.cn</w:t>
            </w:r>
            <w:r>
              <w:fldChar w:fldCharType="end"/>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"http://www.chinaunicom" </w:instrText>
            </w:r>
            <w:r>
              <w:fldChar w:fldCharType="separate"/>
            </w:r>
            <w:r>
              <w:rPr>
                <w:rFonts w:ascii="Times New Roman" w:eastAsia="Times New Roman" w:hAnsi="Times New Roman" w:cs="Times New Roman"/>
                <w:color w:val="000000"/>
                <w:spacing w:val="0"/>
                <w:w w:val="100"/>
                <w:position w:val="0"/>
                <w:sz w:val="18"/>
                <w:szCs w:val="18"/>
              </w:rPr>
              <w:t>www.chinaunicom</w:t>
            </w:r>
            <w:r>
              <w:fldChar w:fldCharType="end"/>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a.com.cn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决议通过《关于公司董事会换届暨选举第七届董事会董事的 议案》《关于公司监事会换届暨选举第七届监事会监事的议 案》</w:t>
            </w:r>
          </w:p>
        </w:tc>
      </w:tr>
      <w:tr>
        <w:trPr>
          <w:trHeight w:val="3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18"/>
                <w:szCs w:val="18"/>
              </w:rPr>
              <w:t>www.sse.com.cn</w:t>
            </w:r>
            <w:r>
              <w:fldChar w:fldCharType="end"/>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"http://www.chinaunicom" </w:instrText>
            </w:r>
            <w:r>
              <w:fldChar w:fldCharType="separate"/>
            </w:r>
            <w:r>
              <w:rPr>
                <w:rFonts w:ascii="Times New Roman" w:eastAsia="Times New Roman" w:hAnsi="Times New Roman" w:cs="Times New Roman"/>
                <w:color w:val="000000"/>
                <w:spacing w:val="0"/>
                <w:w w:val="100"/>
                <w:position w:val="0"/>
                <w:sz w:val="18"/>
                <w:szCs w:val="18"/>
              </w:rPr>
              <w:t>www.chinaunicom</w:t>
            </w:r>
            <w:r>
              <w:fldChar w:fldCharType="end"/>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a.com.cn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决议通过《关于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年度财务决算报告的议案》《关于</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18"/>
                <w:szCs w:val="18"/>
              </w:rPr>
              <w:t>年度利润分配的议案》《关于变更会计师事务所的议案》《关 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年度董事会报告的议案》《关于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年度监事会报 告的议案》《关于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年年度报告的议案》《关于对中国 联合网络通信（香港）股份有限公司（简称“联通红筹公司”） 年度股东大会“渗透投票”的议案》《关于公司调整募集资 金投资项目投入金额的议案》《关于回购注销首期限制性股 票计划部分激励对象限制性股票的议案》《关于日常关联交 易的议案》《关于减少公司注册资本、修订</w:t>
            </w:r>
            <w:r>
              <w:rPr>
                <w:color w:val="000000"/>
                <w:spacing w:val="0"/>
                <w:w w:val="100"/>
                <w:position w:val="0"/>
                <w:sz w:val="20"/>
                <w:szCs w:val="20"/>
              </w:rPr>
              <w:t>〈</w:t>
            </w:r>
            <w:r>
              <w:rPr>
                <w:color w:val="000000"/>
                <w:spacing w:val="0"/>
                <w:w w:val="100"/>
                <w:position w:val="0"/>
                <w:sz w:val="18"/>
                <w:szCs w:val="18"/>
              </w:rPr>
              <w:t>公司章程</w:t>
            </w:r>
            <w:r>
              <w:rPr>
                <w:color w:val="000000"/>
                <w:spacing w:val="0"/>
                <w:w w:val="100"/>
                <w:position w:val="0"/>
                <w:sz w:val="20"/>
                <w:szCs w:val="20"/>
              </w:rPr>
              <w:t>〉</w:t>
            </w:r>
            <w:r>
              <w:rPr>
                <w:color w:val="000000"/>
                <w:spacing w:val="0"/>
                <w:w w:val="100"/>
                <w:position w:val="0"/>
                <w:sz w:val="18"/>
                <w:szCs w:val="18"/>
              </w:rPr>
              <w:t>并 办理工商变更登记的议案》《关于公司董事、监事及高级管 理人员购买履职责任保险的议案》《关于增补童国华先生为 公司董事的议案》</w:t>
            </w:r>
          </w:p>
        </w:tc>
      </w:tr>
      <w:tr>
        <w:trPr>
          <w:trHeight w:val="7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 次临时股东 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18"/>
                <w:szCs w:val="18"/>
              </w:rPr>
              <w:t>www.sse.com.cn</w:t>
            </w:r>
            <w:r>
              <w:fldChar w:fldCharType="end"/>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"http://www.chinaunicom" </w:instrText>
            </w:r>
            <w:r>
              <w:fldChar w:fldCharType="separate"/>
            </w:r>
            <w:r>
              <w:rPr>
                <w:rFonts w:ascii="Times New Roman" w:eastAsia="Times New Roman" w:hAnsi="Times New Roman" w:cs="Times New Roman"/>
                <w:color w:val="000000"/>
                <w:spacing w:val="0"/>
                <w:w w:val="100"/>
                <w:position w:val="0"/>
                <w:sz w:val="18"/>
                <w:szCs w:val="18"/>
              </w:rPr>
              <w:t>www.chinaunicom</w:t>
            </w:r>
            <w:r>
              <w:fldChar w:fldCharType="end"/>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a.com.cn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 xml:space="preserve">决议通过《关于增补刘烈宏先生为公司董事的议案》《关于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8"/>
                <w:szCs w:val="18"/>
              </w:rPr>
              <w:t>年半年度利润分配的议案》</w:t>
            </w:r>
          </w:p>
        </w:tc>
      </w:tr>
      <w:tr>
        <w:trPr>
          <w:trHeight w:val="10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年第四 次临时股东 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18"/>
                <w:szCs w:val="18"/>
              </w:rPr>
              <w:t>www.sse.com.cn</w:t>
            </w:r>
            <w:r>
              <w:fldChar w:fldCharType="end"/>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"http://www.chinaunicom" </w:instrText>
            </w:r>
            <w:r>
              <w:fldChar w:fldCharType="separate"/>
            </w:r>
            <w:r>
              <w:rPr>
                <w:rFonts w:ascii="Times New Roman" w:eastAsia="Times New Roman" w:hAnsi="Times New Roman" w:cs="Times New Roman"/>
                <w:color w:val="000000"/>
                <w:spacing w:val="0"/>
                <w:w w:val="100"/>
                <w:position w:val="0"/>
                <w:sz w:val="18"/>
                <w:szCs w:val="18"/>
              </w:rPr>
              <w:t>www.chinaunicom</w:t>
            </w:r>
            <w:r>
              <w:fldChar w:fldCharType="end"/>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a.com.cn</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62" w:lineRule="exact"/>
              <w:ind w:left="0" w:right="0" w:firstLine="0"/>
              <w:jc w:val="both"/>
              <w:rPr>
                <w:sz w:val="18"/>
                <w:szCs w:val="18"/>
              </w:rPr>
            </w:pPr>
            <w:r>
              <w:rPr>
                <w:color w:val="000000"/>
                <w:spacing w:val="0"/>
                <w:w w:val="100"/>
                <w:position w:val="0"/>
                <w:sz w:val="18"/>
                <w:szCs w:val="18"/>
              </w:rPr>
              <w:t>决议通过《关于增补王俊治先生为公司董事的议案》《关于 增补王培暖先生为公司董事的议案》《关于修订公司治理制 度相关事项的议案》</w:t>
            </w:r>
          </w:p>
        </w:tc>
      </w:tr>
    </w:tbl>
    <w:p>
      <w:pPr>
        <w:widowControl w:val="0"/>
        <w:spacing w:after="579" w:line="1" w:lineRule="exact"/>
      </w:pP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股东大会情况说明</w:t>
      </w:r>
    </w:p>
    <w:p>
      <w:pPr>
        <w:pStyle w:val="Style5"/>
        <w:keepNext w:val="0"/>
        <w:keepLines w:val="0"/>
        <w:widowControl w:val="0"/>
        <w:shd w:val="clear" w:color="auto" w:fill="auto"/>
        <w:bidi w:val="0"/>
        <w:spacing w:before="0" w:line="323" w:lineRule="exact"/>
        <w:ind w:left="0" w:right="0" w:firstLine="84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8</w:t>
      </w:r>
      <w:r>
        <w:rPr>
          <w:color w:val="000000"/>
          <w:spacing w:val="0"/>
          <w:w w:val="100"/>
          <w:position w:val="0"/>
        </w:rPr>
        <w:t>日，公司在杭州召开</w:t>
      </w:r>
      <w:r>
        <w:rPr>
          <w:color w:val="000000"/>
          <w:spacing w:val="0"/>
          <w:w w:val="100"/>
          <w:position w:val="0"/>
        </w:rPr>
        <w:t>2021</w:t>
      </w:r>
      <w:r>
        <w:rPr>
          <w:color w:val="000000"/>
          <w:spacing w:val="0"/>
          <w:w w:val="100"/>
          <w:position w:val="0"/>
        </w:rPr>
        <w:t>年第一次临时股东大会，审议通过了关于增补董事的议案。</w:t>
      </w:r>
    </w:p>
    <w:p>
      <w:pPr>
        <w:pStyle w:val="Style5"/>
        <w:keepNext w:val="0"/>
        <w:keepLines w:val="0"/>
        <w:widowControl w:val="0"/>
        <w:shd w:val="clear" w:color="auto" w:fill="auto"/>
        <w:bidi w:val="0"/>
        <w:spacing w:before="0" w:line="326" w:lineRule="exact"/>
        <w:ind w:left="42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日，公司在北京召开</w:t>
      </w:r>
      <w:r>
        <w:rPr>
          <w:color w:val="000000"/>
          <w:spacing w:val="0"/>
          <w:w w:val="100"/>
          <w:position w:val="0"/>
        </w:rPr>
        <w:t>2021</w:t>
      </w:r>
      <w:r>
        <w:rPr>
          <w:color w:val="000000"/>
          <w:spacing w:val="0"/>
          <w:w w:val="100"/>
          <w:position w:val="0"/>
        </w:rPr>
        <w:t>年第二次临时股东大会，审议通过了关于董事会换届暨选 举董事、监事会换届暨选举监事的议案。</w:t>
      </w:r>
    </w:p>
    <w:p>
      <w:pPr>
        <w:pStyle w:val="Style5"/>
        <w:keepNext w:val="0"/>
        <w:keepLines w:val="0"/>
        <w:widowControl w:val="0"/>
        <w:shd w:val="clear" w:color="auto" w:fill="auto"/>
        <w:bidi w:val="0"/>
        <w:spacing w:before="0" w:line="323" w:lineRule="exact"/>
        <w:ind w:left="42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日，公司在北京召开</w:t>
      </w:r>
      <w:r>
        <w:rPr>
          <w:color w:val="000000"/>
          <w:spacing w:val="0"/>
          <w:w w:val="100"/>
          <w:position w:val="0"/>
        </w:rPr>
        <w:t>2020</w:t>
      </w:r>
      <w:r>
        <w:rPr>
          <w:color w:val="000000"/>
          <w:spacing w:val="0"/>
          <w:w w:val="100"/>
          <w:position w:val="0"/>
        </w:rPr>
        <w:t>年年度股东大会，审议通过了包括</w:t>
      </w:r>
      <w:r>
        <w:rPr>
          <w:color w:val="000000"/>
          <w:spacing w:val="0"/>
          <w:w w:val="100"/>
          <w:position w:val="0"/>
        </w:rPr>
        <w:t>2020</w:t>
      </w:r>
      <w:r>
        <w:rPr>
          <w:color w:val="000000"/>
          <w:spacing w:val="0"/>
          <w:w w:val="100"/>
          <w:position w:val="0"/>
        </w:rPr>
        <w:t>年年度报告、财 务决算报告、利润分配、变更会计师事务所、董事会报告、监事会报告、对联通红筹公司股东大会“渗 透投票”、调整募集资金投资项目投入金额、日常关联交易、增补董事、为董监高购买履职责任保险、 回购注销首期限制性股票计划部分激励对象限制性股票、减少公司注册资本等议案。</w:t>
      </w:r>
    </w:p>
    <w:p>
      <w:pPr>
        <w:pStyle w:val="Style5"/>
        <w:keepNext w:val="0"/>
        <w:keepLines w:val="0"/>
        <w:widowControl w:val="0"/>
        <w:shd w:val="clear" w:color="auto" w:fill="auto"/>
        <w:bidi w:val="0"/>
        <w:spacing w:before="0" w:line="331" w:lineRule="exact"/>
        <w:ind w:left="42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日，公司在北京召开</w:t>
      </w:r>
      <w:r>
        <w:rPr>
          <w:color w:val="000000"/>
          <w:spacing w:val="0"/>
          <w:w w:val="100"/>
          <w:position w:val="0"/>
        </w:rPr>
        <w:t>2021</w:t>
      </w:r>
      <w:r>
        <w:rPr>
          <w:color w:val="000000"/>
          <w:spacing w:val="0"/>
          <w:w w:val="100"/>
          <w:position w:val="0"/>
        </w:rPr>
        <w:t>年第三次临时股东大会，审议通过了关于增补董事、半年 度利润分配的议案。</w:t>
      </w:r>
    </w:p>
    <w:p>
      <w:pPr>
        <w:pStyle w:val="Style5"/>
        <w:keepNext w:val="0"/>
        <w:keepLines w:val="0"/>
        <w:widowControl w:val="0"/>
        <w:shd w:val="clear" w:color="auto" w:fill="auto"/>
        <w:bidi w:val="0"/>
        <w:spacing w:before="0" w:line="336" w:lineRule="exact"/>
        <w:ind w:left="42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日，公司在北京召开</w:t>
      </w:r>
      <w:r>
        <w:rPr>
          <w:color w:val="000000"/>
          <w:spacing w:val="0"/>
          <w:w w:val="100"/>
          <w:position w:val="0"/>
        </w:rPr>
        <w:t>2021</w:t>
      </w:r>
      <w:r>
        <w:rPr>
          <w:color w:val="000000"/>
          <w:spacing w:val="0"/>
          <w:w w:val="100"/>
          <w:position w:val="0"/>
        </w:rPr>
        <w:t>年第四次临时股东大会，审议通过了关于增补董事、修 订公司治理制度相关事项的议案</w:t>
      </w:r>
    </w:p>
    <w:p>
      <w:pPr>
        <w:pStyle w:val="Style5"/>
        <w:keepNext w:val="0"/>
        <w:keepLines w:val="0"/>
        <w:widowControl w:val="0"/>
        <w:shd w:val="clear" w:color="auto" w:fill="auto"/>
        <w:bidi w:val="0"/>
        <w:spacing w:before="0" w:line="317" w:lineRule="exact"/>
        <w:ind w:left="420" w:right="0" w:firstLine="420"/>
        <w:jc w:val="both"/>
        <w:sectPr>
          <w:footnotePr>
            <w:pos w:val="pageBottom"/>
            <w:numFmt w:val="decimal"/>
            <w:numRestart w:val="continuous"/>
          </w:footnotePr>
          <w:pgSz w:w="11900" w:h="16840"/>
          <w:pgMar w:top="1422" w:right="526" w:bottom="1484" w:left="871" w:header="0" w:footer="3" w:gutter="0"/>
          <w:cols w:space="720"/>
          <w:noEndnote/>
          <w:rtlGutter w:val="0"/>
          <w:docGrid w:linePitch="360"/>
        </w:sectPr>
      </w:pPr>
      <w:r>
        <w:rPr>
          <w:color w:val="000000"/>
          <w:spacing w:val="0"/>
          <w:w w:val="100"/>
          <w:position w:val="0"/>
        </w:rPr>
        <w:t>详情请见公司在《中国证券报》《上海证券报》《证券时报》、上海证券交易所网站及公司网站发 布的《</w:t>
      </w:r>
      <w:r>
        <w:rPr>
          <w:color w:val="000000"/>
          <w:spacing w:val="0"/>
          <w:w w:val="100"/>
          <w:position w:val="0"/>
        </w:rPr>
        <w:t>2021</w:t>
      </w:r>
      <w:r>
        <w:rPr>
          <w:color w:val="000000"/>
          <w:spacing w:val="0"/>
          <w:w w:val="100"/>
          <w:position w:val="0"/>
        </w:rPr>
        <w:t>年第一次临时股东大会决议公告》（公告编号：</w:t>
      </w:r>
      <w:r>
        <w:rPr>
          <w:color w:val="000000"/>
          <w:spacing w:val="0"/>
          <w:w w:val="100"/>
          <w:position w:val="0"/>
        </w:rPr>
        <w:t>2021-015）</w:t>
      </w:r>
      <w:r>
        <w:rPr>
          <w:color w:val="000000"/>
          <w:spacing w:val="0"/>
          <w:w w:val="100"/>
          <w:position w:val="0"/>
        </w:rPr>
        <w:t>、《</w:t>
      </w:r>
      <w:r>
        <w:rPr>
          <w:color w:val="000000"/>
          <w:spacing w:val="0"/>
          <w:w w:val="100"/>
          <w:position w:val="0"/>
        </w:rPr>
        <w:t>2021</w:t>
      </w:r>
      <w:r>
        <w:rPr>
          <w:color w:val="000000"/>
          <w:spacing w:val="0"/>
          <w:w w:val="100"/>
          <w:position w:val="0"/>
        </w:rPr>
        <w:t>年第二次临时股东大会 决议公告》（公告编号：</w:t>
      </w:r>
      <w:r>
        <w:rPr>
          <w:color w:val="000000"/>
          <w:spacing w:val="0"/>
          <w:w w:val="100"/>
          <w:position w:val="0"/>
        </w:rPr>
        <w:t>2021-038）</w:t>
      </w:r>
      <w:r>
        <w:rPr>
          <w:color w:val="000000"/>
          <w:spacing w:val="0"/>
          <w:w w:val="100"/>
          <w:position w:val="0"/>
        </w:rPr>
        <w:t>、《</w:t>
      </w:r>
      <w:r>
        <w:rPr>
          <w:color w:val="000000"/>
          <w:spacing w:val="0"/>
          <w:w w:val="100"/>
          <w:position w:val="0"/>
        </w:rPr>
        <w:t>2020</w:t>
      </w:r>
      <w:r>
        <w:rPr>
          <w:color w:val="000000"/>
          <w:spacing w:val="0"/>
          <w:w w:val="100"/>
          <w:position w:val="0"/>
        </w:rPr>
        <w:t>年年度股东大会决议公告》（公告编号：</w:t>
      </w:r>
      <w:r>
        <w:rPr>
          <w:color w:val="000000"/>
          <w:spacing w:val="0"/>
          <w:w w:val="100"/>
          <w:position w:val="0"/>
        </w:rPr>
        <w:t>2021-052）</w:t>
      </w:r>
      <w:r>
        <w:rPr>
          <w:color w:val="000000"/>
          <w:spacing w:val="0"/>
          <w:w w:val="100"/>
          <w:position w:val="0"/>
        </w:rPr>
        <w:t>、《</w:t>
      </w:r>
      <w:r>
        <w:rPr>
          <w:color w:val="000000"/>
          <w:spacing w:val="0"/>
          <w:w w:val="100"/>
          <w:position w:val="0"/>
        </w:rPr>
        <w:t xml:space="preserve">2021 </w:t>
      </w:r>
      <w:r>
        <w:rPr>
          <w:color w:val="000000"/>
          <w:spacing w:val="0"/>
          <w:w w:val="100"/>
          <w:position w:val="0"/>
        </w:rPr>
        <w:t>年第三次临时股东大会决议公告》（公告编号：</w:t>
      </w:r>
      <w:r>
        <w:rPr>
          <w:color w:val="000000"/>
          <w:spacing w:val="0"/>
          <w:w w:val="100"/>
          <w:position w:val="0"/>
        </w:rPr>
        <w:t>2021-085）</w:t>
      </w:r>
      <w:r>
        <w:rPr>
          <w:color w:val="000000"/>
          <w:spacing w:val="0"/>
          <w:w w:val="100"/>
          <w:position w:val="0"/>
        </w:rPr>
        <w:t>、《</w:t>
      </w:r>
      <w:r>
        <w:rPr>
          <w:color w:val="000000"/>
          <w:spacing w:val="0"/>
          <w:w w:val="100"/>
          <w:position w:val="0"/>
        </w:rPr>
        <w:t>2021</w:t>
      </w:r>
      <w:r>
        <w:rPr>
          <w:color w:val="000000"/>
          <w:spacing w:val="0"/>
          <w:w w:val="100"/>
          <w:position w:val="0"/>
        </w:rPr>
        <w:t>年第四次临时股东大会决议公告》 （公告编号：</w:t>
      </w:r>
      <w:r>
        <w:rPr>
          <w:color w:val="000000"/>
          <w:spacing w:val="0"/>
          <w:w w:val="100"/>
          <w:position w:val="0"/>
        </w:rPr>
        <w:t>2021-106）</w:t>
      </w:r>
      <w:r>
        <w:rPr>
          <w:color w:val="000000"/>
          <w:spacing w:val="0"/>
          <w:w w:val="100"/>
          <w:position w:val="0"/>
        </w:rPr>
        <w:t>。</w:t>
      </w:r>
    </w:p>
    <w:p>
      <w:pPr>
        <w:pStyle w:val="Style16"/>
        <w:keepNext/>
        <w:keepLines/>
        <w:widowControl w:val="0"/>
        <w:shd w:val="clear" w:color="auto" w:fill="auto"/>
        <w:bidi w:val="0"/>
        <w:spacing w:before="0" w:after="120" w:line="240" w:lineRule="auto"/>
        <w:ind w:left="0" w:right="0"/>
        <w:jc w:val="left"/>
      </w:pPr>
      <w:bookmarkStart w:id="349" w:name="bookmark349"/>
      <w:bookmarkStart w:id="350" w:name="bookmark350"/>
      <w:bookmarkStart w:id="351" w:name="bookmark351"/>
      <w:r>
        <w:rPr>
          <w:color w:val="000000"/>
          <w:spacing w:val="0"/>
          <w:w w:val="100"/>
          <w:position w:val="0"/>
        </w:rPr>
        <w:t>四、董事、监事和高级管理人员的情况</w:t>
      </w:r>
      <w:bookmarkEnd w:id="349"/>
      <w:bookmarkEnd w:id="350"/>
      <w:bookmarkEnd w:id="351"/>
    </w:p>
    <w:p>
      <w:pPr>
        <w:pStyle w:val="Style16"/>
        <w:keepNext/>
        <w:keepLines/>
        <w:widowControl w:val="0"/>
        <w:shd w:val="clear" w:color="auto" w:fill="auto"/>
        <w:bidi w:val="0"/>
        <w:spacing w:before="0" w:after="280" w:line="240" w:lineRule="auto"/>
        <w:ind w:left="0" w:right="0"/>
        <w:jc w:val="left"/>
      </w:pPr>
      <w:bookmarkStart w:id="349" w:name="bookmark349"/>
      <w:bookmarkStart w:id="350" w:name="bookmark350"/>
      <w:bookmarkStart w:id="352" w:name="bookmark352"/>
      <w:bookmarkStart w:id="353" w:name="bookmark353"/>
      <w:r>
        <w:rPr>
          <w:rFonts w:ascii="Calibri" w:eastAsia="Calibri" w:hAnsi="Calibri" w:cs="Calibri"/>
          <w:color w:val="000000"/>
          <w:spacing w:val="0"/>
          <w:w w:val="100"/>
          <w:position w:val="0"/>
        </w:rPr>
        <w:t>（</w:t>
      </w:r>
      <w:bookmarkEnd w:id="352"/>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49"/>
      <w:bookmarkEnd w:id="350"/>
      <w:bookmarkEnd w:id="353"/>
    </w:p>
    <w:p>
      <w:pPr>
        <w:pStyle w:val="Style25"/>
        <w:keepNext w:val="0"/>
        <w:keepLines w:val="0"/>
        <w:widowControl w:val="0"/>
        <w:shd w:val="clear" w:color="auto" w:fill="auto"/>
        <w:bidi w:val="0"/>
        <w:spacing w:before="0" w:after="0" w:line="240" w:lineRule="auto"/>
        <w:ind w:left="13454" w:right="0" w:firstLine="0"/>
        <w:jc w:val="left"/>
      </w:pPr>
      <w:r>
        <w:rPr>
          <w:color w:val="000000"/>
          <w:spacing w:val="0"/>
          <w:w w:val="100"/>
          <w:position w:val="0"/>
        </w:rPr>
        <w:t>单位：股</w:t>
      </w:r>
    </w:p>
    <w:tbl>
      <w:tblPr>
        <w:tblOverlap w:val="never"/>
        <w:jc w:val="center"/>
        <w:tblLayout w:type="fixed"/>
      </w:tblPr>
      <w:tblGrid>
        <w:gridCol w:w="998"/>
        <w:gridCol w:w="1272"/>
        <w:gridCol w:w="979"/>
        <w:gridCol w:w="710"/>
        <w:gridCol w:w="2122"/>
        <w:gridCol w:w="1685"/>
        <w:gridCol w:w="1142"/>
        <w:gridCol w:w="1142"/>
        <w:gridCol w:w="1267"/>
        <w:gridCol w:w="1128"/>
        <w:gridCol w:w="1234"/>
        <w:gridCol w:w="1224"/>
      </w:tblGrid>
      <w:tr>
        <w:trPr>
          <w:trHeight w:val="1051"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年初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年末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年度内股份</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62" w:lineRule="exact"/>
              <w:ind w:left="0" w:right="0" w:firstLine="0"/>
              <w:jc w:val="center"/>
              <w:rPr>
                <w:sz w:val="18"/>
                <w:szCs w:val="18"/>
              </w:rPr>
            </w:pPr>
            <w:r>
              <w:rPr>
                <w:color w:val="000000"/>
                <w:spacing w:val="0"/>
                <w:w w:val="100"/>
                <w:position w:val="0"/>
                <w:sz w:val="18"/>
                <w:szCs w:val="18"/>
              </w:rPr>
              <w:t>报告期内从 公司获得的 税前报酬总 额（万元）</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是否在公 司关联方 获取报酬</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刘烈宏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陈忠岳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王俊治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王军辉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王海峰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王培暖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张建锋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顾佳丹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高云虎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鲍朔望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童国华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买彦州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梁宝俊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唐永博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289,000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总法律顾问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李玉焯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首席财务官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98"/>
        <w:gridCol w:w="1272"/>
        <w:gridCol w:w="979"/>
        <w:gridCol w:w="710"/>
        <w:gridCol w:w="2122"/>
        <w:gridCol w:w="1685"/>
        <w:gridCol w:w="1142"/>
        <w:gridCol w:w="1142"/>
        <w:gridCol w:w="1267"/>
        <w:gridCol w:w="1128"/>
        <w:gridCol w:w="1234"/>
        <w:gridCol w:w="122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13" w:hRule="exact"/>
        </w:trPr>
        <w:tc>
          <w:tcPr>
            <w:gridSpan w:val="12"/>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截至年报披露日，公司离任董事、监事和高级管理人员：</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李福申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尹兆君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廖建文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冯士栋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吕廷杰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陈建新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张保英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朱可炳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首席财务官</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范云军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总法律顾问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姜爱华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651,200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651,200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5"/>
        <w:keepNext w:val="0"/>
        <w:keepLines w:val="0"/>
        <w:widowControl w:val="0"/>
        <w:shd w:val="clear" w:color="auto" w:fill="auto"/>
        <w:bidi w:val="0"/>
        <w:spacing w:before="0" w:line="360" w:lineRule="exact"/>
        <w:ind w:left="42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报告期内，公司第六届董事会、监事会任期届满，根据《公司法》《公司章程》有关规定，分别经董事会、监事会及股东大会通过，公司完成第 七届董事会、第七届监事会换届选举。董事、监事及高级管理人员变动情况请参见本节"</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w:t>
      </w:r>
      <w:r>
        <w:rPr>
          <w:color w:val="000000"/>
          <w:spacing w:val="0"/>
          <w:w w:val="100"/>
          <w:position w:val="0"/>
        </w:rPr>
        <w:t>公司董事、监事、高级管理人员变动情况”。</w:t>
      </w:r>
    </w:p>
    <w:p>
      <w:pPr>
        <w:pStyle w:val="Style5"/>
        <w:keepNext w:val="0"/>
        <w:keepLines w:val="0"/>
        <w:widowControl w:val="0"/>
        <w:numPr>
          <w:ilvl w:val="0"/>
          <w:numId w:val="23"/>
        </w:numPr>
        <w:shd w:val="clear" w:color="auto" w:fill="auto"/>
        <w:bidi w:val="0"/>
        <w:spacing w:before="0" w:line="360" w:lineRule="exact"/>
        <w:ind w:left="420" w:right="0" w:firstLine="420"/>
        <w:jc w:val="both"/>
      </w:pPr>
      <w:bookmarkStart w:id="354" w:name="bookmark354"/>
      <w:bookmarkEnd w:id="354"/>
      <w:r>
        <w:rPr>
          <w:color w:val="000000"/>
          <w:spacing w:val="0"/>
          <w:w w:val="100"/>
          <w:position w:val="0"/>
        </w:rPr>
        <w:t>报告期内，本公司董事长刘烈宏先生、董事兼总裁陈忠岳先生、高级副总裁买彦州先生、高级副总裁梁宝俊先生、高级副总裁何飚先生、高级副 总裁兼总法律顾问唐永博先生、离任董事王晓初先生、离任董事李福申先生、离任董事会秘书兼首席财务官朱可炳先生、离任高级副总裁兼总法律顾问 范云军先生、离任监事张保英先生、离任财务负责人姜爱华女士均在本公司的控股子公司</w:t>
      </w:r>
      <w:r>
        <w:rPr>
          <w:rFonts w:ascii="Times New Roman" w:eastAsia="Times New Roman" w:hAnsi="Times New Roman" w:cs="Times New Roman"/>
          <w:color w:val="000000"/>
          <w:spacing w:val="0"/>
          <w:w w:val="100"/>
          <w:position w:val="0"/>
        </w:rPr>
        <w:t>-</w:t>
      </w:r>
      <w:r>
        <w:rPr>
          <w:color w:val="000000"/>
          <w:spacing w:val="0"/>
          <w:w w:val="100"/>
          <w:position w:val="0"/>
        </w:rPr>
        <w:t>联通红筹公司之全资附属公司联通运营公司领取报酬；王俊治 先生自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日起任公司董事，程兰女士自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月起任职公司职工监事，李玉焯女士自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i/>
          <w:iCs/>
          <w:color w:val="000000"/>
          <w:spacing w:val="0"/>
          <w:w w:val="100"/>
          <w:position w:val="0"/>
        </w:rPr>
        <w:t>2</w:t>
      </w:r>
      <w:r>
        <w:rPr>
          <w:color w:val="000000"/>
          <w:spacing w:val="0"/>
          <w:w w:val="100"/>
          <w:position w:val="0"/>
        </w:rPr>
        <w:t>月起任公司高级管理人员，均自</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年起在本公司或本公司关联方领取报酬；监事会主席李翀先生在联通运营公司与合营方招商银行股份有限公司的合营企业招联消费金融有限公司领取报 酬。</w:t>
      </w:r>
      <w:r>
        <w:br w:type="page"/>
      </w:r>
    </w:p>
    <w:p>
      <w:pPr>
        <w:pStyle w:val="Style5"/>
        <w:keepNext w:val="0"/>
        <w:keepLines w:val="0"/>
        <w:widowControl w:val="0"/>
        <w:numPr>
          <w:ilvl w:val="0"/>
          <w:numId w:val="29"/>
        </w:numPr>
        <w:shd w:val="clear" w:color="auto" w:fill="auto"/>
        <w:bidi w:val="0"/>
        <w:spacing w:before="0" w:after="120" w:line="355" w:lineRule="exact"/>
        <w:ind w:left="420" w:right="0" w:firstLine="420"/>
        <w:jc w:val="both"/>
      </w:pPr>
      <w:bookmarkStart w:id="355" w:name="bookmark355"/>
      <w:bookmarkEnd w:id="355"/>
      <w:r>
        <w:rPr>
          <w:rFonts w:ascii="Times New Roman" w:eastAsia="Times New Roman" w:hAnsi="Times New Roman" w:cs="Times New Roman"/>
          <w:color w:val="000000"/>
          <w:spacing w:val="0"/>
          <w:w w:val="100"/>
          <w:position w:val="0"/>
        </w:rPr>
        <w:t xml:space="preserve"> </w:t>
      </w:r>
      <w:r>
        <w:rPr>
          <w:color w:val="000000"/>
          <w:spacing w:val="0"/>
          <w:w w:val="100"/>
          <w:position w:val="0"/>
        </w:rPr>
        <w:t>报告期内，分别自任职公司董事、监事或高级管理人员职务起或离任董监高职务前，上述人员薪酬为：刘烈宏先生</w:t>
      </w:r>
      <w:r>
        <w:rPr>
          <w:rFonts w:ascii="Times New Roman" w:eastAsia="Times New Roman" w:hAnsi="Times New Roman" w:cs="Times New Roman"/>
          <w:color w:val="000000"/>
          <w:spacing w:val="0"/>
          <w:w w:val="100"/>
          <w:position w:val="0"/>
        </w:rPr>
        <w:t>15.63</w:t>
      </w:r>
      <w:r>
        <w:rPr>
          <w:color w:val="000000"/>
          <w:spacing w:val="0"/>
          <w:w w:val="100"/>
          <w:position w:val="0"/>
        </w:rPr>
        <w:t>万元，陈忠岳先生</w:t>
      </w:r>
      <w:r>
        <w:rPr>
          <w:rFonts w:ascii="Times New Roman" w:eastAsia="Times New Roman" w:hAnsi="Times New Roman" w:cs="Times New Roman"/>
          <w:color w:val="000000"/>
          <w:spacing w:val="0"/>
          <w:w w:val="100"/>
          <w:position w:val="0"/>
        </w:rPr>
        <w:t xml:space="preserve">42.97 </w:t>
      </w:r>
      <w:r>
        <w:rPr>
          <w:color w:val="000000"/>
          <w:spacing w:val="0"/>
          <w:w w:val="100"/>
          <w:position w:val="0"/>
        </w:rPr>
        <w:t>万元，买彦州先生</w:t>
      </w:r>
      <w:r>
        <w:rPr>
          <w:rFonts w:ascii="Times New Roman" w:eastAsia="Times New Roman" w:hAnsi="Times New Roman" w:cs="Times New Roman"/>
          <w:color w:val="000000"/>
          <w:spacing w:val="0"/>
          <w:w w:val="100"/>
          <w:position w:val="0"/>
        </w:rPr>
        <w:t>62.78</w:t>
      </w:r>
      <w:r>
        <w:rPr>
          <w:color w:val="000000"/>
          <w:spacing w:val="0"/>
          <w:w w:val="100"/>
          <w:position w:val="0"/>
        </w:rPr>
        <w:t>万元，梁宝俊先生</w:t>
      </w:r>
      <w:r>
        <w:rPr>
          <w:rFonts w:ascii="Times New Roman" w:eastAsia="Times New Roman" w:hAnsi="Times New Roman" w:cs="Times New Roman"/>
          <w:color w:val="000000"/>
          <w:spacing w:val="0"/>
          <w:w w:val="100"/>
          <w:position w:val="0"/>
        </w:rPr>
        <w:t>62.78</w:t>
      </w:r>
      <w:r>
        <w:rPr>
          <w:color w:val="000000"/>
          <w:spacing w:val="0"/>
          <w:w w:val="100"/>
          <w:position w:val="0"/>
        </w:rPr>
        <w:t>万元，何飚先生</w:t>
      </w:r>
      <w:r>
        <w:rPr>
          <w:rFonts w:ascii="Times New Roman" w:eastAsia="Times New Roman" w:hAnsi="Times New Roman" w:cs="Times New Roman"/>
          <w:color w:val="000000"/>
          <w:spacing w:val="0"/>
          <w:w w:val="100"/>
          <w:position w:val="0"/>
        </w:rPr>
        <w:t>52.84</w:t>
      </w:r>
      <w:r>
        <w:rPr>
          <w:color w:val="000000"/>
          <w:spacing w:val="0"/>
          <w:w w:val="100"/>
          <w:position w:val="0"/>
        </w:rPr>
        <w:t>万元，唐永博先生</w:t>
      </w:r>
      <w:r>
        <w:rPr>
          <w:rFonts w:ascii="Times New Roman" w:eastAsia="Times New Roman" w:hAnsi="Times New Roman" w:cs="Times New Roman"/>
          <w:color w:val="000000"/>
          <w:spacing w:val="0"/>
          <w:w w:val="100"/>
          <w:position w:val="0"/>
        </w:rPr>
        <w:t>3.52</w:t>
      </w:r>
      <w:r>
        <w:rPr>
          <w:color w:val="000000"/>
          <w:spacing w:val="0"/>
          <w:w w:val="100"/>
          <w:position w:val="0"/>
        </w:rPr>
        <w:t>万元；王晓初先生</w:t>
      </w:r>
      <w:r>
        <w:rPr>
          <w:rFonts w:ascii="Times New Roman" w:eastAsia="Times New Roman" w:hAnsi="Times New Roman" w:cs="Times New Roman"/>
          <w:color w:val="000000"/>
          <w:spacing w:val="0"/>
          <w:w w:val="100"/>
          <w:position w:val="0"/>
        </w:rPr>
        <w:t>56.87</w:t>
      </w:r>
      <w:r>
        <w:rPr>
          <w:color w:val="000000"/>
          <w:spacing w:val="0"/>
          <w:w w:val="100"/>
          <w:position w:val="0"/>
        </w:rPr>
        <w:t>万元，李福申先生</w:t>
      </w:r>
      <w:r>
        <w:rPr>
          <w:rFonts w:ascii="Times New Roman" w:eastAsia="Times New Roman" w:hAnsi="Times New Roman" w:cs="Times New Roman"/>
          <w:color w:val="000000"/>
          <w:spacing w:val="0"/>
          <w:w w:val="100"/>
          <w:position w:val="0"/>
        </w:rPr>
        <w:t>44.15</w:t>
      </w:r>
      <w:r>
        <w:rPr>
          <w:color w:val="000000"/>
          <w:spacing w:val="0"/>
          <w:w w:val="100"/>
          <w:position w:val="0"/>
        </w:rPr>
        <w:t>万元， 朱可炳先生</w:t>
      </w:r>
      <w:r>
        <w:rPr>
          <w:rFonts w:ascii="Times New Roman" w:eastAsia="Times New Roman" w:hAnsi="Times New Roman" w:cs="Times New Roman"/>
          <w:color w:val="000000"/>
          <w:spacing w:val="0"/>
          <w:w w:val="100"/>
          <w:position w:val="0"/>
        </w:rPr>
        <w:t>40.52</w:t>
      </w:r>
      <w:r>
        <w:rPr>
          <w:color w:val="000000"/>
          <w:spacing w:val="0"/>
          <w:w w:val="100"/>
          <w:position w:val="0"/>
        </w:rPr>
        <w:t>万元，范云军先生</w:t>
      </w:r>
      <w:r>
        <w:rPr>
          <w:rFonts w:ascii="Times New Roman" w:eastAsia="Times New Roman" w:hAnsi="Times New Roman" w:cs="Times New Roman"/>
          <w:color w:val="000000"/>
          <w:spacing w:val="0"/>
          <w:w w:val="100"/>
          <w:position w:val="0"/>
        </w:rPr>
        <w:t>33.48</w:t>
      </w:r>
      <w:r>
        <w:rPr>
          <w:color w:val="000000"/>
          <w:spacing w:val="0"/>
          <w:w w:val="100"/>
          <w:position w:val="0"/>
        </w:rPr>
        <w:t>万元，张保英先生</w:t>
      </w:r>
      <w:r>
        <w:rPr>
          <w:rFonts w:ascii="Times New Roman" w:eastAsia="Times New Roman" w:hAnsi="Times New Roman" w:cs="Times New Roman"/>
          <w:color w:val="000000"/>
          <w:spacing w:val="0"/>
          <w:w w:val="100"/>
          <w:position w:val="0"/>
        </w:rPr>
        <w:t>95.23</w:t>
      </w:r>
      <w:r>
        <w:rPr>
          <w:color w:val="000000"/>
          <w:spacing w:val="0"/>
          <w:w w:val="100"/>
          <w:position w:val="0"/>
        </w:rPr>
        <w:t xml:space="preserve">万元，姜爱华女士 </w:t>
      </w:r>
      <w:r>
        <w:rPr>
          <w:rFonts w:ascii="Times New Roman" w:eastAsia="Times New Roman" w:hAnsi="Times New Roman" w:cs="Times New Roman"/>
          <w:color w:val="000000"/>
          <w:spacing w:val="0"/>
          <w:w w:val="100"/>
          <w:position w:val="0"/>
        </w:rPr>
        <w:t>115.10</w:t>
      </w:r>
      <w:r>
        <w:rPr>
          <w:color w:val="000000"/>
          <w:spacing w:val="0"/>
          <w:w w:val="100"/>
          <w:position w:val="0"/>
        </w:rPr>
        <w:t>万元（另有兑现</w:t>
      </w:r>
      <w:r>
        <w:rPr>
          <w:rFonts w:ascii="Times New Roman" w:eastAsia="Times New Roman" w:hAnsi="Times New Roman" w:cs="Times New Roman"/>
          <w:color w:val="000000"/>
          <w:spacing w:val="0"/>
          <w:w w:val="100"/>
          <w:position w:val="0"/>
        </w:rPr>
        <w:t>2018-2020</w:t>
      </w:r>
      <w:r>
        <w:rPr>
          <w:color w:val="000000"/>
          <w:spacing w:val="0"/>
          <w:w w:val="100"/>
          <w:position w:val="0"/>
        </w:rPr>
        <w:t>年度任期激励</w:t>
      </w:r>
      <w:r>
        <w:rPr>
          <w:rFonts w:ascii="Times New Roman" w:eastAsia="Times New Roman" w:hAnsi="Times New Roman" w:cs="Times New Roman"/>
          <w:color w:val="000000"/>
          <w:spacing w:val="0"/>
          <w:w w:val="100"/>
          <w:position w:val="0"/>
        </w:rPr>
        <w:t>51.62</w:t>
      </w:r>
      <w:r>
        <w:rPr>
          <w:color w:val="000000"/>
          <w:spacing w:val="0"/>
          <w:w w:val="100"/>
          <w:position w:val="0"/>
        </w:rPr>
        <w:t>万元）。</w:t>
      </w:r>
    </w:p>
    <w:p>
      <w:pPr>
        <w:pStyle w:val="Style5"/>
        <w:keepNext w:val="0"/>
        <w:keepLines w:val="0"/>
        <w:widowControl w:val="0"/>
        <w:numPr>
          <w:ilvl w:val="0"/>
          <w:numId w:val="29"/>
        </w:numPr>
        <w:shd w:val="clear" w:color="auto" w:fill="auto"/>
        <w:tabs>
          <w:tab w:pos="1162" w:val="left"/>
        </w:tabs>
        <w:bidi w:val="0"/>
        <w:spacing w:before="0" w:after="240" w:line="355" w:lineRule="exact"/>
        <w:ind w:left="0" w:right="0" w:firstLine="840"/>
        <w:jc w:val="both"/>
      </w:pPr>
      <w:bookmarkStart w:id="356" w:name="bookmark356"/>
      <w:bookmarkEnd w:id="356"/>
      <w:r>
        <w:rPr>
          <w:color w:val="000000"/>
          <w:spacing w:val="0"/>
          <w:w w:val="100"/>
          <w:position w:val="0"/>
        </w:rPr>
        <w:t>报告期内，相关公司高级管理人员持股信息详见本节“十一（三）董事、高级管理人员报告期内被授予的股权激励情况”。</w:t>
      </w:r>
    </w:p>
    <w:tbl>
      <w:tblPr>
        <w:tblOverlap w:val="never"/>
        <w:jc w:val="center"/>
        <w:tblLayout w:type="fixed"/>
      </w:tblPr>
      <w:tblGrid>
        <w:gridCol w:w="1248"/>
        <w:gridCol w:w="12854"/>
      </w:tblGrid>
      <w:tr>
        <w:trPr>
          <w:trHeight w:val="28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7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刘烈宏</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研究生，管理学博士，中共党员。刘先生曾担任信息产业部电子第二研究所所长、党委书记，中国电子科技集团副总经理、党组成员，中 国电子信息产业发展研究院院长兼北京赛迪信息产业集团公司总裁，中国电子信息产业集团有限公司董事、总经理、党组副书记，中国电 子科技集团有限公司董事、总经理、党组副书记，中央网络安全和信息化委员会办公室副主任、国家互联网信息办公室副主任，工业和信 息化部党组成员、副部长。第十二届全国政协委员。刘先生目前还担任中国联合网络通信集团有限公司董事长、党组书记，中国联合网络 通信（香港）股份有限公司执行董事及董事长兼首席执行官，中国联合网络通信有限公司董事长。刘先生具有丰富的管理及信息产业从业 经验。刘先生自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月起任本公司董事长。</w:t>
            </w:r>
          </w:p>
        </w:tc>
      </w:tr>
      <w:tr>
        <w:trPr>
          <w:trHeight w:val="14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陈忠岳</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大学本科，经济学硕士，中共党员。陈先生曾担任中国电信浙江分公司副总经理、党组成员，中国电信公众客户事业部总经理，中国电信 山西分公司总经理、党组书记，中国电信集团有限公司副总经理、党组成员，中国电信股份有限公司执行董事及执行副总裁。陈先生目前 还担任中国联合网络通信集团有限公司董事、总经理、党组副书记，中国联合网络通信（香港）股份有限公司执行董事及总裁，中国联合 网络通信有限公司董事及总裁。陈忠岳先生具有丰富的管理及电信行业从业经验。陈先生自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月起任本公司总裁，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 任本公司董事。</w:t>
            </w:r>
          </w:p>
        </w:tc>
      </w:tr>
      <w:tr>
        <w:trPr>
          <w:trHeight w:val="121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王俊治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研究生，工学硕士，中共党员。王先生曾担任中华全国总工会劳动保护部副部长、部长，中国能源化学工会全国委员会主席、分党组书记， 中华全国总工会劳动和经济工作部部长，中华全国总工会书记处书记、党组成员。中华全国总工会第十五届、十六届执行委员会委员，十 六届主席团委员。王先生目前还担任中国联合网络通信集团有限公司董事、党组副书记，中国联合网络通信（香港）股份有限公司执行董 事，中国联合网络通信有限公司董事。王先生具有丰富的管理经验。王先生自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月起任本公司董事。</w:t>
            </w:r>
          </w:p>
        </w:tc>
      </w:tr>
      <w:tr>
        <w:trPr>
          <w:trHeight w:val="14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0" w:lineRule="exact"/>
              <w:ind w:left="0" w:right="0" w:firstLine="0"/>
              <w:jc w:val="both"/>
            </w:pPr>
            <w:r>
              <w:rPr>
                <w:color w:val="000000"/>
                <w:spacing w:val="0"/>
                <w:w w:val="100"/>
                <w:position w:val="0"/>
              </w:rPr>
              <w:t>现任中国人寿保险（集团）公司首席投资官。王先生于财政部财政科学研究所获得财政学博士学位，此前就读于北京工业大学软件工程专 业，获得工学学士学位。王先生自</w:t>
            </w:r>
            <w:r>
              <w:rPr>
                <w:rFonts w:ascii="Times New Roman" w:eastAsia="Times New Roman" w:hAnsi="Times New Roman" w:cs="Times New Roman"/>
                <w:color w:val="000000"/>
                <w:spacing w:val="0"/>
                <w:w w:val="100"/>
                <w:position w:val="0"/>
              </w:rPr>
              <w:t>2004</w:t>
            </w:r>
            <w:r>
              <w:rPr>
                <w:color w:val="000000"/>
                <w:spacing w:val="0"/>
                <w:w w:val="100"/>
                <w:position w:val="0"/>
              </w:rPr>
              <w:t>年起先后任中国人寿资产管理有限公司总裁助理、副总裁，国寿投资控股有限公司总裁。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月起任中国人寿保险（集团）公司首席投资官。王先生目前同时担任中国人寿资产管理有限公司党委书记、总裁，国寿安保基金管理有限 公司董事长以及中国人寿保险股份有限公司、中国人寿财产保险股份有限公司、中国人寿保险（海外）股份有限公司非执行董事等职务。 王先生自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月起任本公司董事。</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卢山</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现任腾讯集团高级执行副总裁，兼技术工程事业群总裁，负责技术工程事业群的管理工作。卢先生于</w:t>
            </w:r>
            <w:r>
              <w:rPr>
                <w:rFonts w:ascii="Times New Roman" w:eastAsia="Times New Roman" w:hAnsi="Times New Roman" w:cs="Times New Roman"/>
                <w:color w:val="000000"/>
                <w:spacing w:val="0"/>
                <w:w w:val="100"/>
                <w:position w:val="0"/>
              </w:rPr>
              <w:t>2000</w:t>
            </w:r>
            <w:r>
              <w:rPr>
                <w:color w:val="000000"/>
                <w:spacing w:val="0"/>
                <w:w w:val="100"/>
                <w:position w:val="0"/>
              </w:rPr>
              <w:t>年加入腾讯，历任即时通信产品 部总经理、平台研发系统副总裁和运营平台系统高级副总裁。加入腾讯之前，卢先生曾就职于深圳黎明网络系统有限公司工作。卢先生于</w:t>
            </w:r>
          </w:p>
        </w:tc>
      </w:tr>
    </w:tbl>
    <w:p>
      <w:pPr>
        <w:sectPr>
          <w:footnotePr>
            <w:pos w:val="pageBottom"/>
            <w:numFmt w:val="decimal"/>
            <w:numRestart w:val="continuous"/>
          </w:footnotePr>
          <w:pgSz w:w="16840" w:h="11900" w:orient="landscape"/>
          <w:pgMar w:top="1780" w:right="932" w:bottom="1336" w:left="1004" w:header="0" w:footer="3" w:gutter="0"/>
          <w:cols w:space="720"/>
          <w:noEndnote/>
          <w:rtlGutter w:val="0"/>
          <w:docGrid w:linePitch="360"/>
        </w:sectPr>
      </w:pPr>
    </w:p>
    <w:tbl>
      <w:tblPr>
        <w:tblOverlap w:val="never"/>
        <w:jc w:val="center"/>
        <w:tblLayout w:type="fixed"/>
      </w:tblPr>
      <w:tblGrid>
        <w:gridCol w:w="1075"/>
        <w:gridCol w:w="13085"/>
      </w:tblGrid>
      <w:tr>
        <w:trPr>
          <w:trHeight w:val="26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2"/>
              <w:keepNext w:val="0"/>
              <w:keepLines w:val="0"/>
              <w:widowControl w:val="0"/>
              <w:shd w:val="clear" w:color="auto" w:fill="auto"/>
              <w:tabs>
                <w:tab w:pos="6734" w:val="left"/>
              </w:tabs>
              <w:bidi w:val="0"/>
              <w:spacing w:before="0" w:after="0" w:line="240" w:lineRule="auto"/>
              <w:ind w:left="0" w:right="0" w:firstLine="0"/>
              <w:jc w:val="center"/>
              <w:rPr>
                <w:sz w:val="17"/>
                <w:szCs w:val="17"/>
              </w:rPr>
            </w:pPr>
            <w:r>
              <w:rPr>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2021</w:t>
            </w:r>
            <w:r>
              <w:rPr>
                <w:color w:val="000000"/>
                <w:spacing w:val="0"/>
                <w:w w:val="100"/>
                <w:position w:val="0"/>
                <w:sz w:val="17"/>
                <w:szCs w:val="17"/>
              </w:rPr>
              <w:t>年年度报告</w:t>
            </w:r>
          </w:p>
        </w:tc>
      </w:tr>
    </w:tbl>
    <w:p>
      <w:pPr>
        <w:widowControl w:val="0"/>
        <w:spacing w:after="419" w:line="1" w:lineRule="exact"/>
      </w:pPr>
    </w:p>
    <w:tbl>
      <w:tblPr>
        <w:tblOverlap w:val="never"/>
        <w:jc w:val="center"/>
        <w:tblLayout w:type="fixed"/>
      </w:tblPr>
      <w:tblGrid>
        <w:gridCol w:w="1248"/>
        <w:gridCol w:w="12854"/>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1998</w:t>
            </w:r>
            <w:r>
              <w:rPr>
                <w:color w:val="000000"/>
                <w:spacing w:val="0"/>
                <w:w w:val="100"/>
                <w:position w:val="0"/>
              </w:rPr>
              <w:t>年毕业于中国科学技术大学计算机软件专业，获理学士学位。卢先山自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月起任本公司董事。</w:t>
            </w:r>
          </w:p>
        </w:tc>
      </w:tr>
      <w:tr>
        <w:trPr>
          <w:trHeight w:val="286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260" w:line="270" w:lineRule="exact"/>
              <w:ind w:left="0" w:right="0" w:firstLine="0"/>
              <w:jc w:val="both"/>
            </w:pPr>
            <w:r>
              <w:rPr>
                <w:color w:val="000000"/>
                <w:spacing w:val="0"/>
                <w:w w:val="100"/>
                <w:position w:val="0"/>
              </w:rPr>
              <w:t>博士，百度首席技术官，深度学习技术及应用国家工程实验室主任。长期从事自然语言处理技术研究和产业化工作，突破了知识增强的语 义理解技术，研制了我国首个自主可控的产业级深度学习开源开放平台，实现了智能搜索、机器翻译等大规模产业应用。是自然语言处理 领域最重要的国际学术组织</w:t>
            </w:r>
            <w:r>
              <w:rPr>
                <w:rFonts w:ascii="Times New Roman" w:eastAsia="Times New Roman" w:hAnsi="Times New Roman" w:cs="Times New Roman"/>
                <w:color w:val="000000"/>
                <w:spacing w:val="0"/>
                <w:w w:val="100"/>
                <w:position w:val="0"/>
              </w:rPr>
              <w:t>ACL50</w:t>
            </w:r>
            <w:r>
              <w:rPr>
                <w:color w:val="000000"/>
                <w:spacing w:val="0"/>
                <w:w w:val="100"/>
                <w:position w:val="0"/>
              </w:rPr>
              <w:t>多年历史上首位华人主席，</w:t>
            </w:r>
            <w:r>
              <w:rPr>
                <w:rFonts w:ascii="Times New Roman" w:eastAsia="Times New Roman" w:hAnsi="Times New Roman" w:cs="Times New Roman"/>
                <w:color w:val="000000"/>
                <w:spacing w:val="0"/>
                <w:w w:val="100"/>
                <w:position w:val="0"/>
              </w:rPr>
              <w:t>ACL</w:t>
            </w:r>
            <w:r>
              <w:rPr>
                <w:color w:val="000000"/>
                <w:spacing w:val="0"/>
                <w:w w:val="100"/>
                <w:position w:val="0"/>
              </w:rPr>
              <w:t>会士，</w:t>
            </w:r>
            <w:r>
              <w:rPr>
                <w:rFonts w:ascii="Times New Roman" w:eastAsia="Times New Roman" w:hAnsi="Times New Roman" w:cs="Times New Roman"/>
                <w:color w:val="000000"/>
                <w:spacing w:val="0"/>
                <w:w w:val="100"/>
                <w:position w:val="0"/>
              </w:rPr>
              <w:t>ACL</w:t>
            </w:r>
            <w:r>
              <w:rPr>
                <w:color w:val="000000"/>
                <w:spacing w:val="0"/>
                <w:w w:val="100"/>
                <w:position w:val="0"/>
              </w:rPr>
              <w:t>亚太分会创始主席。国际欧亚科学院院士。兼任中国电子 学会、中国中文信息学会副理事长等。</w:t>
            </w:r>
          </w:p>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博士毕业于哈尔滨工业大学。</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月加入百度，先后为百度创建和发展了自然语言处理、机器翻译、知识图谱、机器学习、语音和计 算机视觉、深度学习等人工智能核心技术，负责了百度搜索、手机百度、百度信息流、度秘等产品。现阶段，总体负责百度人工智能、云 计算等技术和生态，以及地图、输入法、百度翻译等业务。以第一完成人获国家技术发明二等奖、国家科技进步二等奖、北京市科技进步 一等奖、中国电子学会科技进步一等奖等，获中国专利金奖、光华工程科技奖、首届全国创新争先奖、首个吴文俊人工智能杰出贡献奖。 享受国务院政府特殊津贴。王先生自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月起任本公司董事。</w:t>
            </w:r>
          </w:p>
        </w:tc>
      </w:tr>
      <w:tr>
        <w:trPr>
          <w:trHeight w:val="14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王培暖</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京东集团执行副总裁。王培暖先生毕业于山东科技大学，获计算机工程硕士学位，后取得中欧国际工商学院高级管理人员工商管理硕士 </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学位及北京交通大学管理学博士学位。王培暖先生于</w:t>
            </w:r>
            <w:r>
              <w:rPr>
                <w:rFonts w:ascii="Times New Roman" w:eastAsia="Times New Roman" w:hAnsi="Times New Roman" w:cs="Times New Roman"/>
                <w:color w:val="000000"/>
                <w:spacing w:val="0"/>
                <w:w w:val="100"/>
                <w:position w:val="0"/>
              </w:rPr>
              <w:t>1998</w:t>
            </w:r>
            <w:r>
              <w:rPr>
                <w:color w:val="000000"/>
                <w:spacing w:val="0"/>
                <w:w w:val="100"/>
                <w:position w:val="0"/>
              </w:rPr>
              <w:t>年加入联想集团，分拆后加入神州数码，先后担任联想集团山东分公 司副总经理、神州数码科技发展公司大客户部总经理、副总裁；神州数码集团商用</w:t>
            </w:r>
            <w:r>
              <w:rPr>
                <w:rFonts w:ascii="Times New Roman" w:eastAsia="Times New Roman" w:hAnsi="Times New Roman" w:cs="Times New Roman"/>
                <w:color w:val="000000"/>
                <w:spacing w:val="0"/>
                <w:w w:val="100"/>
                <w:position w:val="0"/>
              </w:rPr>
              <w:t>SBU</w:t>
            </w:r>
            <w:r>
              <w:rPr>
                <w:color w:val="000000"/>
                <w:spacing w:val="0"/>
                <w:w w:val="100"/>
                <w:position w:val="0"/>
              </w:rPr>
              <w:t>总裁、神州数码集团副总裁、神州数码终端及移动 技术集团总裁等职务。</w:t>
            </w:r>
            <w:r>
              <w:rPr>
                <w:rFonts w:ascii="Times New Roman" w:eastAsia="Times New Roman" w:hAnsi="Times New Roman" w:cs="Times New Roman"/>
                <w:color w:val="000000"/>
                <w:spacing w:val="0"/>
                <w:w w:val="100"/>
                <w:position w:val="0"/>
              </w:rPr>
              <w:t>2016</w:t>
            </w:r>
            <w:r>
              <w:rPr>
                <w:color w:val="000000"/>
                <w:spacing w:val="0"/>
                <w:w w:val="100"/>
                <w:position w:val="0"/>
              </w:rPr>
              <w:t>年担任</w:t>
            </w:r>
            <w:r>
              <w:rPr>
                <w:rFonts w:ascii="Times New Roman" w:eastAsia="Times New Roman" w:hAnsi="Times New Roman" w:cs="Times New Roman"/>
                <w:color w:val="000000"/>
                <w:spacing w:val="0"/>
                <w:w w:val="100"/>
                <w:position w:val="0"/>
              </w:rPr>
              <w:t>360</w:t>
            </w:r>
            <w:r>
              <w:rPr>
                <w:color w:val="000000"/>
                <w:spacing w:val="0"/>
                <w:w w:val="100"/>
                <w:position w:val="0"/>
              </w:rPr>
              <w:t>公司助理总裁、大客户部总经理。</w:t>
            </w:r>
            <w:r>
              <w:rPr>
                <w:rFonts w:ascii="Times New Roman" w:eastAsia="Times New Roman" w:hAnsi="Times New Roman" w:cs="Times New Roman"/>
                <w:color w:val="000000"/>
                <w:spacing w:val="0"/>
                <w:w w:val="100"/>
                <w:position w:val="0"/>
              </w:rPr>
              <w:t>2018</w:t>
            </w:r>
            <w:r>
              <w:rPr>
                <w:color w:val="000000"/>
                <w:spacing w:val="0"/>
                <w:w w:val="100"/>
                <w:position w:val="0"/>
              </w:rPr>
              <w:t>年加入京东集团，现任京东集团执行副总裁，集团客户合作 部负责人。王先生自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月起任本公司董事。</w:t>
            </w:r>
          </w:p>
        </w:tc>
      </w:tr>
      <w:tr>
        <w:trPr>
          <w:trHeight w:val="203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月加入阿里巴巴集团，现任阿里巴巴技术委员会主席、达摩院院长、阿里云智能事业群总裁。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月，张建 锋担任阿里巴巴集团首席技术官。</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月，张建锋担任阿里巴巴中国零售事业群总裁，负责淘宝网、天猫和聚划算三 个事业部。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月，担任淘宝网和无线事业部总裁；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月，陆续接管聚划算、本地生活、</w:t>
            </w:r>
            <w:r>
              <w:rPr>
                <w:rFonts w:ascii="Times New Roman" w:eastAsia="Times New Roman" w:hAnsi="Times New Roman" w:cs="Times New Roman"/>
                <w:color w:val="000000"/>
                <w:spacing w:val="0"/>
                <w:w w:val="100"/>
                <w:position w:val="0"/>
              </w:rPr>
              <w:t>1688</w:t>
            </w:r>
            <w:r>
              <w:rPr>
                <w:color w:val="000000"/>
                <w:spacing w:val="0"/>
                <w:w w:val="100"/>
                <w:position w:val="0"/>
              </w:rPr>
              <w:t xml:space="preserve">和天猫事业部；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月，张建锋担任阿里巴巴小企业业务事业群（现</w:t>
            </w:r>
            <w:r>
              <w:rPr>
                <w:rFonts w:ascii="Times New Roman" w:eastAsia="Times New Roman" w:hAnsi="Times New Roman" w:cs="Times New Roman"/>
                <w:color w:val="000000"/>
                <w:spacing w:val="0"/>
                <w:w w:val="100"/>
                <w:position w:val="0"/>
              </w:rPr>
              <w:t>1688</w:t>
            </w:r>
            <w:r>
              <w:rPr>
                <w:color w:val="000000"/>
                <w:spacing w:val="0"/>
                <w:w w:val="100"/>
                <w:position w:val="0"/>
              </w:rPr>
              <w:t>事业部）网站和技术部副总裁；张建锋于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月期间，担任淘宝网产品技术部和运营部副总裁，负责淘宝网集市的产品运营及技术开发工作，并于</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年曾担任多个管 理岗位，先后包括淘宝网技术架构部、</w:t>
            </w:r>
            <w:r>
              <w:rPr>
                <w:rFonts w:ascii="Times New Roman" w:eastAsia="Times New Roman" w:hAnsi="Times New Roman" w:cs="Times New Roman"/>
                <w:color w:val="000000"/>
                <w:spacing w:val="0"/>
                <w:w w:val="100"/>
                <w:position w:val="0"/>
              </w:rPr>
              <w:t>B2C</w:t>
            </w:r>
            <w:r>
              <w:rPr>
                <w:color w:val="000000"/>
                <w:spacing w:val="0"/>
                <w:w w:val="100"/>
                <w:position w:val="0"/>
              </w:rPr>
              <w:t>开发部及淘宝网产品技术开发部。张先生毕业于浙江大学。张先生自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月起任本公司董 事。</w:t>
            </w:r>
          </w:p>
        </w:tc>
      </w:tr>
      <w:tr>
        <w:trPr>
          <w:trHeight w:val="14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吴晓根</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研究员。吴先生毕业于中央财经大学，获得会计专业硕士学位和经济学博士学位。吴先生曾担任中国金谷国际信托投资公司证券业务部总 经理助理、副总经理，中国科技国际信托投资有限责任公司证券业务部副总经理兼机构管理部总经理，中央财经大学会计学院审计教研室 主任、副院长，中国第一重型机械集团有限公司总会计师，中国东方航空股份有限公司、中国石化股份有限公司独立董事，中国长江三峡 集团有限公司、中国机械工业集团有限公司外部董事等职务。吴先生目前同时担任中国电子科技集团有限公司、国家电网有限公司外部董 事。吴晓根先生具有丰富的企业财务及管理经验。吴先生自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月起任本公司独立董事。</w:t>
            </w:r>
          </w:p>
        </w:tc>
      </w:tr>
      <w:tr>
        <w:trPr>
          <w:trHeight w:val="41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顾佳丹</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高级经济师。顾先生获得工商管理硕士学位，曾担任上海航空股份有限公司副总经理，上海航空股份有限公司代理总经理，中国东方航空</w:t>
            </w:r>
          </w:p>
        </w:tc>
      </w:tr>
    </w:tbl>
    <w:p>
      <w:pPr>
        <w:sectPr>
          <w:footnotePr>
            <w:pos w:val="pageBottom"/>
            <w:numFmt w:val="decimal"/>
            <w:numRestart w:val="continuous"/>
          </w:footnotePr>
          <w:pgSz w:w="16840" w:h="11900" w:orient="landscape"/>
          <w:pgMar w:top="1093" w:right="932" w:bottom="1093" w:left="1004" w:header="0" w:footer="3" w:gutter="0"/>
          <w:cols w:space="720"/>
          <w:noEndnote/>
          <w:rtlGutter w:val="0"/>
          <w:docGrid w:linePitch="360"/>
        </w:sectPr>
      </w:pPr>
    </w:p>
    <w:tbl>
      <w:tblPr>
        <w:tblOverlap w:val="never"/>
        <w:jc w:val="center"/>
        <w:tblLayout w:type="fixed"/>
      </w:tblPr>
      <w:tblGrid>
        <w:gridCol w:w="1248"/>
        <w:gridCol w:w="12854"/>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集团有限公司副总经理、党组成员，上海航空股份有限公司党委书记</w:t>
            </w:r>
            <w:r>
              <w:rPr>
                <w:rFonts w:ascii="Times New Roman" w:eastAsia="Times New Roman" w:hAnsi="Times New Roman" w:cs="Times New Roman"/>
                <w:color w:val="000000"/>
                <w:spacing w:val="0"/>
                <w:w w:val="100"/>
                <w:position w:val="0"/>
              </w:rPr>
              <w:t>（</w:t>
            </w:r>
            <w:r>
              <w:rPr>
                <w:color w:val="000000"/>
                <w:spacing w:val="0"/>
                <w:w w:val="100"/>
                <w:position w:val="0"/>
              </w:rPr>
              <w:t>兼</w:t>
            </w:r>
            <w:r>
              <w:rPr>
                <w:rFonts w:ascii="Times New Roman" w:eastAsia="Times New Roman" w:hAnsi="Times New Roman" w:cs="Times New Roman"/>
                <w:color w:val="000000"/>
                <w:spacing w:val="0"/>
                <w:w w:val="100"/>
                <w:position w:val="0"/>
              </w:rPr>
              <w:t>）</w:t>
            </w:r>
            <w:r>
              <w:rPr>
                <w:color w:val="000000"/>
                <w:spacing w:val="0"/>
                <w:w w:val="100"/>
                <w:position w:val="0"/>
              </w:rPr>
              <w:t>，中国东方航空股份有限公司董事等职务。顾先生目前担任上海 机场（集团）有限公司外部董事。顾佳丹先生具有丰富的企业管理方面的工作经验。顾先生自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月起任本公司独立董事。</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高云虎</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经济师。高先生毕业于中国人民大学，获得经济学学士和经济学硕士学位。高先生曾担任国家发展和改革委员会发展规划司专项规划处处 长，工业和信息化部原材料工业司综合处处长，工业和信息化部原材料工业司副司长，工业和信息化部节能与综合利用司司长等职务。高 先生为北京市第十五届人民代表大会代表。高云虎先生具有丰富的经济及管理方面的工作经验。高先生自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月起任本公司独立董事。</w:t>
            </w:r>
          </w:p>
        </w:tc>
      </w:tr>
      <w:tr>
        <w:trPr>
          <w:trHeight w:val="121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鲍朔望</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7" w:lineRule="exact"/>
              <w:ind w:left="0" w:right="0" w:firstLine="0"/>
              <w:jc w:val="both"/>
            </w:pPr>
            <w:r>
              <w:rPr>
                <w:color w:val="000000"/>
                <w:spacing w:val="0"/>
                <w:w w:val="100"/>
                <w:position w:val="0"/>
              </w:rPr>
              <w:t>高级审计师。鲍先生毕业于湖北财经学院，获得经济学学士学位。鲍先生曾担任审计署经贸审计司五处处长，审计署济南特派办特派员助 理（正处级），审计署行政事业审计司副司长，审计署海关审计局副局长、局长，审计署教育审计局局长，中共审计署机关委员会常务副 书记，审计署行政政法审计司司长，审计署党组上海特派办分党组书记、特派员，审计署法规司副司长（正司长级）。鲍先生曾任政协上 海市第十三届委员会委员。鲍朔望先生具有丰富的财务及管理方面的工作经验。鲍先生自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月起任本公司独立董事。</w:t>
            </w:r>
          </w:p>
        </w:tc>
      </w:tr>
      <w:tr>
        <w:trPr>
          <w:trHeight w:val="121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童国华</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2" w:lineRule="exact"/>
              <w:ind w:left="0" w:right="0" w:firstLine="0"/>
              <w:jc w:val="both"/>
            </w:pPr>
            <w:r>
              <w:rPr>
                <w:color w:val="000000"/>
                <w:spacing w:val="0"/>
                <w:w w:val="100"/>
                <w:position w:val="0"/>
              </w:rPr>
              <w:t>教授级高级工程师。童先生毕业于武汉大学化学系，并获得复旦大学理学硕士和华中科技大学管理学博士。童先生曾担任武汉邮电科学研 究院科技处处长、光纤部主任、副院长、院长，武汉烽火科技集团有限公司董事长，电信科学技术研究院院长，电信科学技术研究院有限 公司董事长、党委书记、总经理，中国信息通信科技集团有限公司党委书记、董事长等职务。童先生现任第十三届全国政协委员。童国华 先生具有丰富的管理及电信行业从业经验。童先生自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月起任本公司独立董事。</w:t>
            </w:r>
          </w:p>
        </w:tc>
      </w:tr>
      <w:tr>
        <w:trPr>
          <w:trHeight w:val="121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高级会计师，</w:t>
            </w:r>
            <w:r>
              <w:rPr>
                <w:rFonts w:ascii="Times New Roman" w:eastAsia="Times New Roman" w:hAnsi="Times New Roman" w:cs="Times New Roman"/>
                <w:color w:val="000000"/>
                <w:spacing w:val="0"/>
                <w:w w:val="100"/>
                <w:position w:val="0"/>
              </w:rPr>
              <w:t>1991</w:t>
            </w:r>
            <w:r>
              <w:rPr>
                <w:color w:val="000000"/>
                <w:spacing w:val="0"/>
                <w:w w:val="100"/>
                <w:position w:val="0"/>
              </w:rPr>
              <w:t>年本科毕业于北京邮电大学邮政通信管理专业，获学士学位；</w:t>
            </w:r>
            <w:r>
              <w:rPr>
                <w:rFonts w:ascii="Times New Roman" w:eastAsia="Times New Roman" w:hAnsi="Times New Roman" w:cs="Times New Roman"/>
                <w:color w:val="000000"/>
                <w:spacing w:val="0"/>
                <w:w w:val="100"/>
                <w:position w:val="0"/>
              </w:rPr>
              <w:t>1994</w:t>
            </w:r>
            <w:r>
              <w:rPr>
                <w:color w:val="000000"/>
                <w:spacing w:val="0"/>
                <w:w w:val="100"/>
                <w:position w:val="0"/>
              </w:rPr>
              <w:t>年研究生毕业于北京邮电大学运输经济专业，获经济 学硕士学位。李先生曾任信息产业部清算司综合处处长、通信清算中心主任，中国网通（集团）有限公司财务部副总经理、总经理，中国 联通网络公司副总经理兼财务部总经理，中国联通国际业务部总经理、国际公司董事长等职务。李先生现任招联消费金融有限公司董事、 常务副总经理。李先生具有丰富的管理及电信行业从业经验。李先生自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月起任本公司监事。</w:t>
            </w:r>
          </w:p>
        </w:tc>
      </w:tr>
      <w:tr>
        <w:trPr>
          <w:trHeight w:val="203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方向明</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0" w:lineRule="exact"/>
              <w:ind w:left="0" w:right="0" w:firstLine="0"/>
              <w:jc w:val="both"/>
            </w:pPr>
            <w:r>
              <w:rPr>
                <w:color w:val="000000"/>
                <w:spacing w:val="0"/>
                <w:w w:val="100"/>
                <w:position w:val="0"/>
              </w:rPr>
              <w:t>现任诚通基金管理有限公司（中国国有企业结构调整基金管理机构）副总经理，全国妇联第十二届执行委员会委员。方女士一直服务于国 内外大型知名金融机构及政府部门，并担任重要职务，在国企改革，私募股权投资包括基金投资和直接投资，以及不良资产收购处置，企 业信贷，项目融资等诸多金融领域积累了非常丰富的经验。方女士曾任乐山市人民政府副市长，主管国企和金融工作。方女士曾任中再资 产管理有限公司另类投资事业部董事总经理，主要负责私募股权投资业务。在投资领域，她还曾任泛亚洲</w:t>
            </w:r>
            <w:r>
              <w:rPr>
                <w:rFonts w:ascii="Times New Roman" w:eastAsia="Times New Roman" w:hAnsi="Times New Roman" w:cs="Times New Roman"/>
                <w:color w:val="000000"/>
                <w:spacing w:val="0"/>
                <w:w w:val="100"/>
                <w:position w:val="0"/>
              </w:rPr>
              <w:t>PE</w:t>
            </w:r>
            <w:r>
              <w:rPr>
                <w:color w:val="000000"/>
                <w:spacing w:val="0"/>
                <w:w w:val="100"/>
                <w:position w:val="0"/>
              </w:rPr>
              <w:t>基金</w:t>
            </w:r>
            <w:r>
              <w:rPr>
                <w:rFonts w:ascii="Times New Roman" w:eastAsia="Times New Roman" w:hAnsi="Times New Roman" w:cs="Times New Roman"/>
                <w:color w:val="000000"/>
                <w:spacing w:val="0"/>
                <w:w w:val="100"/>
                <w:position w:val="0"/>
              </w:rPr>
              <w:t>AIF Capital</w:t>
            </w:r>
            <w:r>
              <w:rPr>
                <w:color w:val="000000"/>
                <w:spacing w:val="0"/>
                <w:w w:val="100"/>
                <w:position w:val="0"/>
              </w:rPr>
              <w:t xml:space="preserve">董事总经理， </w:t>
            </w:r>
            <w:r>
              <w:rPr>
                <w:rFonts w:ascii="Times New Roman" w:eastAsia="Times New Roman" w:hAnsi="Times New Roman" w:cs="Times New Roman"/>
                <w:color w:val="000000"/>
                <w:spacing w:val="0"/>
                <w:w w:val="100"/>
                <w:position w:val="0"/>
              </w:rPr>
              <w:t>IBM</w:t>
            </w:r>
            <w:r>
              <w:rPr>
                <w:color w:val="000000"/>
                <w:spacing w:val="0"/>
                <w:w w:val="100"/>
                <w:position w:val="0"/>
              </w:rPr>
              <w:t>中国投资基金投资总监和</w:t>
            </w:r>
            <w:r>
              <w:rPr>
                <w:rFonts w:ascii="Times New Roman" w:eastAsia="Times New Roman" w:hAnsi="Times New Roman" w:cs="Times New Roman"/>
                <w:color w:val="000000"/>
                <w:spacing w:val="0"/>
                <w:w w:val="100"/>
                <w:position w:val="0"/>
              </w:rPr>
              <w:t>GE</w:t>
            </w:r>
            <w:r>
              <w:rPr>
                <w:color w:val="000000"/>
                <w:spacing w:val="0"/>
                <w:w w:val="100"/>
                <w:position w:val="0"/>
              </w:rPr>
              <w:t>全球金融重组业务中国区总监等职位。方女士职业生涯始于</w:t>
            </w:r>
            <w:r>
              <w:rPr>
                <w:rFonts w:ascii="Times New Roman" w:eastAsia="Times New Roman" w:hAnsi="Times New Roman" w:cs="Times New Roman"/>
                <w:color w:val="000000"/>
                <w:spacing w:val="0"/>
                <w:w w:val="100"/>
                <w:position w:val="0"/>
              </w:rPr>
              <w:t>1991</w:t>
            </w:r>
            <w:r>
              <w:rPr>
                <w:color w:val="000000"/>
                <w:spacing w:val="0"/>
                <w:w w:val="100"/>
                <w:position w:val="0"/>
              </w:rPr>
              <w:t>年，先后在中国工商银行，华夏证券公 司和中国进出口银行工作，在英国期间在</w:t>
            </w:r>
            <w:r>
              <w:rPr>
                <w:rFonts w:ascii="Times New Roman" w:eastAsia="Times New Roman" w:hAnsi="Times New Roman" w:cs="Times New Roman"/>
                <w:color w:val="000000"/>
                <w:spacing w:val="0"/>
                <w:w w:val="100"/>
                <w:position w:val="0"/>
              </w:rPr>
              <w:t>Bovis Lend Lease</w:t>
            </w:r>
            <w:r>
              <w:rPr>
                <w:color w:val="000000"/>
                <w:spacing w:val="0"/>
                <w:w w:val="100"/>
                <w:position w:val="0"/>
              </w:rPr>
              <w:t>，</w:t>
            </w:r>
            <w:r>
              <w:rPr>
                <w:rFonts w:ascii="Times New Roman" w:eastAsia="Times New Roman" w:hAnsi="Times New Roman" w:cs="Times New Roman"/>
                <w:color w:val="000000"/>
                <w:spacing w:val="0"/>
                <w:w w:val="100"/>
                <w:position w:val="0"/>
              </w:rPr>
              <w:t>GE Capital Europe</w:t>
            </w:r>
            <w:r>
              <w:rPr>
                <w:color w:val="000000"/>
                <w:spacing w:val="0"/>
                <w:w w:val="100"/>
                <w:position w:val="0"/>
              </w:rPr>
              <w:t>等机构任职。方女士毕业于中国金融学院金融专业，获经济 学学士学位；后于伦敦城市大学卡斯商学院取得工商管理硕士学位。方女士自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月起任本公司监事。</w:t>
            </w:r>
          </w:p>
        </w:tc>
      </w:tr>
      <w:tr>
        <w:trPr>
          <w:trHeight w:val="10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经济学硕士。程女士曾担任中国联通财务部全面预算办公室经理、资产管理处经理，联通创新创业投资有限公司总经理助理等职务。程女 士现任联通资本投资控股有限公司董事总经理，联通创新创业投资有限公司副总经理。程兰女士具有丰富的管理、股权投资及电信行业从 业经验。程女士自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月起任本公司职工监事。</w:t>
            </w:r>
          </w:p>
        </w:tc>
      </w:tr>
      <w:tr>
        <w:trPr>
          <w:trHeight w:val="41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买彦州</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大学本科，电子与信息工程硕士，中共党员。买先生曾担任中国网通集团广东省分公司副总经理、党组成员、纪检组长，中国联通广东省</w:t>
            </w:r>
          </w:p>
        </w:tc>
      </w:tr>
    </w:tbl>
    <w:p>
      <w:pPr>
        <w:spacing w:lineRule="exact" w:line="1"/>
        <w:rPr>
          <w:sz w:val="2"/>
          <w:szCs w:val="2"/>
        </w:rPr>
      </w:pPr>
      <w:r>
        <w:br w:type="page"/>
      </w:r>
    </w:p>
    <w:tbl>
      <w:tblPr>
        <w:tblOverlap w:val="never"/>
        <w:jc w:val="center"/>
        <w:tblLayout w:type="fixed"/>
      </w:tblPr>
      <w:tblGrid>
        <w:gridCol w:w="1248"/>
        <w:gridCol w:w="12854"/>
      </w:tblGrid>
      <w:tr>
        <w:trPr>
          <w:trHeight w:val="14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分公司副总经理、党委委员，中国联通福建省、辽宁省分公司总经理、党委书记。买先生是第十二届全国人大代表。买先生目前还担任中 国联合网络通信集团有限公司副总经理、党组成员，中国联合网络通信（香港）股份有限公司执行董事、高级副总裁，中国联合网络通信 有限公司董事及高级副总裁，电讯盈科有限公司非执行董事兼董事会副主席，中国铁塔股份有限公司非执行董事，中国通信服务股份有限 公司非执行董事，香港电讯有限公司及香港电讯管理有限公司非执行董事。买彦州先生具有丰富的管理及电信行业从业经验。买先生自</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月起任本公司高级副总裁。</w:t>
            </w:r>
          </w:p>
        </w:tc>
      </w:tr>
      <w:tr>
        <w:trPr>
          <w:trHeight w:val="14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梁宝俊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大学本科，工学硕士，中共党员。梁先生曾担任中国电信集团北京市电信公司副总经理、党组成员，中国电信股份有限公司北京分公司副 总经理、党组成员，中国电信集团公司河南省电信分公司总经理、党组书记，中国电信集团公司企业信息化事业部总经理、政企客户事业 部总经理。梁先生目前还担任中国联合网络通信集团有限公司副总经理、党组成员，中国联合网络通信（香港）股份有限公司高级副总裁， 中国联合网络通信有限公司董事及高级副总裁。梁宝俊先生具有丰富的管理及电信行业从业经验。梁先生自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月起任本公司高级副 总裁。</w:t>
            </w:r>
          </w:p>
        </w:tc>
      </w:tr>
      <w:tr>
        <w:trPr>
          <w:trHeight w:val="121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何飚</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both"/>
            </w:pPr>
            <w:r>
              <w:rPr>
                <w:color w:val="000000"/>
                <w:spacing w:val="0"/>
                <w:w w:val="100"/>
                <w:position w:val="0"/>
              </w:rPr>
              <w:t>大学本科，工商管理博士，中共党员。何先生曾担任中国联通广东省分公司党委委员、副总经理，广东省分公司党委副书记、总经理，广 东省分公司党委书记、总经理兼任联通（广东）产业互联网有限公司董事长。何先生目前还担任中国联合网络通信集团有限公司副总经理、 党组成员，中国联合网络通信（香港）股份有限公司高级副总裁，中国联合网络通信有限公司董事及高级副总裁。何飚先生具有丰富的管 理及电信行业从业经验。何先生自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月起任本公司高级副总裁。</w:t>
            </w:r>
          </w:p>
        </w:tc>
      </w:tr>
      <w:tr>
        <w:trPr>
          <w:trHeight w:val="14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唐永博</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研究生，工商管理硕士，中共党员。唐先生曾任中国联通湖南省分公司</w:t>
            </w:r>
            <w:r>
              <w:rPr>
                <w:rFonts w:ascii="Times New Roman" w:eastAsia="Times New Roman" w:hAnsi="Times New Roman" w:cs="Times New Roman"/>
                <w:color w:val="000000"/>
                <w:spacing w:val="0"/>
                <w:w w:val="100"/>
                <w:position w:val="0"/>
              </w:rPr>
              <w:t>G</w:t>
            </w:r>
            <w:r>
              <w:rPr>
                <w:color w:val="000000"/>
                <w:spacing w:val="0"/>
                <w:w w:val="100"/>
                <w:position w:val="0"/>
              </w:rPr>
              <w:t>网经营部、个人客户部、销售部总经理，中国联通湖南省分公司 副总经理、党委委员，中国联通湖南省分公司总经理、党委书记，中国联通集团公司市场部总经理。第十三届全国人大代表。唐先生目前 还担任中国联合网络通信集团有限公司副总经理、党组成员，中国联合网络通信（香港）股份有限公司高级副总裁，中国联合网络通信有 限公司董事及高级副总裁。唐永博先生具有丰富的管理及电信行业从业经验。唐先生自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月起任本公司高级副总裁，自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月起任本公司总法律顾问。</w:t>
            </w:r>
          </w:p>
        </w:tc>
      </w:tr>
      <w:tr>
        <w:trPr>
          <w:trHeight w:val="150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李玉焯</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both"/>
            </w:pPr>
            <w:r>
              <w:rPr>
                <w:color w:val="000000"/>
                <w:spacing w:val="0"/>
                <w:w w:val="100"/>
                <w:position w:val="0"/>
              </w:rPr>
              <w:t>研究生，工商管理硕士，中共党员。李女士曾任中国有色工程有限公司财务部主任，中国恩菲工程技术有限公司副总经理，中国冶金科工 集团有限公司（中国冶金科工股份有限公司）资金部部长、董事会秘书，中国五矿集团有限公司资本运营部部长。李女士目前还担任中国 联合网络通信集团有限公司总会计师、党组成员，中国联合网络通信（香港）股份有限公司执行董事、首席财务官，中国联合网络通信有 限公司董事、首席财务官。李玉焯女士具有丰富的财务投资及资本运作工作经验。李女士自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月起任本公司董事会秘书、首席财务 官、财务负责人。</w:t>
            </w:r>
          </w:p>
        </w:tc>
      </w:tr>
    </w:tbl>
    <w:p>
      <w:pPr>
        <w:sectPr>
          <w:footnotePr>
            <w:pos w:val="pageBottom"/>
            <w:numFmt w:val="decimal"/>
            <w:numRestart w:val="continuous"/>
          </w:footnotePr>
          <w:pgSz w:w="16840" w:h="11900" w:orient="landscape"/>
          <w:pgMar w:top="1789" w:right="1412" w:bottom="1307" w:left="1326" w:header="0" w:footer="3" w:gutter="0"/>
          <w:cols w:space="720"/>
          <w:noEndnote/>
          <w:rtlGutter w:val="0"/>
          <w:docGrid w:linePitch="360"/>
        </w:sectPr>
      </w:pPr>
    </w:p>
    <w:p>
      <w:pPr>
        <w:pStyle w:val="Style5"/>
        <w:keepNext w:val="0"/>
        <w:keepLines w:val="0"/>
        <w:widowControl w:val="0"/>
        <w:shd w:val="clear" w:color="auto" w:fill="auto"/>
        <w:bidi w:val="0"/>
        <w:spacing w:before="0" w:after="0" w:line="336" w:lineRule="exact"/>
        <w:ind w:left="0" w:right="0" w:firstLine="720"/>
        <w:jc w:val="left"/>
      </w:pPr>
      <w:bookmarkStart w:id="357" w:name="bookmark357"/>
      <w:r>
        <w:rPr>
          <w:rFonts w:ascii="Calibri" w:eastAsia="Calibri" w:hAnsi="Calibri" w:cs="Calibri"/>
          <w:b/>
          <w:bCs/>
          <w:color w:val="000000"/>
          <w:spacing w:val="0"/>
          <w:w w:val="100"/>
          <w:position w:val="0"/>
          <w:shd w:val="clear" w:color="auto" w:fill="FFFFFF"/>
        </w:rPr>
        <w:t>（</w:t>
      </w:r>
      <w:bookmarkEnd w:id="357"/>
      <w:r>
        <w:rPr>
          <w:b/>
          <w:bCs/>
          <w:color w:val="000000"/>
          <w:spacing w:val="0"/>
          <w:w w:val="100"/>
          <w:position w:val="0"/>
          <w:shd w:val="clear" w:color="auto" w:fill="FFFFFF"/>
        </w:rPr>
        <w:t>二</w:t>
      </w:r>
      <w:r>
        <w:rPr>
          <w:b/>
          <w:bCs/>
          <w:color w:val="000000"/>
          <w:spacing w:val="0"/>
          <w:w w:val="100"/>
          <w:position w:val="0"/>
          <w:sz w:val="22"/>
          <w:szCs w:val="22"/>
          <w:shd w:val="clear" w:color="auto" w:fill="FFFFFF"/>
        </w:rPr>
        <w:t>）</w:t>
      </w:r>
      <w:r>
        <w:rPr>
          <w:b/>
          <w:bCs/>
          <w:color w:val="000000"/>
          <w:spacing w:val="0"/>
          <w:w w:val="100"/>
          <w:position w:val="0"/>
          <w:shd w:val="clear" w:color="auto" w:fill="FFFFFF"/>
        </w:rPr>
        <w:t>现任及报告期内离任董事、监事和高级管理人员的任职情况</w:t>
      </w:r>
    </w:p>
    <w:p>
      <w:pPr>
        <w:pStyle w:val="Style5"/>
        <w:keepNext w:val="0"/>
        <w:keepLines w:val="0"/>
        <w:widowControl w:val="0"/>
        <w:numPr>
          <w:ilvl w:val="0"/>
          <w:numId w:val="31"/>
        </w:numPr>
        <w:shd w:val="clear" w:color="auto" w:fill="auto"/>
        <w:bidi w:val="0"/>
        <w:spacing w:before="0" w:after="260" w:line="336" w:lineRule="exact"/>
        <w:ind w:left="0" w:right="0" w:firstLine="720"/>
        <w:jc w:val="left"/>
      </w:pPr>
      <w:bookmarkStart w:id="358" w:name="bookmark358"/>
      <w:bookmarkEnd w:id="358"/>
      <w:r>
        <w:rPr>
          <w:b/>
          <w:bCs/>
          <w:color w:val="000000"/>
          <w:spacing w:val="0"/>
          <w:w w:val="100"/>
          <w:position w:val="0"/>
        </w:rPr>
        <w:t>在股东单位任职情况</w:t>
      </w:r>
    </w:p>
    <w:tbl>
      <w:tblPr>
        <w:tblOverlap w:val="never"/>
        <w:jc w:val="center"/>
        <w:tblLayout w:type="fixed"/>
      </w:tblPr>
      <w:tblGrid>
        <w:gridCol w:w="1531"/>
        <w:gridCol w:w="1598"/>
        <w:gridCol w:w="2549"/>
        <w:gridCol w:w="1853"/>
        <w:gridCol w:w="1699"/>
      </w:tblGrid>
      <w:tr>
        <w:trPr>
          <w:trHeight w:val="28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股东单位名称</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283" w:hRule="exact"/>
        </w:trPr>
        <w:tc>
          <w:tcPr>
            <w:gridSpan w:val="5"/>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截至年度报告披露日，公司现任董事、监事和高级管理人员：</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刘烈宏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陈忠岳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王俊治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买彦州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梁宝俊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唐永博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总法律顾问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gridSpan w:val="5"/>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截至年度报告披露日，公司离任董事、监事和高级管理人员：</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朱可炳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范云军</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联通集团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总法律顾问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19" w:line="1" w:lineRule="exact"/>
      </w:pPr>
    </w:p>
    <w:p>
      <w:pPr>
        <w:pStyle w:val="Style25"/>
        <w:keepNext w:val="0"/>
        <w:keepLines w:val="0"/>
        <w:widowControl w:val="0"/>
        <w:shd w:val="clear" w:color="auto" w:fill="auto"/>
        <w:bidi w:val="0"/>
        <w:spacing w:before="0" w:after="0" w:line="240" w:lineRule="auto"/>
        <w:ind w:left="696" w:right="0" w:firstLine="0"/>
        <w:jc w:val="left"/>
      </w:pPr>
      <w:r>
        <w:rPr>
          <w:b/>
          <w:bCs/>
          <w:color w:val="000000"/>
          <w:spacing w:val="0"/>
          <w:w w:val="100"/>
          <w:position w:val="0"/>
        </w:rPr>
        <w:t>2.</w:t>
      </w:r>
      <w:r>
        <w:rPr>
          <w:b/>
          <w:bCs/>
          <w:color w:val="000000"/>
          <w:spacing w:val="0"/>
          <w:w w:val="100"/>
          <w:position w:val="0"/>
        </w:rPr>
        <w:t>在其他单位任职情况</w:t>
      </w:r>
    </w:p>
    <w:tbl>
      <w:tblPr>
        <w:tblOverlap w:val="never"/>
        <w:jc w:val="center"/>
        <w:tblLayout w:type="fixed"/>
      </w:tblPr>
      <w:tblGrid>
        <w:gridCol w:w="998"/>
        <w:gridCol w:w="3547"/>
        <w:gridCol w:w="2549"/>
        <w:gridCol w:w="1704"/>
        <w:gridCol w:w="1709"/>
      </w:tblGrid>
      <w:tr>
        <w:trPr>
          <w:trHeight w:val="562"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任职人</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员姓名</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任期终止日期</w:t>
            </w:r>
          </w:p>
        </w:tc>
      </w:tr>
      <w:tr>
        <w:trPr>
          <w:trHeight w:val="55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刘烈宏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执行董事、董事长、首席 执行官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陈忠岳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王俊治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中国人寿保险（集团）公司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首席投资官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中国人寿资产管理有限公司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国寿安保基金管理有限公司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滨海（天津）金融资产交易中心股份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中国人寿财产保险股份有限公司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中国人寿保险（海外）股份有限公司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腾讯控股有限公司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高级执行副总裁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上海腾讯信息技术有限公司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法定代表人、执行董事、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重庆腾讯信息技术有限公司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法定代表人、执行董事、 总经理</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998"/>
        <w:gridCol w:w="3547"/>
        <w:gridCol w:w="2549"/>
        <w:gridCol w:w="1704"/>
        <w:gridCol w:w="1709"/>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腾讯数码（天津）有限公司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法定代表人、董事长、经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Futu Holdings Limited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深圳市世纪凯旋和技有限公司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法定代表人、总经理、董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深圳市腾讯计算机系统有限公司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腾讯科技（深圳）有限公司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贵安新区腾讯数码有限公司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Baidu. Inc</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首席技术官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北京百度投资管理有限公司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新共识（杭州）科技有限公司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中信百信银行股份有限公司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北京京东世纪贸易有限公司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深圳阿里云计算技术有限公司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广州阿里云计算应用技术有限公司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浙江数蜂科技有限公司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斑马网络技术有限公司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阿里巴巴丝路有限公司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杭州云煌投资管理有限公司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阿里巴巴（深圳）技术有限公司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上海赛云投资管理有限公司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董事长，法定代表人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阿里云计算（张北）有限公司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浙江阿里巴巴云计算有限公司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阿里云计算有限公司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阿里巴巴华东有限公司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阿里巴巴雄安技术有限公司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智己汽车科技有限公司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上海赛云投资有限公司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中国广电网络股份有限公司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中通快递股份有限公司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华数传媒控股股份有限公司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云粒智慧科技有限公司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数字浙江技术运营有限公司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顾佳丹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上海机场（集团）有限公司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高云虎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华侨城集团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童国华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中国信息通信科技集团有限公司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中芯国际集成电路制造有限公司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电信科学技术研究院有限公司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大唐电信科技产业控股有限公司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中国医药集团有限公司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招联消费金融有限公司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方向明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诚通基金管理有限公司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宁波梅山保税港区锦甜河投资管理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宁波梅山保税港区坤玉河投资管理</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998"/>
        <w:gridCol w:w="3547"/>
        <w:gridCol w:w="2549"/>
        <w:gridCol w:w="1704"/>
        <w:gridCol w:w="170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中移股权基金管理有限公司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全国妇联第十二届执行委员会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联通资本投资控股有限公司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联通创新创业投资有限公司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买彦州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香港电讯盈科有限公司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香港电讯盈科有限公司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董事会副主席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香港电讯有限公司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香港电讯管理有限公司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中国铁塔股份有限公司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中国通信服务股份有限公司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梁宝俊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云粒智慧科技有限公司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云镝智慧科技有限公司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联通数字科技有限公司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唐永博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总法律顾问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联通资本投资控股有限公司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联通创新创业投资有限公司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招联消费金融有限公司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中国联通国际公司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执行董事、首席财务官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董事、首席财务官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475" w:hRule="exact"/>
        </w:trPr>
        <w:tc>
          <w:tcPr>
            <w:gridSpan w:val="5"/>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截至本报告披露日，公司离任董事、监事和高级管理人员：</w:t>
            </w:r>
          </w:p>
        </w:tc>
      </w:tr>
      <w:tr>
        <w:trPr>
          <w:trHeight w:val="557"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执行董事、董事长兼首席 执行官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招联消费金融有限公司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香港电讯盈科有限公司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香港电讯盈科有限公司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董事会副主席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香港电讯管理有限公司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中国节能环保集团有限公司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中粮集团有限公司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尹兆君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中国太平保险集团有限责任公司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总经理、副董事长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中国人寿保险（集团）公司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国寿投资控股有限公司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中国人寿财产保险股份有限公司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998"/>
        <w:gridCol w:w="3547"/>
        <w:gridCol w:w="2549"/>
        <w:gridCol w:w="1704"/>
        <w:gridCol w:w="170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行长、副董事长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中国金融会计学会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冯士栋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中国交通建设集团有限公司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中国诚通控股集团有限公司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吕廷杰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中国通信服务股份有限公司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中国卫通集团股份有限公司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朱可炳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执行董事、首席财务官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董事、首席财务官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中国五矿集团有限公司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范云军</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中国卫星网络集团有限公司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张保英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联通资本投资控股有限公司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联通创新创业投资有限公司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姜爱华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财务部副总经理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r>
      <w:tr>
        <w:trPr>
          <w:trHeight w:val="111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在其他 单位任 职情况 的说明</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79" w:line="1" w:lineRule="exact"/>
      </w:pPr>
    </w:p>
    <w:p>
      <w:pPr>
        <w:pStyle w:val="Style25"/>
        <w:keepNext w:val="0"/>
        <w:keepLines w:val="0"/>
        <w:widowControl w:val="0"/>
        <w:shd w:val="clear" w:color="auto" w:fill="auto"/>
        <w:bidi w:val="0"/>
        <w:spacing w:before="0" w:after="60" w:line="240" w:lineRule="auto"/>
        <w:ind w:left="130" w:right="0" w:firstLine="0"/>
        <w:jc w:val="left"/>
      </w:pPr>
      <w:r>
        <w:rPr>
          <w:rFonts w:ascii="Calibri" w:eastAsia="Calibri" w:hAnsi="Calibri" w:cs="Calibri"/>
          <w:b/>
          <w:bCs/>
          <w:color w:val="000000"/>
          <w:spacing w:val="0"/>
          <w:w w:val="100"/>
          <w:position w:val="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5"/>
        <w:keepNext w:val="0"/>
        <w:keepLines w:val="0"/>
        <w:widowControl w:val="0"/>
        <w:shd w:val="clear" w:color="auto" w:fill="auto"/>
        <w:bidi w:val="0"/>
        <w:spacing w:before="0" w:after="0" w:line="240" w:lineRule="auto"/>
        <w:ind w:left="130" w:right="0" w:firstLine="0"/>
        <w:jc w:val="left"/>
      </w:pPr>
      <w:r>
        <w:rPr>
          <w:color w:val="000000"/>
          <w:spacing w:val="0"/>
          <w:w w:val="100"/>
          <w:position w:val="0"/>
        </w:rPr>
        <w:t>口适用口不适用</w:t>
      </w:r>
    </w:p>
    <w:tbl>
      <w:tblPr>
        <w:tblOverlap w:val="never"/>
        <w:jc w:val="center"/>
        <w:tblLayout w:type="fixed"/>
      </w:tblPr>
      <w:tblGrid>
        <w:gridCol w:w="3192"/>
        <w:gridCol w:w="6187"/>
      </w:tblGrid>
      <w:tr>
        <w:trPr>
          <w:trHeight w:val="830"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董事、监事、高级管理人员报酬 的决策程序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在股东单位任职的董事和监事的报酬，由国有资产监督管理委员 会核定。高级管理人员的报酬，由董事会制定薪酬标准并组织考 核确定。</w:t>
            </w:r>
          </w:p>
        </w:tc>
      </w:tr>
      <w:tr>
        <w:trPr>
          <w:trHeight w:val="1099"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董事、监事、高级管理人员报酬 确定依据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本公司按照国有资产监督管理委员会管理要求，执行担任中央企 业负责人的董事、监事薪酬方案。本公司依据本公司《高级管理 人员薪酬方案》和相关管理规定确定其他董事、监事、高级管理 人员薪酬。</w:t>
            </w:r>
          </w:p>
        </w:tc>
      </w:tr>
      <w:tr>
        <w:trPr>
          <w:trHeight w:val="557"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 的实际支付情况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详见本节</w:t>
            </w:r>
            <w:r>
              <w:rPr>
                <w:rFonts w:ascii="Times New Roman" w:eastAsia="Times New Roman" w:hAnsi="Times New Roman" w:cs="Times New Roman"/>
                <w:color w:val="000000"/>
                <w:spacing w:val="0"/>
                <w:w w:val="100"/>
                <w:position w:val="0"/>
              </w:rPr>
              <w:t>“</w:t>
            </w:r>
            <w:r>
              <w:rPr>
                <w:color w:val="000000"/>
                <w:spacing w:val="0"/>
                <w:w w:val="100"/>
                <w:position w:val="0"/>
              </w:rPr>
              <w:t>现任及报告期内离任董事、监事和高级管理人员持股变 动及报酬情况</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2" w:hRule="exact"/>
        </w:trPr>
        <w:tc>
          <w:tcPr>
            <w:tcBorders>
              <w:top w:val="single" w:sz="4"/>
              <w:left w:val="single" w:sz="4"/>
              <w:bottom w:val="single" w:sz="4"/>
            </w:tcBorders>
            <w:shd w:val="clear" w:color="auto" w:fill="D9D9D9"/>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 管理人员实际获得的报酬合计</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详见本节</w:t>
            </w:r>
            <w:r>
              <w:rPr>
                <w:rFonts w:ascii="Times New Roman" w:eastAsia="Times New Roman" w:hAnsi="Times New Roman" w:cs="Times New Roman"/>
                <w:color w:val="000000"/>
                <w:spacing w:val="0"/>
                <w:w w:val="100"/>
                <w:position w:val="0"/>
              </w:rPr>
              <w:t>“</w:t>
            </w:r>
            <w:r>
              <w:rPr>
                <w:color w:val="000000"/>
                <w:spacing w:val="0"/>
                <w:w w:val="100"/>
                <w:position w:val="0"/>
              </w:rPr>
              <w:t>现任及报告期内离任董事、监事和高级管理人员持股变 动及报酬情况</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tbl>
      <w:tblPr>
        <w:tblOverlap w:val="never"/>
        <w:jc w:val="center"/>
        <w:tblLayout w:type="fixed"/>
      </w:tblPr>
      <w:tblGrid>
        <w:gridCol w:w="1670"/>
        <w:gridCol w:w="2126"/>
        <w:gridCol w:w="1987"/>
        <w:gridCol w:w="3408"/>
      </w:tblGrid>
      <w:tr>
        <w:trPr>
          <w:trHeight w:val="28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姓名</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担任的职务</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刘烈宏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增补董事，</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月新任</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陈忠岳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增补董事，</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月新任</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月新任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王俊治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增补董事，</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月新任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增补董事，</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月新任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增补董事，</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月新任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顾佳丹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月新任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高云虎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月新任</w:t>
            </w:r>
          </w:p>
        </w:tc>
      </w:tr>
      <w:tr>
        <w:trPr>
          <w:trHeight w:val="28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鲍朔望</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月新任</w:t>
            </w:r>
          </w:p>
        </w:tc>
      </w:tr>
    </w:tbl>
    <w:p>
      <w:pPr>
        <w:spacing w:lineRule="exact" w:line="1"/>
        <w:rPr>
          <w:sz w:val="2"/>
          <w:szCs w:val="2"/>
        </w:rPr>
      </w:pPr>
      <w:r>
        <w:br w:type="page"/>
      </w:r>
    </w:p>
    <w:tbl>
      <w:tblPr>
        <w:tblOverlap w:val="never"/>
        <w:jc w:val="center"/>
        <w:tblLayout w:type="fixed"/>
      </w:tblPr>
      <w:tblGrid>
        <w:gridCol w:w="1670"/>
        <w:gridCol w:w="2126"/>
        <w:gridCol w:w="1987"/>
        <w:gridCol w:w="3408"/>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童国华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增补董事，</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月新任</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唐永博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月新任</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总法律顾问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月新任</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月新任</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首席财务官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月新任</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月新任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月新任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因届退休，</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月离任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因工作调动，</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月离任</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尹兆君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因工作调动，</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月离任</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月离任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冯士栋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月离任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月离任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月离任</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朱可炳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首席财务官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因工作调动，</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月离任</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范云军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高级副总裁 兼总法律顾问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因工作调动，</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月离任</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张保英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因工作变动，</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月离任</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姜爱华</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因工作调动，</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月离任</w:t>
            </w:r>
          </w:p>
        </w:tc>
      </w:tr>
    </w:tbl>
    <w:p>
      <w:pPr>
        <w:widowControl w:val="0"/>
        <w:spacing w:after="239" w:line="1" w:lineRule="exact"/>
      </w:pPr>
    </w:p>
    <w:p>
      <w:pPr>
        <w:pStyle w:val="Style5"/>
        <w:keepNext w:val="0"/>
        <w:keepLines w:val="0"/>
        <w:widowControl w:val="0"/>
        <w:shd w:val="clear" w:color="auto" w:fill="auto"/>
        <w:bidi w:val="0"/>
        <w:spacing w:before="0" w:after="660" w:line="360" w:lineRule="exact"/>
        <w:ind w:left="840" w:right="0" w:firstLine="420"/>
        <w:jc w:val="both"/>
      </w:pPr>
      <w:r>
        <w:rPr>
          <w:color w:val="000000"/>
          <w:spacing w:val="0"/>
          <w:w w:val="100"/>
          <w:position w:val="0"/>
        </w:rPr>
        <w:t>详情请见公司在《中国证券报》《上海证券报》《证券时报》、上海证券交易所网站及公司网站 发布的《关于公司董事辞任和增补董事的公告》（公告编号：</w:t>
      </w:r>
      <w:r>
        <w:rPr>
          <w:color w:val="000000"/>
          <w:spacing w:val="0"/>
          <w:w w:val="100"/>
          <w:position w:val="0"/>
        </w:rPr>
        <w:t>2021-010）</w:t>
      </w:r>
      <w:r>
        <w:rPr>
          <w:color w:val="000000"/>
          <w:spacing w:val="0"/>
          <w:w w:val="100"/>
          <w:position w:val="0"/>
        </w:rPr>
        <w:t>、《关于聘任公司总裁的公 告》（公告编号：</w:t>
      </w:r>
      <w:r>
        <w:rPr>
          <w:color w:val="000000"/>
          <w:spacing w:val="0"/>
          <w:w w:val="100"/>
          <w:position w:val="0"/>
        </w:rPr>
        <w:t>2021-011）</w:t>
      </w:r>
      <w:r>
        <w:rPr>
          <w:color w:val="000000"/>
          <w:spacing w:val="0"/>
          <w:w w:val="100"/>
          <w:position w:val="0"/>
        </w:rPr>
        <w:t>、《</w:t>
      </w:r>
      <w:r>
        <w:rPr>
          <w:color w:val="000000"/>
          <w:spacing w:val="0"/>
          <w:w w:val="100"/>
          <w:position w:val="0"/>
        </w:rPr>
        <w:t>2021</w:t>
      </w:r>
      <w:r>
        <w:rPr>
          <w:color w:val="000000"/>
          <w:spacing w:val="0"/>
          <w:w w:val="100"/>
          <w:position w:val="0"/>
        </w:rPr>
        <w:t>年第一次临时股东大会决议公告》（公告编号：</w:t>
      </w:r>
      <w:r>
        <w:rPr>
          <w:color w:val="000000"/>
          <w:spacing w:val="0"/>
          <w:w w:val="100"/>
          <w:position w:val="0"/>
        </w:rPr>
        <w:t>2021-015）</w:t>
      </w:r>
      <w:r>
        <w:rPr>
          <w:color w:val="000000"/>
          <w:spacing w:val="0"/>
          <w:w w:val="100"/>
          <w:position w:val="0"/>
        </w:rPr>
        <w:t>、 《第六届董事会第二十三次会议决议公告》（公告编号：</w:t>
      </w:r>
      <w:r>
        <w:rPr>
          <w:color w:val="000000"/>
          <w:spacing w:val="0"/>
          <w:w w:val="100"/>
          <w:position w:val="0"/>
        </w:rPr>
        <w:t>2021-016）</w:t>
      </w:r>
      <w:r>
        <w:rPr>
          <w:color w:val="000000"/>
          <w:spacing w:val="0"/>
          <w:w w:val="100"/>
          <w:position w:val="0"/>
        </w:rPr>
        <w:t>、《第六届董事会第二十四次会 议决议公告》（公告编号：</w:t>
      </w:r>
      <w:r>
        <w:rPr>
          <w:color w:val="000000"/>
          <w:spacing w:val="0"/>
          <w:w w:val="100"/>
          <w:position w:val="0"/>
        </w:rPr>
        <w:t>2021-019）</w:t>
      </w:r>
      <w:r>
        <w:rPr>
          <w:color w:val="000000"/>
          <w:spacing w:val="0"/>
          <w:w w:val="100"/>
          <w:position w:val="0"/>
        </w:rPr>
        <w:t>、《第六届监事会第十七次会议公告》（公告编号：</w:t>
      </w:r>
      <w:r>
        <w:rPr>
          <w:color w:val="000000"/>
          <w:spacing w:val="0"/>
          <w:w w:val="100"/>
          <w:position w:val="0"/>
        </w:rPr>
        <w:t>2021-020）</w:t>
      </w:r>
      <w:r>
        <w:rPr>
          <w:color w:val="000000"/>
          <w:spacing w:val="0"/>
          <w:w w:val="100"/>
          <w:position w:val="0"/>
        </w:rPr>
        <w:t>、 《关于董事会换届暨选举董事及监事会换届暨选举监事的公告》（公告编号：</w:t>
      </w:r>
      <w:r>
        <w:rPr>
          <w:color w:val="000000"/>
          <w:spacing w:val="0"/>
          <w:w w:val="100"/>
          <w:position w:val="0"/>
        </w:rPr>
        <w:t>2021-021）</w:t>
      </w:r>
      <w:r>
        <w:rPr>
          <w:color w:val="000000"/>
          <w:spacing w:val="0"/>
          <w:w w:val="100"/>
          <w:position w:val="0"/>
        </w:rPr>
        <w:t>、《</w:t>
      </w:r>
      <w:r>
        <w:rPr>
          <w:color w:val="000000"/>
          <w:spacing w:val="0"/>
          <w:w w:val="100"/>
          <w:position w:val="0"/>
        </w:rPr>
        <w:t xml:space="preserve">2021 </w:t>
      </w:r>
      <w:r>
        <w:rPr>
          <w:color w:val="000000"/>
          <w:spacing w:val="0"/>
          <w:w w:val="100"/>
          <w:position w:val="0"/>
        </w:rPr>
        <w:t>年第二次临时股东大会决议公告》（公告编号：</w:t>
      </w:r>
      <w:r>
        <w:rPr>
          <w:color w:val="000000"/>
          <w:spacing w:val="0"/>
          <w:w w:val="100"/>
          <w:position w:val="0"/>
        </w:rPr>
        <w:t>2021-038）</w:t>
      </w:r>
      <w:r>
        <w:rPr>
          <w:color w:val="000000"/>
          <w:spacing w:val="0"/>
          <w:w w:val="100"/>
          <w:position w:val="0"/>
        </w:rPr>
        <w:t>、《关于选举职工代表监事的公告》（公 告编号：</w:t>
      </w:r>
      <w:r>
        <w:rPr>
          <w:color w:val="000000"/>
          <w:spacing w:val="0"/>
          <w:w w:val="100"/>
          <w:position w:val="0"/>
        </w:rPr>
        <w:t>2021-039）</w:t>
      </w:r>
      <w:r>
        <w:rPr>
          <w:color w:val="000000"/>
          <w:spacing w:val="0"/>
          <w:w w:val="100"/>
          <w:position w:val="0"/>
        </w:rPr>
        <w:t>、《第七届董事会第二次会议决议公告》（公告编号：</w:t>
      </w:r>
      <w:r>
        <w:rPr>
          <w:color w:val="000000"/>
          <w:spacing w:val="0"/>
          <w:w w:val="100"/>
          <w:position w:val="0"/>
        </w:rPr>
        <w:t>2021-046</w:t>
      </w:r>
      <w:r>
        <w:rPr>
          <w:color w:val="000000"/>
          <w:spacing w:val="0"/>
          <w:w w:val="100"/>
          <w:position w:val="0"/>
        </w:rPr>
        <w:t>）、《关于公司 高级副总裁及总法律顾问辞任的公告》（公告编号：</w:t>
      </w:r>
      <w:r>
        <w:rPr>
          <w:color w:val="000000"/>
          <w:spacing w:val="0"/>
          <w:w w:val="100"/>
          <w:position w:val="0"/>
        </w:rPr>
        <w:t>2021-049）</w:t>
      </w:r>
      <w:r>
        <w:rPr>
          <w:color w:val="000000"/>
          <w:spacing w:val="0"/>
          <w:w w:val="100"/>
          <w:position w:val="0"/>
        </w:rPr>
        <w:t>、《</w:t>
      </w:r>
      <w:r>
        <w:rPr>
          <w:color w:val="000000"/>
          <w:spacing w:val="0"/>
          <w:w w:val="100"/>
          <w:position w:val="0"/>
        </w:rPr>
        <w:t>2020</w:t>
      </w:r>
      <w:r>
        <w:rPr>
          <w:color w:val="000000"/>
          <w:spacing w:val="0"/>
          <w:w w:val="100"/>
          <w:position w:val="0"/>
        </w:rPr>
        <w:t>年年度股东大会决议公告》 （公告编号：</w:t>
      </w:r>
      <w:r>
        <w:rPr>
          <w:color w:val="000000"/>
          <w:spacing w:val="0"/>
          <w:w w:val="100"/>
          <w:position w:val="0"/>
        </w:rPr>
        <w:t>2021-052）</w:t>
      </w:r>
      <w:r>
        <w:rPr>
          <w:color w:val="000000"/>
          <w:spacing w:val="0"/>
          <w:w w:val="100"/>
          <w:position w:val="0"/>
        </w:rPr>
        <w:t>、《关于公司董事辞任的公告》（公告编号：</w:t>
      </w:r>
      <w:r>
        <w:rPr>
          <w:color w:val="000000"/>
          <w:spacing w:val="0"/>
          <w:w w:val="100"/>
          <w:position w:val="0"/>
        </w:rPr>
        <w:t>2021-060）</w:t>
      </w:r>
      <w:r>
        <w:rPr>
          <w:color w:val="000000"/>
          <w:spacing w:val="0"/>
          <w:w w:val="100"/>
          <w:position w:val="0"/>
        </w:rPr>
        <w:t>、《关于公司首席 财务官及董事会秘书辞任的公告》（公告编号：</w:t>
      </w:r>
      <w:r>
        <w:rPr>
          <w:color w:val="000000"/>
          <w:spacing w:val="0"/>
          <w:w w:val="100"/>
          <w:position w:val="0"/>
        </w:rPr>
        <w:t>2021-061）</w:t>
      </w:r>
      <w:r>
        <w:rPr>
          <w:color w:val="000000"/>
          <w:spacing w:val="0"/>
          <w:w w:val="100"/>
          <w:position w:val="0"/>
        </w:rPr>
        <w:t>、《关于公司董事长辞任的公告》（公告 编号：</w:t>
      </w:r>
      <w:r>
        <w:rPr>
          <w:color w:val="000000"/>
          <w:spacing w:val="0"/>
          <w:w w:val="100"/>
          <w:position w:val="0"/>
        </w:rPr>
        <w:t>2021-078）</w:t>
      </w:r>
      <w:r>
        <w:rPr>
          <w:color w:val="000000"/>
          <w:spacing w:val="0"/>
          <w:w w:val="100"/>
          <w:position w:val="0"/>
        </w:rPr>
        <w:t>、《关于增补董事的公告》（公告编号：</w:t>
      </w:r>
      <w:r>
        <w:rPr>
          <w:color w:val="000000"/>
          <w:spacing w:val="0"/>
          <w:w w:val="100"/>
          <w:position w:val="0"/>
        </w:rPr>
        <w:t>2021-081）</w:t>
      </w:r>
      <w:r>
        <w:rPr>
          <w:color w:val="000000"/>
          <w:spacing w:val="0"/>
          <w:w w:val="100"/>
          <w:position w:val="0"/>
        </w:rPr>
        <w:t>、《</w:t>
      </w:r>
      <w:r>
        <w:rPr>
          <w:color w:val="000000"/>
          <w:spacing w:val="0"/>
          <w:w w:val="100"/>
          <w:position w:val="0"/>
        </w:rPr>
        <w:t>2021</w:t>
      </w:r>
      <w:r>
        <w:rPr>
          <w:color w:val="000000"/>
          <w:spacing w:val="0"/>
          <w:w w:val="100"/>
          <w:position w:val="0"/>
        </w:rPr>
        <w:t>年第三次临时股东大 会决议公告》（公告编号：</w:t>
      </w:r>
      <w:r>
        <w:rPr>
          <w:color w:val="000000"/>
          <w:spacing w:val="0"/>
          <w:w w:val="100"/>
          <w:position w:val="0"/>
        </w:rPr>
        <w:t>2021-085）</w:t>
      </w:r>
      <w:r>
        <w:rPr>
          <w:color w:val="000000"/>
          <w:spacing w:val="0"/>
          <w:w w:val="100"/>
          <w:position w:val="0"/>
        </w:rPr>
        <w:t>、《关于公司董事辞任和增补董事的公告》（公告编号：</w:t>
      </w:r>
      <w:r>
        <w:rPr>
          <w:color w:val="000000"/>
          <w:spacing w:val="0"/>
          <w:w w:val="100"/>
          <w:position w:val="0"/>
        </w:rPr>
        <w:t>2021-100）</w:t>
      </w:r>
      <w:r>
        <w:rPr>
          <w:color w:val="000000"/>
          <w:spacing w:val="0"/>
          <w:w w:val="100"/>
          <w:position w:val="0"/>
        </w:rPr>
        <w:t>、 《关于聘任公司高级副总裁的公告》（公告编号：</w:t>
      </w:r>
      <w:r>
        <w:rPr>
          <w:color w:val="000000"/>
          <w:spacing w:val="0"/>
          <w:w w:val="100"/>
          <w:position w:val="0"/>
        </w:rPr>
        <w:t>2021-103）</w:t>
      </w:r>
      <w:r>
        <w:rPr>
          <w:color w:val="000000"/>
          <w:spacing w:val="0"/>
          <w:w w:val="100"/>
          <w:position w:val="0"/>
        </w:rPr>
        <w:t>、《</w:t>
      </w:r>
      <w:r>
        <w:rPr>
          <w:color w:val="000000"/>
          <w:spacing w:val="0"/>
          <w:w w:val="100"/>
          <w:position w:val="0"/>
        </w:rPr>
        <w:t>2021</w:t>
      </w:r>
      <w:r>
        <w:rPr>
          <w:color w:val="000000"/>
          <w:spacing w:val="0"/>
          <w:w w:val="100"/>
          <w:position w:val="0"/>
        </w:rPr>
        <w:t>年第四次临时股东大会决议公 告》（公告编号：</w:t>
      </w:r>
      <w:r>
        <w:rPr>
          <w:color w:val="000000"/>
          <w:spacing w:val="0"/>
          <w:w w:val="100"/>
          <w:position w:val="0"/>
        </w:rPr>
        <w:t>2021-106）</w:t>
      </w:r>
      <w:r>
        <w:rPr>
          <w:color w:val="000000"/>
          <w:spacing w:val="0"/>
          <w:w w:val="100"/>
          <w:position w:val="0"/>
        </w:rPr>
        <w:t>、《关于变更职工代表监事的公告》（公告编号：</w:t>
      </w:r>
      <w:r>
        <w:rPr>
          <w:color w:val="000000"/>
          <w:spacing w:val="0"/>
          <w:w w:val="100"/>
          <w:position w:val="0"/>
        </w:rPr>
        <w:t>2022-002）</w:t>
      </w:r>
      <w:r>
        <w:rPr>
          <w:color w:val="000000"/>
          <w:spacing w:val="0"/>
          <w:w w:val="100"/>
          <w:position w:val="0"/>
        </w:rPr>
        <w:t>、《关于 公司高级管理人员变更的公告》（公告编号：</w:t>
      </w:r>
      <w:r>
        <w:rPr>
          <w:color w:val="000000"/>
          <w:spacing w:val="0"/>
          <w:w w:val="100"/>
          <w:position w:val="0"/>
        </w:rPr>
        <w:t>2022-008</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五、报告期内召开的董事会有关情况</w:t>
      </w:r>
    </w:p>
    <w:tbl>
      <w:tblPr>
        <w:tblOverlap w:val="never"/>
        <w:jc w:val="center"/>
        <w:tblLayout w:type="fixed"/>
      </w:tblPr>
      <w:tblGrid>
        <w:gridCol w:w="1930"/>
        <w:gridCol w:w="1474"/>
        <w:gridCol w:w="6653"/>
      </w:tblGrid>
      <w:tr>
        <w:trPr>
          <w:trHeight w:val="28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第六届董事会 第二十二次会议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会议决议通过关于增补董事、聘任公司总裁等议案，详见公司在《中国 证券报》《上海证券报》《证券时报》、上海证券交易所网站及公司网</w:t>
            </w:r>
          </w:p>
        </w:tc>
      </w:tr>
    </w:tbl>
    <w:p>
      <w:pPr>
        <w:spacing w:lineRule="exact" w:line="1"/>
        <w:rPr>
          <w:sz w:val="2"/>
          <w:szCs w:val="2"/>
        </w:rPr>
      </w:pPr>
      <w:r>
        <w:br w:type="page"/>
      </w:r>
    </w:p>
    <w:tbl>
      <w:tblPr>
        <w:tblOverlap w:val="never"/>
        <w:jc w:val="center"/>
        <w:tblLayout w:type="fixed"/>
      </w:tblPr>
      <w:tblGrid>
        <w:gridCol w:w="1930"/>
        <w:gridCol w:w="1474"/>
        <w:gridCol w:w="6653"/>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站发布的《第六届董事会第二十二次会议决议公告》（公告编号： </w:t>
            </w:r>
            <w:r>
              <w:rPr>
                <w:color w:val="000000"/>
                <w:spacing w:val="0"/>
                <w:w w:val="100"/>
                <w:position w:val="0"/>
              </w:rPr>
              <w:t>2021-009）</w:t>
            </w:r>
          </w:p>
        </w:tc>
      </w:tr>
      <w:tr>
        <w:trPr>
          <w:trHeight w:val="79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第六届董事会 第二十三次会议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会议决议通过关于增选董事会专门委员会委员的议案，详见公司《第六 届董事会第二十三次会议决议公告》（公告编号：</w:t>
            </w:r>
            <w:r>
              <w:rPr>
                <w:color w:val="000000"/>
                <w:spacing w:val="0"/>
                <w:w w:val="100"/>
                <w:position w:val="0"/>
              </w:rPr>
              <w:t>2021-016）</w:t>
            </w:r>
          </w:p>
        </w:tc>
      </w:tr>
      <w:tr>
        <w:trPr>
          <w:trHeight w:val="10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第六届董事会 第二十四次会议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会议决议通过关于董事会换届暨选举第七届董事会董事、年度报告、财 务决算报告、利润分配、日常关联交易等议案，详见公司《第六届董事 会第二十四次会议决议公告》（公告编号：</w:t>
            </w:r>
            <w:r>
              <w:rPr>
                <w:color w:val="000000"/>
                <w:spacing w:val="0"/>
                <w:w w:val="100"/>
                <w:position w:val="0"/>
              </w:rPr>
              <w:t>2021-019）</w:t>
            </w:r>
          </w:p>
        </w:tc>
      </w:tr>
      <w:tr>
        <w:trPr>
          <w:trHeight w:val="79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第七届董事会 第一次会议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会议决议通过关于第一季度报告、选举董事长等议案，详见公司《第七 届董事会第一次会议决议公告》（公告编号：</w:t>
            </w:r>
            <w:r>
              <w:rPr>
                <w:color w:val="000000"/>
                <w:spacing w:val="0"/>
                <w:w w:val="100"/>
                <w:position w:val="0"/>
              </w:rPr>
              <w:t>2021-043）</w:t>
            </w:r>
          </w:p>
        </w:tc>
      </w:tr>
      <w:tr>
        <w:trPr>
          <w:trHeight w:val="79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第七届董事会 第二次会议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会议决议通过关于增补董事的议案，详见公司《第七届董事会第二次会 议决议公告》（公告编号：</w:t>
            </w:r>
            <w:r>
              <w:rPr>
                <w:color w:val="000000"/>
                <w:spacing w:val="0"/>
                <w:w w:val="100"/>
                <w:position w:val="0"/>
              </w:rPr>
              <w:t>2021-046）</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第七届董事会 第三次会议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0" w:lineRule="exact"/>
              <w:ind w:left="0" w:right="0" w:firstLine="0"/>
              <w:jc w:val="both"/>
            </w:pPr>
            <w:r>
              <w:rPr>
                <w:color w:val="000000"/>
                <w:spacing w:val="0"/>
                <w:w w:val="100"/>
                <w:position w:val="0"/>
              </w:rPr>
              <w:t>会议决议通过关于半年度报告、半年度利润分配、限制性股票激励计划 首期授予方案第三个解锁期公司业绩条件达成、分拆所属子公司联通智 网科技股份有限公司至</w:t>
            </w:r>
            <w:r>
              <w:rPr>
                <w:color w:val="000000"/>
                <w:spacing w:val="0"/>
                <w:w w:val="100"/>
                <w:position w:val="0"/>
              </w:rPr>
              <w:t>A</w:t>
            </w:r>
            <w:r>
              <w:rPr>
                <w:color w:val="000000"/>
                <w:spacing w:val="0"/>
                <w:w w:val="100"/>
                <w:position w:val="0"/>
              </w:rPr>
              <w:t>股上市等议案，详见公司《第七届董事会第三 次会议决议公告》（公告编号：</w:t>
            </w:r>
            <w:r>
              <w:rPr>
                <w:color w:val="000000"/>
                <w:spacing w:val="0"/>
                <w:w w:val="100"/>
                <w:position w:val="0"/>
              </w:rPr>
              <w:t>2021-075）</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第七届董事会 第四次会议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会议决议通过关于增补董事的议案，详见公司《第七届董事会第四次会 议决议公告》（公告编号：</w:t>
            </w:r>
            <w:r>
              <w:rPr>
                <w:color w:val="000000"/>
                <w:spacing w:val="0"/>
                <w:w w:val="100"/>
                <w:position w:val="0"/>
              </w:rPr>
              <w:t>2021-080）</w:t>
            </w:r>
          </w:p>
        </w:tc>
      </w:tr>
      <w:tr>
        <w:trPr>
          <w:trHeight w:val="79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 第五次会议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会议决议通过关于选举董事长及专门委员会主任委员的议案，详见公司 《第七届董事会第五次会议决议公告》（公告编号：</w:t>
            </w:r>
            <w:r>
              <w:rPr>
                <w:color w:val="000000"/>
                <w:spacing w:val="0"/>
                <w:w w:val="100"/>
                <w:position w:val="0"/>
              </w:rPr>
              <w:t>2021-086）</w:t>
            </w:r>
          </w:p>
        </w:tc>
      </w:tr>
      <w:tr>
        <w:trPr>
          <w:trHeight w:val="10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 第六次会议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会议决议通过关于公司第三季度报告、回购注销首期限制性股票计划部 分激励对象限制性股票等议案，详见公司《第七届董事会第六次会议决 议公告》（公告编号：</w:t>
            </w:r>
            <w:r>
              <w:rPr>
                <w:color w:val="000000"/>
                <w:spacing w:val="0"/>
                <w:w w:val="100"/>
                <w:position w:val="0"/>
              </w:rPr>
              <w:t>2021-089）</w:t>
            </w:r>
          </w:p>
        </w:tc>
      </w:tr>
      <w:tr>
        <w:trPr>
          <w:trHeight w:val="79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第七届董事会 第七次会议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会议决议通过关于公司战略规划纲要、增补董事的议案，详见公司《第 七届董事会第七次会议决议公告》（公告编号：</w:t>
            </w:r>
            <w:r>
              <w:rPr>
                <w:color w:val="000000"/>
                <w:spacing w:val="0"/>
                <w:w w:val="100"/>
                <w:position w:val="0"/>
              </w:rPr>
              <w:t>2021-099）</w:t>
            </w:r>
          </w:p>
        </w:tc>
      </w:tr>
      <w:tr>
        <w:trPr>
          <w:trHeight w:val="10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第七届董事会 第八次会议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会议决议通过关于修订公司治理制度相关事项、聘任高级副总裁的议 案，详见公司《第七届董事会第八次会议决议公告》（公告编号： </w:t>
            </w:r>
            <w:r>
              <w:rPr>
                <w:color w:val="000000"/>
                <w:spacing w:val="0"/>
                <w:w w:val="100"/>
                <w:position w:val="0"/>
              </w:rPr>
              <w:t>2021-101）</w:t>
            </w:r>
          </w:p>
        </w:tc>
      </w:tr>
      <w:tr>
        <w:trPr>
          <w:trHeight w:val="80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第七届董事会 第九次会议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会议决议通过关于第二期限制性股票激励计划（草案）相关议案，详见公 司《第七届董事会第九次会议决议公告》（公告编号：</w:t>
            </w:r>
            <w:r>
              <w:rPr>
                <w:color w:val="000000"/>
                <w:spacing w:val="0"/>
                <w:w w:val="100"/>
                <w:position w:val="0"/>
              </w:rPr>
              <w:t>2021-108）</w:t>
            </w:r>
          </w:p>
        </w:tc>
      </w:tr>
    </w:tbl>
    <w:p>
      <w:pPr>
        <w:widowControl w:val="0"/>
        <w:spacing w:after="599" w:line="1" w:lineRule="exact"/>
      </w:pPr>
    </w:p>
    <w:p>
      <w:pPr>
        <w:pStyle w:val="Style5"/>
        <w:keepNext w:val="0"/>
        <w:keepLines w:val="0"/>
        <w:widowControl w:val="0"/>
        <w:shd w:val="clear" w:color="auto" w:fill="auto"/>
        <w:bidi w:val="0"/>
        <w:spacing w:before="0" w:after="60" w:line="240" w:lineRule="auto"/>
        <w:ind w:left="0" w:right="0" w:firstLine="840"/>
        <w:jc w:val="left"/>
      </w:pPr>
      <w:bookmarkStart w:id="359" w:name="bookmark359"/>
      <w:r>
        <w:rPr>
          <w:b/>
          <w:bCs/>
          <w:color w:val="000000"/>
          <w:spacing w:val="0"/>
          <w:w w:val="100"/>
          <w:position w:val="0"/>
        </w:rPr>
        <w:t>六</w:t>
      </w:r>
      <w:bookmarkEnd w:id="359"/>
      <w:r>
        <w:rPr>
          <w:b/>
          <w:bCs/>
          <w:color w:val="000000"/>
          <w:spacing w:val="0"/>
          <w:w w:val="100"/>
          <w:position w:val="0"/>
        </w:rPr>
        <w:t>、董事履行职责情况</w:t>
      </w:r>
    </w:p>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1925"/>
        <w:gridCol w:w="888"/>
        <w:gridCol w:w="1478"/>
        <w:gridCol w:w="1181"/>
        <w:gridCol w:w="888"/>
        <w:gridCol w:w="1032"/>
        <w:gridCol w:w="734"/>
        <w:gridCol w:w="1186"/>
        <w:gridCol w:w="1483"/>
      </w:tblGrid>
      <w:tr>
        <w:trPr>
          <w:trHeight w:val="576" w:hRule="exact"/>
        </w:trPr>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立董事</w:t>
            </w:r>
          </w:p>
        </w:tc>
        <w:tc>
          <w:tcPr>
            <w:gridSpan w:val="6"/>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参加股东大会 情况</w:t>
            </w:r>
          </w:p>
        </w:tc>
      </w:tr>
      <w:tr>
        <w:trPr>
          <w:trHeight w:val="830"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本年应参加董 事会次数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亲自出席 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以通讯</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方式参</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委托出</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缺席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是否连续两</w:t>
            </w:r>
          </w:p>
          <w:p>
            <w:pPr>
              <w:pStyle w:val="Style2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次未亲自参</w:t>
            </w:r>
          </w:p>
          <w:p>
            <w:pPr>
              <w:pStyle w:val="Style22"/>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加会议</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出席股东大会 的次数</w:t>
            </w:r>
          </w:p>
        </w:tc>
      </w:tr>
      <w:tr>
        <w:trPr>
          <w:trHeight w:val="49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刘烈宏</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6"/>
                <w:szCs w:val="16"/>
              </w:rPr>
              <w:t>月起任职）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925"/>
        <w:gridCol w:w="888"/>
        <w:gridCol w:w="1478"/>
        <w:gridCol w:w="1181"/>
        <w:gridCol w:w="888"/>
        <w:gridCol w:w="1032"/>
        <w:gridCol w:w="734"/>
        <w:gridCol w:w="1186"/>
        <w:gridCol w:w="1483"/>
      </w:tblGrid>
      <w:tr>
        <w:trPr>
          <w:trHeight w:val="49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陈忠岳</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月起任职）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王俊治</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月起任职）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月起任职）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王培暖</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月起任职）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顾佳丹</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月起任职）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高云虎</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月起任职）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鲍朔望</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月起任职）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9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童国华</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月起任职）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259" w:line="1" w:lineRule="exact"/>
      </w:pP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连续两次未亲自出席董事会会议的说明</w:t>
      </w:r>
    </w:p>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r>
      <w:tr>
        <w:trPr>
          <w:trHeight w:val="278"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93" w:hRule="exact"/>
        </w:trPr>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r>
    </w:tbl>
    <w:p>
      <w:pPr>
        <w:widowControl w:val="0"/>
        <w:spacing w:after="519" w:line="1" w:lineRule="exact"/>
      </w:pP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七、董事会下设专门委员会情况</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29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29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吴晓根、王军辉、顾佳丹、高云虎、鲍朔望、童国华</w:t>
            </w:r>
          </w:p>
        </w:tc>
      </w:tr>
      <w:tr>
        <w:trPr>
          <w:trHeight w:val="29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刘烈宏、王俊治、王军辉、高云虎、鲍朔望、童国华</w:t>
            </w:r>
          </w:p>
        </w:tc>
      </w:tr>
      <w:tr>
        <w:trPr>
          <w:trHeight w:val="293"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顾佳丹、卢山、张建锋、吴晓根、鲍朔望</w:t>
            </w:r>
          </w:p>
        </w:tc>
      </w:tr>
      <w:tr>
        <w:trPr>
          <w:trHeight w:val="590" w:hRule="exact"/>
        </w:trPr>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刘烈宏、陈忠岳、王俊治、王军辉、卢山、王海峰、王培暖、张 建锋、高云虎、童国华</w:t>
            </w:r>
          </w:p>
        </w:tc>
      </w:tr>
    </w:tbl>
    <w:p>
      <w:pPr>
        <w:widowControl w:val="0"/>
        <w:spacing w:after="519" w:line="1" w:lineRule="exact"/>
      </w:pPr>
    </w:p>
    <w:p>
      <w:pPr>
        <w:pStyle w:val="Style25"/>
        <w:keepNext w:val="0"/>
        <w:keepLines w:val="0"/>
        <w:widowControl w:val="0"/>
        <w:shd w:val="clear" w:color="auto" w:fill="auto"/>
        <w:bidi w:val="0"/>
        <w:spacing w:before="0" w:after="0" w:line="240" w:lineRule="auto"/>
        <w:ind w:left="720" w:right="0" w:firstLine="0"/>
        <w:jc w:val="left"/>
      </w:pPr>
      <w:r>
        <w:rPr>
          <w:b/>
          <w:bCs/>
          <w:color w:val="000000"/>
          <w:spacing w:val="0"/>
          <w:w w:val="100"/>
          <w:position w:val="0"/>
        </w:rPr>
        <w:t>（2）.</w:t>
      </w:r>
      <w:r>
        <w:rPr>
          <w:b/>
          <w:bCs/>
          <w:color w:val="000000"/>
          <w:spacing w:val="0"/>
          <w:w w:val="100"/>
          <w:position w:val="0"/>
        </w:rPr>
        <w:t>报告期内审计委员会召开四次会议</w:t>
      </w:r>
    </w:p>
    <w:tbl>
      <w:tblPr>
        <w:tblOverlap w:val="never"/>
        <w:jc w:val="center"/>
        <w:tblLayout w:type="fixed"/>
      </w:tblPr>
      <w:tblGrid>
        <w:gridCol w:w="1339"/>
        <w:gridCol w:w="2952"/>
        <w:gridCol w:w="3840"/>
        <w:gridCol w:w="2371"/>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325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59"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2" w:lineRule="exact"/>
              <w:ind w:left="0" w:right="0" w:firstLine="0"/>
              <w:jc w:val="both"/>
            </w:pPr>
            <w:r>
              <w:rPr>
                <w:color w:val="000000"/>
                <w:spacing w:val="0"/>
                <w:w w:val="100"/>
                <w:position w:val="0"/>
              </w:rPr>
              <w:t>审议通过关于</w:t>
            </w:r>
            <w:r>
              <w:rPr>
                <w:color w:val="000000"/>
                <w:spacing w:val="0"/>
                <w:w w:val="100"/>
                <w:position w:val="0"/>
              </w:rPr>
              <w:t>2020</w:t>
            </w:r>
            <w:r>
              <w:rPr>
                <w:color w:val="000000"/>
                <w:spacing w:val="0"/>
                <w:w w:val="100"/>
                <w:position w:val="0"/>
              </w:rPr>
              <w:t>年年度报 告的议案、关于</w:t>
            </w:r>
            <w:r>
              <w:rPr>
                <w:color w:val="000000"/>
                <w:spacing w:val="0"/>
                <w:w w:val="100"/>
                <w:position w:val="0"/>
              </w:rPr>
              <w:t>2020</w:t>
            </w:r>
            <w:r>
              <w:rPr>
                <w:color w:val="000000"/>
                <w:spacing w:val="0"/>
                <w:w w:val="100"/>
                <w:position w:val="0"/>
              </w:rPr>
              <w:t>年度财务 决算报告的议案、关于日常关 联交易的议案、关于公司募集 资金存放与实际使用情况专项 报告的议案、关于使用闲置募 集资金暂时补充中国联合网络 通信有限公司流动资金的议案 等议案。</w:t>
            </w:r>
          </w:p>
        </w:tc>
        <w:tc>
          <w:tcPr>
            <w:tcBorders>
              <w:top w:val="single" w:sz="4"/>
              <w:left w:val="single" w:sz="4"/>
              <w:bottom w:val="single" w:sz="4"/>
            </w:tcBorders>
            <w:shd w:val="clear" w:color="auto" w:fill="FFFFFF"/>
            <w:vAlign w:val="center"/>
          </w:tcPr>
          <w:p>
            <w:pPr>
              <w:pStyle w:val="Style22"/>
              <w:keepNext w:val="0"/>
              <w:keepLines w:val="0"/>
              <w:widowControl w:val="0"/>
              <w:numPr>
                <w:ilvl w:val="0"/>
                <w:numId w:val="33"/>
              </w:numPr>
              <w:shd w:val="clear" w:color="auto" w:fill="auto"/>
              <w:tabs>
                <w:tab w:pos="312" w:val="left"/>
              </w:tabs>
              <w:bidi w:val="0"/>
              <w:spacing w:before="0" w:line="250" w:lineRule="exact"/>
              <w:ind w:left="0" w:right="0" w:firstLine="0"/>
              <w:jc w:val="both"/>
            </w:pPr>
            <w:r>
              <w:rPr>
                <w:color w:val="000000"/>
                <w:spacing w:val="0"/>
                <w:w w:val="100"/>
                <w:position w:val="0"/>
              </w:rPr>
              <w:t>认可公司</w:t>
            </w:r>
            <w:r>
              <w:rPr>
                <w:color w:val="000000"/>
                <w:spacing w:val="0"/>
                <w:w w:val="100"/>
                <w:position w:val="0"/>
              </w:rPr>
              <w:t>2020</w:t>
            </w:r>
            <w:r>
              <w:rPr>
                <w:color w:val="000000"/>
                <w:spacing w:val="0"/>
                <w:w w:val="100"/>
                <w:position w:val="0"/>
              </w:rPr>
              <w:t>年年度报告和财务决 算报告的真实、完整和准确性。</w:t>
            </w:r>
          </w:p>
          <w:p>
            <w:pPr>
              <w:pStyle w:val="Style22"/>
              <w:keepNext w:val="0"/>
              <w:keepLines w:val="0"/>
              <w:widowControl w:val="0"/>
              <w:numPr>
                <w:ilvl w:val="0"/>
                <w:numId w:val="33"/>
              </w:numPr>
              <w:shd w:val="clear" w:color="auto" w:fill="auto"/>
              <w:tabs>
                <w:tab w:pos="211" w:val="left"/>
              </w:tabs>
              <w:bidi w:val="0"/>
              <w:spacing w:before="0" w:after="0" w:line="241" w:lineRule="exact"/>
              <w:ind w:left="0" w:right="0" w:firstLine="0"/>
              <w:jc w:val="both"/>
            </w:pPr>
            <w:r>
              <w:rPr>
                <w:color w:val="000000"/>
                <w:spacing w:val="0"/>
                <w:w w:val="100"/>
                <w:position w:val="0"/>
              </w:rPr>
              <w:t>经过与管理层进行充分沟通，对德勤 华永的基本情况、执业资质相关证明文 件、业务规模、人员信息、专业胜任能 力、投资者保护能力、独立性和诚信状 况等进行充分了解和审查，认为德勤华 永具备相关业务审计从业资格，能够满 足公司审计工作需求。审计委员会建议 聘请德勤华永为本公司</w:t>
            </w:r>
            <w:r>
              <w:rPr>
                <w:color w:val="000000"/>
                <w:spacing w:val="0"/>
                <w:w w:val="100"/>
                <w:position w:val="0"/>
              </w:rPr>
              <w:t>2021</w:t>
            </w:r>
            <w:r>
              <w:rPr>
                <w:color w:val="000000"/>
                <w:spacing w:val="0"/>
                <w:w w:val="100"/>
                <w:position w:val="0"/>
              </w:rPr>
              <w:t>年度会计师 事务所，并同意将该议案提请董事会审 议。</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exact"/>
              <w:ind w:left="0" w:right="0" w:firstLine="0"/>
              <w:jc w:val="both"/>
            </w:pPr>
            <w:r>
              <w:rPr>
                <w:color w:val="000000"/>
                <w:spacing w:val="0"/>
                <w:w w:val="100"/>
                <w:position w:val="0"/>
              </w:rPr>
              <w:t xml:space="preserve">听取并讨论了会计师事 务所有关 </w:t>
            </w:r>
            <w:r>
              <w:rPr>
                <w:color w:val="000000"/>
                <w:spacing w:val="0"/>
                <w:w w:val="100"/>
                <w:position w:val="0"/>
              </w:rPr>
              <w:t xml:space="preserve">2020 </w:t>
            </w:r>
            <w:r>
              <w:rPr>
                <w:color w:val="000000"/>
                <w:spacing w:val="0"/>
                <w:w w:val="100"/>
                <w:position w:val="0"/>
              </w:rPr>
              <w:t>年年报 审计的汇报及公司相关 介绍，还听取了公司内 部审计与风险管理工作 及</w:t>
            </w:r>
            <w:r>
              <w:rPr>
                <w:color w:val="000000"/>
                <w:spacing w:val="0"/>
                <w:w w:val="100"/>
                <w:position w:val="0"/>
              </w:rPr>
              <w:t>2021</w:t>
            </w:r>
            <w:r>
              <w:rPr>
                <w:color w:val="000000"/>
                <w:spacing w:val="0"/>
                <w:w w:val="100"/>
                <w:position w:val="0"/>
              </w:rPr>
              <w:t xml:space="preserve">年工作计划、 </w:t>
            </w:r>
            <w:r>
              <w:rPr>
                <w:color w:val="000000"/>
                <w:spacing w:val="0"/>
                <w:w w:val="100"/>
                <w:position w:val="0"/>
              </w:rPr>
              <w:t>2020</w:t>
            </w:r>
            <w:r>
              <w:rPr>
                <w:color w:val="000000"/>
                <w:spacing w:val="0"/>
                <w:w w:val="100"/>
                <w:position w:val="0"/>
              </w:rPr>
              <w:t>年度法治建设工作 的汇报。</w:t>
            </w:r>
          </w:p>
        </w:tc>
      </w:tr>
    </w:tbl>
    <w:p>
      <w:pPr>
        <w:spacing w:lineRule="exact" w:line="1"/>
        <w:rPr>
          <w:sz w:val="2"/>
          <w:szCs w:val="2"/>
        </w:rPr>
      </w:pPr>
      <w:r>
        <w:br w:type="page"/>
      </w:r>
    </w:p>
    <w:tbl>
      <w:tblPr>
        <w:tblOverlap w:val="never"/>
        <w:jc w:val="center"/>
        <w:tblLayout w:type="fixed"/>
      </w:tblPr>
      <w:tblGrid>
        <w:gridCol w:w="1339"/>
        <w:gridCol w:w="2952"/>
        <w:gridCol w:w="3840"/>
        <w:gridCol w:w="2371"/>
      </w:tblGrid>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3" w:lineRule="exact"/>
              <w:ind w:left="0" w:right="0" w:firstLine="0"/>
              <w:jc w:val="both"/>
            </w:pPr>
            <w:r>
              <w:rPr>
                <w:color w:val="000000"/>
                <w:spacing w:val="0"/>
                <w:w w:val="100"/>
                <w:position w:val="0"/>
              </w:rPr>
              <w:t>3</w:t>
            </w:r>
            <w:r>
              <w:rPr>
                <w:color w:val="000000"/>
                <w:spacing w:val="0"/>
                <w:w w:val="100"/>
                <w:position w:val="0"/>
              </w:rPr>
              <w:t>.相关关联交易属于公司正常的经济行 为，符合公司经营发展需要；交易遵循 了公平、公正、自愿、诚信的原则，交 易定价公允、合理。</w:t>
            </w:r>
          </w:p>
        </w:tc>
        <w:tc>
          <w:tcPr>
            <w:tcBorders>
              <w:top w:val="single" w:sz="4"/>
              <w:left w:val="single" w:sz="4"/>
              <w:right w:val="single" w:sz="4"/>
            </w:tcBorders>
            <w:shd w:val="clear" w:color="auto" w:fill="FFFFFF"/>
            <w:vAlign w:val="top"/>
          </w:tcPr>
          <w:p>
            <w:pPr>
              <w:widowControl w:val="0"/>
              <w:rPr>
                <w:sz w:val="10"/>
                <w:szCs w:val="10"/>
              </w:rPr>
            </w:pPr>
          </w:p>
        </w:tc>
      </w:tr>
      <w:tr>
        <w:trPr>
          <w:trHeight w:val="12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50"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54" w:lineRule="exact"/>
              <w:ind w:left="0" w:right="0" w:firstLine="0"/>
              <w:jc w:val="both"/>
            </w:pPr>
            <w:r>
              <w:rPr>
                <w:color w:val="000000"/>
                <w:spacing w:val="0"/>
                <w:w w:val="100"/>
                <w:position w:val="0"/>
              </w:rPr>
              <w:t>审议关于公司</w:t>
            </w:r>
            <w:r>
              <w:rPr>
                <w:color w:val="000000"/>
                <w:spacing w:val="0"/>
                <w:w w:val="100"/>
                <w:position w:val="0"/>
              </w:rPr>
              <w:t>2021</w:t>
            </w:r>
            <w:r>
              <w:rPr>
                <w:color w:val="000000"/>
                <w:spacing w:val="0"/>
                <w:w w:val="100"/>
                <w:position w:val="0"/>
              </w:rPr>
              <w:t>年第一季 度报告的议案。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5" w:lineRule="exact"/>
              <w:ind w:left="0" w:right="0" w:firstLine="0"/>
              <w:jc w:val="both"/>
            </w:pPr>
            <w:r>
              <w:rPr>
                <w:color w:val="000000"/>
                <w:spacing w:val="0"/>
                <w:w w:val="100"/>
                <w:position w:val="0"/>
              </w:rPr>
              <w:t>认可公司</w:t>
            </w:r>
            <w:r>
              <w:rPr>
                <w:color w:val="000000"/>
                <w:spacing w:val="0"/>
                <w:w w:val="100"/>
                <w:position w:val="0"/>
              </w:rPr>
              <w:t>2021</w:t>
            </w:r>
            <w:r>
              <w:rPr>
                <w:color w:val="000000"/>
                <w:spacing w:val="0"/>
                <w:w w:val="100"/>
                <w:position w:val="0"/>
              </w:rPr>
              <w:t>年第一季度报告的真实、 完整和准确性。</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33" w:lineRule="exact"/>
              <w:ind w:left="0" w:right="0" w:firstLine="0"/>
              <w:jc w:val="both"/>
            </w:pPr>
            <w:r>
              <w:rPr>
                <w:color w:val="000000"/>
                <w:spacing w:val="0"/>
                <w:w w:val="100"/>
                <w:position w:val="0"/>
              </w:rPr>
              <w:t xml:space="preserve">审阅会计师事务所有关 </w:t>
            </w:r>
            <w:r>
              <w:rPr>
                <w:color w:val="000000"/>
                <w:spacing w:val="0"/>
                <w:w w:val="100"/>
                <w:position w:val="0"/>
              </w:rPr>
              <w:t>2021</w:t>
            </w:r>
            <w:r>
              <w:rPr>
                <w:color w:val="000000"/>
                <w:spacing w:val="0"/>
                <w:w w:val="100"/>
                <w:position w:val="0"/>
              </w:rPr>
              <w:t>年第一季度执行商 定程序的报告。</w:t>
            </w:r>
          </w:p>
        </w:tc>
      </w:tr>
      <w:tr>
        <w:trPr>
          <w:trHeight w:val="21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 xml:space="preserve">月 </w:t>
            </w:r>
            <w:r>
              <w:rPr>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2" w:lineRule="exact"/>
              <w:ind w:left="0" w:right="0" w:firstLine="0"/>
              <w:jc w:val="both"/>
            </w:pPr>
            <w:r>
              <w:rPr>
                <w:color w:val="000000"/>
                <w:spacing w:val="0"/>
                <w:w w:val="100"/>
                <w:position w:val="0"/>
              </w:rPr>
              <w:t>审议通过关于公司</w:t>
            </w:r>
            <w:r>
              <w:rPr>
                <w:color w:val="000000"/>
                <w:spacing w:val="0"/>
                <w:w w:val="100"/>
                <w:position w:val="0"/>
              </w:rPr>
              <w:t>2021</w:t>
            </w:r>
            <w:r>
              <w:rPr>
                <w:color w:val="000000"/>
                <w:spacing w:val="0"/>
                <w:w w:val="100"/>
                <w:position w:val="0"/>
              </w:rPr>
              <w:t xml:space="preserve">年半 年度报告的议案、关于日常关 联交易的议案以及关于公司 </w:t>
            </w:r>
            <w:r>
              <w:rPr>
                <w:color w:val="000000"/>
                <w:spacing w:val="0"/>
                <w:w w:val="100"/>
                <w:position w:val="0"/>
              </w:rPr>
              <w:t>2021</w:t>
            </w:r>
            <w:r>
              <w:rPr>
                <w:color w:val="000000"/>
                <w:spacing w:val="0"/>
                <w:w w:val="100"/>
                <w:position w:val="0"/>
              </w:rPr>
              <w:t>年上半年募集资金存放 与实际使用情况专项报告的议 案。</w:t>
            </w:r>
          </w:p>
        </w:tc>
        <w:tc>
          <w:tcPr>
            <w:tcBorders>
              <w:top w:val="single" w:sz="4"/>
              <w:left w:val="single" w:sz="4"/>
            </w:tcBorders>
            <w:shd w:val="clear" w:color="auto" w:fill="FFFFFF"/>
            <w:vAlign w:val="center"/>
          </w:tcPr>
          <w:p>
            <w:pPr>
              <w:pStyle w:val="Style22"/>
              <w:keepNext w:val="0"/>
              <w:keepLines w:val="0"/>
              <w:widowControl w:val="0"/>
              <w:numPr>
                <w:ilvl w:val="0"/>
                <w:numId w:val="35"/>
              </w:numPr>
              <w:shd w:val="clear" w:color="auto" w:fill="auto"/>
              <w:tabs>
                <w:tab w:pos="312" w:val="left"/>
              </w:tabs>
              <w:bidi w:val="0"/>
              <w:spacing w:before="0" w:line="245" w:lineRule="exact"/>
              <w:ind w:left="0" w:right="0" w:firstLine="0"/>
              <w:jc w:val="both"/>
            </w:pPr>
            <w:r>
              <w:rPr>
                <w:color w:val="000000"/>
                <w:spacing w:val="0"/>
                <w:w w:val="100"/>
                <w:position w:val="0"/>
              </w:rPr>
              <w:t>2021</w:t>
            </w:r>
            <w:r>
              <w:rPr>
                <w:color w:val="000000"/>
                <w:spacing w:val="0"/>
                <w:w w:val="100"/>
                <w:position w:val="0"/>
              </w:rPr>
              <w:t>年上半年募集资金专项报告符 合监管要求，如实反映了公司</w:t>
            </w:r>
            <w:r>
              <w:rPr>
                <w:color w:val="000000"/>
                <w:spacing w:val="0"/>
                <w:w w:val="100"/>
                <w:position w:val="0"/>
              </w:rPr>
              <w:t>2021</w:t>
            </w:r>
            <w:r>
              <w:rPr>
                <w:color w:val="000000"/>
                <w:spacing w:val="0"/>
                <w:w w:val="100"/>
                <w:position w:val="0"/>
              </w:rPr>
              <w:t>年上 半年募集资金的存放和实际使用情况。</w:t>
            </w:r>
          </w:p>
          <w:p>
            <w:pPr>
              <w:pStyle w:val="Style22"/>
              <w:keepNext w:val="0"/>
              <w:keepLines w:val="0"/>
              <w:widowControl w:val="0"/>
              <w:numPr>
                <w:ilvl w:val="0"/>
                <w:numId w:val="35"/>
              </w:numPr>
              <w:shd w:val="clear" w:color="auto" w:fill="auto"/>
              <w:tabs>
                <w:tab w:pos="322" w:val="left"/>
              </w:tabs>
              <w:bidi w:val="0"/>
              <w:spacing w:before="0" w:after="0" w:line="245" w:lineRule="exact"/>
              <w:ind w:left="0" w:right="0" w:firstLine="0"/>
              <w:jc w:val="both"/>
            </w:pPr>
            <w:r>
              <w:rPr>
                <w:color w:val="000000"/>
                <w:spacing w:val="0"/>
                <w:w w:val="100"/>
                <w:position w:val="0"/>
              </w:rPr>
              <w:t>相关关联交易属于公司正常的经济 行为，符合公司经营发展需要；交易遵 循了公平、公正、自愿、诚信的原则， 交易定价公允、合理。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1" w:lineRule="exact"/>
              <w:ind w:left="0" w:right="0" w:firstLine="0"/>
              <w:jc w:val="both"/>
            </w:pPr>
            <w:r>
              <w:rPr>
                <w:color w:val="000000"/>
                <w:spacing w:val="0"/>
                <w:w w:val="100"/>
                <w:position w:val="0"/>
              </w:rPr>
              <w:t>听取并讨论了德勤华永 会计师事务所（特殊普 通合伙）有关</w:t>
            </w:r>
            <w:r>
              <w:rPr>
                <w:color w:val="000000"/>
                <w:spacing w:val="0"/>
                <w:w w:val="100"/>
                <w:position w:val="0"/>
              </w:rPr>
              <w:t>2021</w:t>
            </w:r>
            <w:r>
              <w:rPr>
                <w:color w:val="000000"/>
                <w:spacing w:val="0"/>
                <w:w w:val="100"/>
                <w:position w:val="0"/>
              </w:rPr>
              <w:t xml:space="preserve">年半 年度报告审阅的汇报及 公司相关介绍，以及公 司 </w:t>
            </w:r>
            <w:r>
              <w:rPr>
                <w:color w:val="000000"/>
                <w:spacing w:val="0"/>
                <w:w w:val="100"/>
                <w:position w:val="0"/>
              </w:rPr>
              <w:t xml:space="preserve">2021 </w:t>
            </w:r>
            <w:r>
              <w:rPr>
                <w:color w:val="000000"/>
                <w:spacing w:val="0"/>
                <w:w w:val="100"/>
                <w:position w:val="0"/>
              </w:rPr>
              <w:t>年上半年内部 审计及风险管理工作报 告。</w:t>
            </w:r>
          </w:p>
        </w:tc>
      </w:tr>
      <w:tr>
        <w:trPr>
          <w:trHeight w:val="145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5" w:lineRule="exact"/>
              <w:ind w:left="0" w:right="0" w:firstLine="0"/>
              <w:jc w:val="left"/>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54" w:lineRule="exact"/>
              <w:ind w:left="0" w:right="0" w:firstLine="0"/>
              <w:jc w:val="both"/>
            </w:pPr>
            <w:r>
              <w:rPr>
                <w:color w:val="000000"/>
                <w:spacing w:val="0"/>
                <w:w w:val="100"/>
                <w:position w:val="0"/>
              </w:rPr>
              <w:t>审议通过了关于公司</w:t>
            </w:r>
            <w:r>
              <w:rPr>
                <w:color w:val="000000"/>
                <w:spacing w:val="0"/>
                <w:w w:val="100"/>
                <w:position w:val="0"/>
              </w:rPr>
              <w:t>2021</w:t>
            </w:r>
            <w:r>
              <w:rPr>
                <w:color w:val="000000"/>
                <w:spacing w:val="0"/>
                <w:w w:val="100"/>
                <w:position w:val="0"/>
              </w:rPr>
              <w:t>年 第三季度报告的议案。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5" w:lineRule="exact"/>
              <w:ind w:left="0" w:right="0" w:firstLine="0"/>
              <w:jc w:val="both"/>
            </w:pPr>
            <w:r>
              <w:rPr>
                <w:color w:val="000000"/>
                <w:spacing w:val="0"/>
                <w:w w:val="100"/>
                <w:position w:val="0"/>
              </w:rPr>
              <w:t>对公司第三季度报告进行认真审议，认 可第三季度报告的真实、完整和准确性。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听取并讨论德勤会计师 事务所有关 </w:t>
            </w:r>
            <w:r>
              <w:rPr>
                <w:color w:val="000000"/>
                <w:spacing w:val="0"/>
                <w:w w:val="100"/>
                <w:position w:val="0"/>
              </w:rPr>
              <w:t xml:space="preserve">2021 </w:t>
            </w:r>
            <w:r>
              <w:rPr>
                <w:color w:val="000000"/>
                <w:spacing w:val="0"/>
                <w:w w:val="100"/>
                <w:position w:val="0"/>
              </w:rPr>
              <w:t xml:space="preserve">年第 三季度执行商定程序及 </w:t>
            </w:r>
            <w:r>
              <w:rPr>
                <w:color w:val="000000"/>
                <w:spacing w:val="0"/>
                <w:w w:val="100"/>
                <w:position w:val="0"/>
              </w:rPr>
              <w:t xml:space="preserve">2021 </w:t>
            </w:r>
            <w:r>
              <w:rPr>
                <w:color w:val="000000"/>
                <w:spacing w:val="0"/>
                <w:w w:val="100"/>
                <w:position w:val="0"/>
              </w:rPr>
              <w:t>年审计计划的汇 报。</w:t>
            </w:r>
          </w:p>
        </w:tc>
      </w:tr>
    </w:tbl>
    <w:p>
      <w:pPr>
        <w:widowControl w:val="0"/>
        <w:spacing w:after="99" w:line="1" w:lineRule="exact"/>
      </w:pPr>
    </w:p>
    <w:p>
      <w:pPr>
        <w:pStyle w:val="Style5"/>
        <w:keepNext w:val="0"/>
        <w:keepLines w:val="0"/>
        <w:widowControl w:val="0"/>
        <w:shd w:val="clear" w:color="auto" w:fill="auto"/>
        <w:bidi w:val="0"/>
        <w:spacing w:before="0" w:line="326" w:lineRule="exact"/>
        <w:ind w:left="720" w:right="0"/>
        <w:jc w:val="both"/>
      </w:pPr>
      <w:r>
        <w:rPr>
          <w:color w:val="000000"/>
          <w:spacing w:val="0"/>
          <w:w w:val="100"/>
          <w:position w:val="0"/>
        </w:rPr>
        <w:t>详情请见公司与本报告同日公告的《中国联合网络通信股份有限公司董事会审计委员会</w:t>
      </w:r>
      <w:r>
        <w:rPr>
          <w:color w:val="000000"/>
          <w:spacing w:val="0"/>
          <w:w w:val="100"/>
          <w:position w:val="0"/>
        </w:rPr>
        <w:t>2021</w:t>
      </w:r>
      <w:r>
        <w:rPr>
          <w:color w:val="000000"/>
          <w:spacing w:val="0"/>
          <w:w w:val="100"/>
          <w:position w:val="0"/>
        </w:rPr>
        <w:t>年 度履职报告》。</w:t>
      </w:r>
    </w:p>
    <w:p>
      <w:pPr>
        <w:pStyle w:val="Style5"/>
        <w:keepNext w:val="0"/>
        <w:keepLines w:val="0"/>
        <w:widowControl w:val="0"/>
        <w:shd w:val="clear" w:color="auto" w:fill="auto"/>
        <w:bidi w:val="0"/>
        <w:spacing w:before="0" w:after="600" w:line="321" w:lineRule="exact"/>
        <w:ind w:left="720" w:right="0"/>
        <w:jc w:val="both"/>
      </w:pPr>
      <w:r>
        <w:rPr>
          <w:color w:val="000000"/>
          <w:spacing w:val="0"/>
          <w:w w:val="100"/>
          <w:position w:val="0"/>
        </w:rPr>
        <w:t>董事会各专门委员会均严格按照相应工作细则履行各项职能。各专门委员会会议在对各项审议事 项充分讨论基础上，将相关审议意见及决议情况提交董事会，为董事会科学决策提供有力支持。相关 会议审议了公司定期报告、日常关联交易、聘请会计师事务所、经理层业绩考核与薪酬、工资总额管 理等公司日常重要事项，以及董事会换届选举、战略规划纲要、聘任高级管理人员、募集资金使用、 第二期限制性股票激励计划等公司重大事项，并听取了公司关于年度法治建设工作、内部审计及风险 管理工作以及审计师关于年度审计计划等事项的汇报等。</w:t>
      </w:r>
    </w:p>
    <w:p>
      <w:pPr>
        <w:pStyle w:val="Style16"/>
        <w:keepNext/>
        <w:keepLines/>
        <w:widowControl w:val="0"/>
        <w:shd w:val="clear" w:color="auto" w:fill="auto"/>
        <w:bidi w:val="0"/>
        <w:spacing w:before="0" w:after="320" w:line="240" w:lineRule="auto"/>
        <w:ind w:left="0" w:right="0" w:firstLine="720"/>
        <w:jc w:val="left"/>
      </w:pPr>
      <w:bookmarkStart w:id="360" w:name="bookmark360"/>
      <w:bookmarkStart w:id="361" w:name="bookmark361"/>
      <w:bookmarkStart w:id="362" w:name="bookmark362"/>
      <w:bookmarkStart w:id="363" w:name="bookmark363"/>
      <w:r>
        <w:rPr>
          <w:color w:val="000000"/>
          <w:spacing w:val="0"/>
          <w:w w:val="100"/>
          <w:position w:val="0"/>
        </w:rPr>
        <w:t>八</w:t>
      </w:r>
      <w:bookmarkEnd w:id="362"/>
      <w:r>
        <w:rPr>
          <w:color w:val="000000"/>
          <w:spacing w:val="0"/>
          <w:w w:val="100"/>
          <w:position w:val="0"/>
        </w:rPr>
        <w:t>、监事会发现公司存在风险的说明</w:t>
      </w:r>
      <w:bookmarkEnd w:id="360"/>
      <w:bookmarkEnd w:id="361"/>
      <w:bookmarkEnd w:id="363"/>
    </w:p>
    <w:p>
      <w:pPr>
        <w:pStyle w:val="Style5"/>
        <w:keepNext w:val="0"/>
        <w:keepLines w:val="0"/>
        <w:widowControl w:val="0"/>
        <w:shd w:val="clear" w:color="auto" w:fill="auto"/>
        <w:bidi w:val="0"/>
        <w:spacing w:before="0" w:after="600" w:line="240" w:lineRule="auto"/>
        <w:ind w:left="0" w:right="0" w:firstLine="720"/>
        <w:jc w:val="left"/>
      </w:pPr>
      <w:r>
        <w:rPr>
          <w:color w:val="000000"/>
          <w:spacing w:val="0"/>
          <w:w w:val="100"/>
          <w:position w:val="0"/>
        </w:rPr>
        <w:t>监事会对报告期内的监督事项无异议。</w:t>
      </w: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九、报告期末母公司和主要子公司的员工情况</w:t>
      </w:r>
    </w:p>
    <w:p>
      <w:pPr>
        <w:pStyle w:val="Style25"/>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880"/>
        <w:gridCol w:w="3562"/>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241,178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242,661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49,990</w:t>
            </w:r>
          </w:p>
        </w:tc>
      </w:tr>
      <w:tr>
        <w:trPr>
          <w:trHeight w:val="283" w:hRule="exact"/>
        </w:trPr>
        <w:tc>
          <w:tcPr>
            <w:gridSpan w:val="2"/>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122,463</w:t>
            </w:r>
          </w:p>
        </w:tc>
      </w:tr>
      <w:tr>
        <w:trPr>
          <w:trHeight w:val="28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70122</w:t>
            </w:r>
          </w:p>
        </w:tc>
      </w:tr>
    </w:tbl>
    <w:tbl>
      <w:tblPr>
        <w:tblOverlap w:val="never"/>
        <w:jc w:val="center"/>
        <w:tblLayout w:type="fixed"/>
      </w:tblPr>
      <w:tblGrid>
        <w:gridCol w:w="5880"/>
        <w:gridCol w:w="3562"/>
      </w:tblGrid>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30012</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17902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242,661</w:t>
            </w:r>
          </w:p>
        </w:tc>
      </w:tr>
      <w:tr>
        <w:trPr>
          <w:trHeight w:val="283" w:hRule="exact"/>
        </w:trPr>
        <w:tc>
          <w:tcPr>
            <w:gridSpan w:val="2"/>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21,585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152,691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40,976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27,409</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242,661</w:t>
            </w:r>
          </w:p>
        </w:tc>
      </w:tr>
    </w:tbl>
    <w:p>
      <w:pPr>
        <w:widowControl w:val="0"/>
        <w:spacing w:after="479" w:line="1" w:lineRule="exact"/>
      </w:pPr>
    </w:p>
    <w:p>
      <w:pPr>
        <w:pStyle w:val="Style16"/>
        <w:keepNext/>
        <w:keepLines/>
        <w:widowControl w:val="0"/>
        <w:shd w:val="clear" w:color="auto" w:fill="auto"/>
        <w:tabs>
          <w:tab w:pos="1213" w:val="left"/>
        </w:tabs>
        <w:bidi w:val="0"/>
        <w:spacing w:before="0"/>
        <w:ind w:left="0" w:right="0" w:firstLine="720"/>
        <w:jc w:val="left"/>
      </w:pPr>
      <w:bookmarkStart w:id="364" w:name="bookmark364"/>
      <w:bookmarkStart w:id="365" w:name="bookmark365"/>
      <w:bookmarkStart w:id="366" w:name="bookmark366"/>
      <w:bookmarkStart w:id="367" w:name="bookmark367"/>
      <w:r>
        <w:rPr>
          <w:rFonts w:ascii="Calibri" w:eastAsia="Calibri" w:hAnsi="Calibri" w:cs="Calibri"/>
          <w:color w:val="000000"/>
          <w:spacing w:val="0"/>
          <w:w w:val="100"/>
          <w:position w:val="0"/>
        </w:rPr>
        <w:t>（</w:t>
      </w:r>
      <w:bookmarkEnd w:id="36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薪酬政策</w:t>
      </w:r>
      <w:bookmarkEnd w:id="364"/>
      <w:bookmarkEnd w:id="365"/>
      <w:bookmarkEnd w:id="367"/>
    </w:p>
    <w:p>
      <w:pPr>
        <w:pStyle w:val="Style5"/>
        <w:keepNext w:val="0"/>
        <w:keepLines w:val="0"/>
        <w:widowControl w:val="0"/>
        <w:shd w:val="clear" w:color="auto" w:fill="auto"/>
        <w:bidi w:val="0"/>
        <w:spacing w:before="0" w:after="600" w:line="360" w:lineRule="exact"/>
        <w:ind w:left="720" w:right="0"/>
        <w:jc w:val="both"/>
      </w:pPr>
      <w:r>
        <w:rPr>
          <w:color w:val="000000"/>
          <w:spacing w:val="0"/>
          <w:w w:val="100"/>
          <w:position w:val="0"/>
        </w:rPr>
        <w:t>公司致力于优化人工成本配置规则，人工成本增长与公司经营业绩紧密挂钩；积极探索差异化薪 酬激励模式，实施公允透明的薪酬分配机制，强化不同群体间薪酬分配管控，健全福利体系，构建公 平和谐分配关系。</w:t>
      </w:r>
    </w:p>
    <w:p>
      <w:pPr>
        <w:pStyle w:val="Style16"/>
        <w:keepNext/>
        <w:keepLines/>
        <w:widowControl w:val="0"/>
        <w:shd w:val="clear" w:color="auto" w:fill="auto"/>
        <w:tabs>
          <w:tab w:pos="1213" w:val="left"/>
        </w:tabs>
        <w:bidi w:val="0"/>
        <w:spacing w:before="0"/>
        <w:ind w:left="0" w:right="0" w:firstLine="720"/>
        <w:jc w:val="left"/>
      </w:pPr>
      <w:bookmarkStart w:id="368" w:name="bookmark368"/>
      <w:bookmarkStart w:id="369" w:name="bookmark369"/>
      <w:bookmarkStart w:id="370" w:name="bookmark370"/>
      <w:bookmarkStart w:id="371" w:name="bookmark371"/>
      <w:r>
        <w:rPr>
          <w:rFonts w:ascii="Calibri" w:eastAsia="Calibri" w:hAnsi="Calibri" w:cs="Calibri"/>
          <w:color w:val="000000"/>
          <w:spacing w:val="0"/>
          <w:w w:val="100"/>
          <w:position w:val="0"/>
        </w:rPr>
        <w:t>（</w:t>
      </w:r>
      <w:bookmarkEnd w:id="37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培训计划</w:t>
      </w:r>
      <w:bookmarkEnd w:id="368"/>
      <w:bookmarkEnd w:id="369"/>
      <w:bookmarkEnd w:id="371"/>
    </w:p>
    <w:p>
      <w:pPr>
        <w:pStyle w:val="Style5"/>
        <w:keepNext w:val="0"/>
        <w:keepLines w:val="0"/>
        <w:widowControl w:val="0"/>
        <w:shd w:val="clear" w:color="auto" w:fill="auto"/>
        <w:bidi w:val="0"/>
        <w:spacing w:before="0" w:after="600" w:line="360" w:lineRule="exact"/>
        <w:ind w:left="720" w:right="0"/>
        <w:jc w:val="both"/>
      </w:pPr>
      <w:r>
        <w:rPr>
          <w:color w:val="000000"/>
          <w:spacing w:val="0"/>
          <w:w w:val="100"/>
          <w:position w:val="0"/>
        </w:rPr>
        <w:t>公司高度重视人才培养培训工作，围绕数字化转型发展能力要求，持续完善优化集团教育培训体 系，积极构建专业能力标准与课程体系；以系统化的组织保障、制度保障、资源保障等保障机制和措 施，持续开展各群体专业化能力提升和转型培训，强化员工素质培养的系统性、持续性、针对性、有 效性。</w:t>
      </w:r>
    </w:p>
    <w:p>
      <w:pPr>
        <w:pStyle w:val="Style16"/>
        <w:keepNext/>
        <w:keepLines/>
        <w:widowControl w:val="0"/>
        <w:shd w:val="clear" w:color="auto" w:fill="auto"/>
        <w:bidi w:val="0"/>
        <w:spacing w:before="0" w:after="140"/>
        <w:ind w:left="0" w:right="0" w:firstLine="720"/>
        <w:jc w:val="left"/>
      </w:pPr>
      <w:bookmarkStart w:id="372" w:name="bookmark372"/>
      <w:bookmarkStart w:id="373" w:name="bookmark373"/>
      <w:bookmarkStart w:id="374" w:name="bookmark374"/>
      <w:r>
        <w:rPr>
          <w:color w:val="000000"/>
          <w:spacing w:val="0"/>
          <w:w w:val="100"/>
          <w:position w:val="0"/>
        </w:rPr>
        <w:t>十、利润分配或资本公积金转增预案</w:t>
      </w:r>
      <w:bookmarkEnd w:id="372"/>
      <w:bookmarkEnd w:id="373"/>
      <w:bookmarkEnd w:id="374"/>
    </w:p>
    <w:p>
      <w:pPr>
        <w:pStyle w:val="Style16"/>
        <w:keepNext/>
        <w:keepLines/>
        <w:widowControl w:val="0"/>
        <w:shd w:val="clear" w:color="auto" w:fill="auto"/>
        <w:bidi w:val="0"/>
        <w:spacing w:before="0"/>
        <w:ind w:left="0" w:right="0" w:firstLine="720"/>
        <w:jc w:val="left"/>
      </w:pPr>
      <w:bookmarkStart w:id="372" w:name="bookmark372"/>
      <w:bookmarkStart w:id="373" w:name="bookmark373"/>
      <w:bookmarkStart w:id="375" w:name="bookmark375"/>
      <w:bookmarkStart w:id="376" w:name="bookmark376"/>
      <w:r>
        <w:rPr>
          <w:rFonts w:ascii="Calibri" w:eastAsia="Calibri" w:hAnsi="Calibri" w:cs="Calibri"/>
          <w:color w:val="000000"/>
          <w:spacing w:val="0"/>
          <w:w w:val="100"/>
          <w:position w:val="0"/>
        </w:rPr>
        <w:t>（</w:t>
      </w:r>
      <w:bookmarkEnd w:id="375"/>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72"/>
      <w:bookmarkEnd w:id="373"/>
      <w:bookmarkEnd w:id="376"/>
    </w:p>
    <w:p>
      <w:pPr>
        <w:pStyle w:val="Style5"/>
        <w:keepNext w:val="0"/>
        <w:keepLines w:val="0"/>
        <w:widowControl w:val="0"/>
        <w:shd w:val="clear" w:color="auto" w:fill="auto"/>
        <w:bidi w:val="0"/>
        <w:spacing w:before="0" w:line="360" w:lineRule="exact"/>
        <w:ind w:left="460" w:right="0" w:firstLine="420"/>
        <w:jc w:val="both"/>
      </w:pPr>
      <w:r>
        <w:rPr>
          <w:color w:val="000000"/>
          <w:spacing w:val="0"/>
          <w:w w:val="100"/>
          <w:position w:val="0"/>
        </w:rPr>
        <w:t>公司董事会审议的报告期利润分配预案如下：本公司通过中国联通</w:t>
      </w:r>
      <w:r>
        <w:rPr>
          <w:color w:val="000000"/>
          <w:spacing w:val="0"/>
          <w:w w:val="100"/>
          <w:position w:val="0"/>
        </w:rPr>
        <w:t>（</w:t>
      </w:r>
      <w:r>
        <w:rPr>
          <w:rFonts w:ascii="Times New Roman" w:eastAsia="Times New Roman" w:hAnsi="Times New Roman" w:cs="Times New Roman"/>
          <w:color w:val="000000"/>
          <w:spacing w:val="0"/>
          <w:w w:val="100"/>
          <w:position w:val="0"/>
        </w:rPr>
        <w:t>BVI</w:t>
      </w:r>
      <w:r>
        <w:rPr>
          <w:color w:val="000000"/>
          <w:spacing w:val="0"/>
          <w:w w:val="100"/>
          <w:position w:val="0"/>
        </w:rPr>
        <w:t>）有限公司持有中国联合 网络通信（香港）股份有限公司（以下简称“联通红筹公司”）的股权，按本公司章程规定，应将自联 通红筹公司分红所得现金在扣除公司日常现金开支、税费及法律法规规定应当提取的各项公积金后，以 现金方式全额分配给股东。</w:t>
      </w:r>
    </w:p>
    <w:p>
      <w:pPr>
        <w:pStyle w:val="Style5"/>
        <w:keepNext w:val="0"/>
        <w:keepLines w:val="0"/>
        <w:widowControl w:val="0"/>
        <w:shd w:val="clear" w:color="auto" w:fill="auto"/>
        <w:bidi w:val="0"/>
        <w:spacing w:before="0" w:line="360" w:lineRule="exact"/>
        <w:ind w:left="460" w:right="0" w:firstLine="420"/>
        <w:jc w:val="both"/>
      </w:pPr>
      <w:r>
        <w:rPr>
          <w:color w:val="000000"/>
          <w:spacing w:val="0"/>
          <w:w w:val="100"/>
          <w:position w:val="0"/>
        </w:rPr>
        <w:t>联通红筹公司董事会于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日提议派发</w:t>
      </w:r>
      <w:r>
        <w:rPr>
          <w:rFonts w:ascii="Times New Roman" w:eastAsia="Times New Roman" w:hAnsi="Times New Roman" w:cs="Times New Roman"/>
          <w:color w:val="000000"/>
          <w:spacing w:val="0"/>
          <w:w w:val="100"/>
          <w:position w:val="0"/>
        </w:rPr>
        <w:t>2021</w:t>
      </w:r>
      <w:r>
        <w:rPr>
          <w:color w:val="000000"/>
          <w:spacing w:val="0"/>
          <w:w w:val="100"/>
          <w:position w:val="0"/>
        </w:rPr>
        <w:t>年度末期股利，每股派发股利</w:t>
      </w:r>
      <w:r>
        <w:rPr>
          <w:rFonts w:ascii="Times New Roman" w:eastAsia="Times New Roman" w:hAnsi="Times New Roman" w:cs="Times New Roman"/>
          <w:color w:val="000000"/>
          <w:spacing w:val="0"/>
          <w:w w:val="100"/>
          <w:position w:val="0"/>
        </w:rPr>
        <w:t>0.096</w:t>
      </w:r>
      <w:r>
        <w:rPr>
          <w:color w:val="000000"/>
          <w:spacing w:val="0"/>
          <w:w w:val="100"/>
          <w:position w:val="0"/>
        </w:rPr>
        <w:t>元。如获联 通红筹公司周年股东大会批准，本公司预计将收到按持股比例计算的股利约</w:t>
      </w:r>
      <w:r>
        <w:rPr>
          <w:rFonts w:ascii="Times New Roman" w:eastAsia="Times New Roman" w:hAnsi="Times New Roman" w:cs="Times New Roman"/>
          <w:color w:val="000000"/>
          <w:spacing w:val="0"/>
          <w:w w:val="100"/>
          <w:position w:val="0"/>
        </w:rPr>
        <w:t>12.9</w:t>
      </w:r>
      <w:r>
        <w:rPr>
          <w:rFonts w:ascii="Times New Roman" w:eastAsia="Times New Roman" w:hAnsi="Times New Roman" w:cs="Times New Roman"/>
          <w:color w:val="000000"/>
          <w:spacing w:val="0"/>
          <w:w w:val="100"/>
          <w:position w:val="0"/>
        </w:rPr>
        <w:t>1</w:t>
      </w:r>
      <w:r>
        <w:rPr>
          <w:color w:val="000000"/>
          <w:spacing w:val="0"/>
          <w:w w:val="100"/>
          <w:position w:val="0"/>
        </w:rPr>
        <w:t>亿元。依照公司章程， 在收到此等股利后，扣除本公司日常开支和税费约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.25</w:t>
      </w:r>
      <w:r>
        <w:rPr>
          <w:color w:val="000000"/>
          <w:spacing w:val="0"/>
          <w:w w:val="100"/>
          <w:position w:val="0"/>
        </w:rPr>
        <w:t>亿元，减去预提</w:t>
      </w:r>
      <w:r>
        <w:rPr>
          <w:rFonts w:ascii="Times New Roman" w:eastAsia="Times New Roman" w:hAnsi="Times New Roman" w:cs="Times New Roman"/>
          <w:color w:val="000000"/>
          <w:spacing w:val="0"/>
          <w:w w:val="100"/>
          <w:position w:val="0"/>
        </w:rPr>
        <w:t>2022</w:t>
      </w:r>
      <w:r>
        <w:rPr>
          <w:color w:val="000000"/>
          <w:spacing w:val="0"/>
          <w:w w:val="100"/>
          <w:position w:val="0"/>
        </w:rPr>
        <w:t>年度法定公积金约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.27</w:t>
      </w:r>
      <w:r>
        <w:rPr>
          <w:color w:val="000000"/>
          <w:spacing w:val="0"/>
          <w:w w:val="100"/>
          <w:position w:val="0"/>
        </w:rPr>
        <w:t>亿元， 加上</w:t>
      </w:r>
      <w:r>
        <w:rPr>
          <w:rFonts w:ascii="Times New Roman" w:eastAsia="Times New Roman" w:hAnsi="Times New Roman" w:cs="Times New Roman"/>
          <w:color w:val="000000"/>
          <w:spacing w:val="0"/>
          <w:w w:val="100"/>
          <w:position w:val="0"/>
        </w:rPr>
        <w:t>2021</w:t>
      </w:r>
      <w:r>
        <w:rPr>
          <w:color w:val="000000"/>
          <w:spacing w:val="0"/>
          <w:w w:val="100"/>
          <w:position w:val="0"/>
        </w:rPr>
        <w:t>年末本公司可供股东分配利润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.60</w:t>
      </w:r>
      <w:r>
        <w:rPr>
          <w:color w:val="000000"/>
          <w:spacing w:val="0"/>
          <w:w w:val="100"/>
          <w:position w:val="0"/>
        </w:rPr>
        <w:t>亿元后，可供股东分配的利润约</w:t>
      </w:r>
      <w:r>
        <w:rPr>
          <w:rFonts w:ascii="Times New Roman" w:eastAsia="Times New Roman" w:hAnsi="Times New Roman" w:cs="Times New Roman"/>
          <w:color w:val="000000"/>
          <w:spacing w:val="0"/>
          <w:w w:val="100"/>
          <w:position w:val="0"/>
        </w:rPr>
        <w:t>11.99</w:t>
      </w:r>
      <w:r>
        <w:rPr>
          <w:color w:val="000000"/>
          <w:spacing w:val="0"/>
          <w:w w:val="100"/>
          <w:position w:val="0"/>
        </w:rPr>
        <w:t>亿元。</w:t>
      </w:r>
    </w:p>
    <w:p>
      <w:pPr>
        <w:pStyle w:val="Style5"/>
        <w:keepNext w:val="0"/>
        <w:keepLines w:val="0"/>
        <w:widowControl w:val="0"/>
        <w:shd w:val="clear" w:color="auto" w:fill="auto"/>
        <w:bidi w:val="0"/>
        <w:spacing w:before="0" w:after="120" w:line="370" w:lineRule="exact"/>
        <w:ind w:left="460" w:right="0" w:firstLine="420"/>
        <w:jc w:val="both"/>
      </w:pPr>
      <w:r>
        <w:rPr>
          <w:color w:val="000000"/>
          <w:spacing w:val="0"/>
          <w:w w:val="100"/>
          <w:position w:val="0"/>
        </w:rPr>
        <w:t>根据《上海证券交易所上市公司回购股份实施细则》等有关规定，公司回购专用证券账户上的本公 司股份不参与本次股息派发。</w:t>
      </w:r>
      <w:r>
        <w:br w:type="page"/>
      </w:r>
    </w:p>
    <w:p>
      <w:pPr>
        <w:pStyle w:val="Style5"/>
        <w:keepNext w:val="0"/>
        <w:keepLines w:val="0"/>
        <w:widowControl w:val="0"/>
        <w:shd w:val="clear" w:color="auto" w:fill="auto"/>
        <w:bidi w:val="0"/>
        <w:spacing w:before="0" w:line="360" w:lineRule="exact"/>
        <w:ind w:left="420" w:right="0" w:firstLine="460"/>
        <w:jc w:val="both"/>
      </w:pPr>
      <w:r>
        <w:rPr>
          <w:color w:val="000000"/>
          <w:spacing w:val="0"/>
          <w:w w:val="100"/>
          <w:position w:val="0"/>
        </w:rPr>
        <w:t>据此，董事会建议，本公司对权益分派实施公告中确定的股权登记日收市后在册扣除本公司回购专 用账户后的其他股份，每</w:t>
      </w:r>
      <w:r>
        <w:rPr>
          <w:rFonts w:ascii="Times New Roman" w:eastAsia="Times New Roman" w:hAnsi="Times New Roman" w:cs="Times New Roman"/>
          <w:color w:val="000000"/>
          <w:spacing w:val="0"/>
          <w:w w:val="100"/>
          <w:position w:val="0"/>
        </w:rPr>
        <w:t>10</w:t>
      </w:r>
      <w:r>
        <w:rPr>
          <w:color w:val="000000"/>
          <w:spacing w:val="0"/>
          <w:w w:val="100"/>
          <w:position w:val="0"/>
        </w:rPr>
        <w:t>股拟派发现金股利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，共计拟向本公司股东派发约</w:t>
      </w:r>
      <w:r>
        <w:rPr>
          <w:rFonts w:ascii="Times New Roman" w:eastAsia="Times New Roman" w:hAnsi="Times New Roman" w:cs="Times New Roman"/>
          <w:color w:val="000000"/>
          <w:spacing w:val="0"/>
          <w:w w:val="100"/>
          <w:position w:val="0"/>
        </w:rPr>
        <w:t>11.9</w:t>
      </w:r>
      <w:r>
        <w:rPr>
          <w:rFonts w:ascii="Times New Roman" w:eastAsia="Times New Roman" w:hAnsi="Times New Roman" w:cs="Times New Roman"/>
          <w:color w:val="000000"/>
          <w:spacing w:val="0"/>
          <w:w w:val="100"/>
          <w:position w:val="0"/>
        </w:rPr>
        <w:t>2</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 xml:space="preserve">含税 </w:t>
      </w:r>
      <w:r>
        <w:rPr>
          <w:rFonts w:ascii="Times New Roman" w:eastAsia="Times New Roman" w:hAnsi="Times New Roman" w:cs="Times New Roman"/>
          <w:color w:val="000000"/>
          <w:spacing w:val="0"/>
          <w:w w:val="100"/>
          <w:position w:val="0"/>
        </w:rPr>
        <w:t>）</w:t>
      </w:r>
      <w:r>
        <w:rPr>
          <w:color w:val="000000"/>
          <w:spacing w:val="0"/>
          <w:w w:val="100"/>
          <w:position w:val="0"/>
        </w:rPr>
        <w:t>的股利，剩余可供股东分配的利润将用于以后年度的利润分配。</w:t>
      </w:r>
    </w:p>
    <w:p>
      <w:pPr>
        <w:pStyle w:val="Style5"/>
        <w:keepNext w:val="0"/>
        <w:keepLines w:val="0"/>
        <w:widowControl w:val="0"/>
        <w:shd w:val="clear" w:color="auto" w:fill="auto"/>
        <w:bidi w:val="0"/>
        <w:spacing w:before="0" w:line="360" w:lineRule="exact"/>
        <w:ind w:left="420" w:right="0" w:firstLine="460"/>
        <w:jc w:val="both"/>
      </w:pPr>
      <w:r>
        <w:rPr>
          <w:color w:val="000000"/>
          <w:spacing w:val="0"/>
          <w:w w:val="100"/>
          <w:position w:val="0"/>
        </w:rPr>
        <w:t>在实施权益分派的股权登记日前，若公司发生可参与利润分配的总股本变动，拟维持分配总额不变 ，相应调整每股分红比例。</w:t>
      </w:r>
    </w:p>
    <w:p>
      <w:pPr>
        <w:pStyle w:val="Style5"/>
        <w:keepNext w:val="0"/>
        <w:keepLines w:val="0"/>
        <w:widowControl w:val="0"/>
        <w:shd w:val="clear" w:color="auto" w:fill="auto"/>
        <w:bidi w:val="0"/>
        <w:spacing w:before="0" w:after="340" w:line="360" w:lineRule="exact"/>
        <w:ind w:left="0" w:right="0" w:firstLine="880"/>
        <w:jc w:val="left"/>
      </w:pPr>
      <w:r>
        <w:rPr>
          <w:color w:val="000000"/>
          <w:spacing w:val="0"/>
          <w:w w:val="100"/>
          <w:position w:val="0"/>
        </w:rPr>
        <w:t>本次利润分配方案尚需提交本公司股东大会审议。。</w:t>
      </w:r>
    </w:p>
    <w:p>
      <w:pPr>
        <w:pStyle w:val="Style25"/>
        <w:keepNext w:val="0"/>
        <w:keepLines w:val="0"/>
        <w:widowControl w:val="0"/>
        <w:shd w:val="clear" w:color="auto" w:fill="auto"/>
        <w:bidi w:val="0"/>
        <w:spacing w:before="0" w:after="0" w:line="240" w:lineRule="auto"/>
        <w:ind w:left="418"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tbl>
      <w:tblPr>
        <w:tblOverlap w:val="never"/>
        <w:jc w:val="center"/>
        <w:tblLayout w:type="fixed"/>
      </w:tblPr>
      <w:tblGrid>
        <w:gridCol w:w="7690"/>
        <w:gridCol w:w="2088"/>
      </w:tblGrid>
      <w:tr>
        <w:trPr>
          <w:trHeight w:val="288"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i/>
                <w:iCs/>
                <w:color w:val="000000"/>
                <w:spacing w:val="0"/>
                <w:w w:val="100"/>
                <w:position w:val="0"/>
              </w:rPr>
              <w:t>［</w:t>
            </w:r>
            <w:r>
              <w:rPr>
                <w:i/>
                <w:iCs/>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i/>
                <w:iCs/>
                <w:color w:val="000000"/>
                <w:spacing w:val="0"/>
                <w:w w:val="100"/>
                <w:position w:val="0"/>
              </w:rPr>
              <w:t>寸</w:t>
            </w:r>
            <w:r>
              <w:rPr>
                <w:i/>
                <w:iCs/>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i/>
                <w:iCs/>
                <w:color w:val="000000"/>
                <w:spacing w:val="0"/>
                <w:w w:val="100"/>
                <w:position w:val="0"/>
              </w:rPr>
              <w:t>寸</w:t>
            </w:r>
            <w:r>
              <w:rPr>
                <w:i/>
                <w:iCs/>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i/>
                <w:iCs/>
                <w:color w:val="000000"/>
                <w:spacing w:val="0"/>
                <w:w w:val="100"/>
                <w:position w:val="0"/>
              </w:rPr>
              <w:t>［</w:t>
            </w:r>
            <w:r>
              <w:rPr>
                <w:i/>
                <w:iCs/>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r>
        <w:trPr>
          <w:trHeight w:val="293" w:hRule="exact"/>
        </w:trPr>
        <w:tc>
          <w:tcPr>
            <w:tcBorders>
              <w:top w:val="single" w:sz="4"/>
              <w:left w:val="single" w:sz="4"/>
              <w:bottom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i/>
                <w:iCs/>
                <w:color w:val="000000"/>
                <w:spacing w:val="0"/>
                <w:w w:val="100"/>
                <w:position w:val="0"/>
              </w:rPr>
              <w:t>［</w:t>
            </w:r>
            <w:r>
              <w:rPr>
                <w:i/>
                <w:iCs/>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r>
    </w:tbl>
    <w:p>
      <w:pPr>
        <w:widowControl w:val="0"/>
        <w:spacing w:after="339" w:line="1" w:lineRule="exact"/>
      </w:pPr>
    </w:p>
    <w:p>
      <w:pPr>
        <w:pStyle w:val="Style16"/>
        <w:keepNext/>
        <w:keepLines/>
        <w:widowControl w:val="0"/>
        <w:shd w:val="clear" w:color="auto" w:fill="auto"/>
        <w:bidi w:val="0"/>
        <w:spacing w:before="0" w:after="60" w:line="274" w:lineRule="exact"/>
        <w:ind w:left="1120" w:right="0" w:hanging="400"/>
        <w:jc w:val="left"/>
      </w:pPr>
      <w:bookmarkStart w:id="377" w:name="bookmark377"/>
      <w:bookmarkStart w:id="378" w:name="bookmark378"/>
      <w:bookmarkStart w:id="379" w:name="bookmark379"/>
      <w:bookmarkStart w:id="380" w:name="bookmark380"/>
      <w:r>
        <w:rPr>
          <w:rFonts w:ascii="Calibri" w:eastAsia="Calibri" w:hAnsi="Calibri" w:cs="Calibri"/>
          <w:color w:val="000000"/>
          <w:spacing w:val="0"/>
          <w:w w:val="100"/>
          <w:position w:val="0"/>
        </w:rPr>
        <w:t>（</w:t>
      </w:r>
      <w:bookmarkEnd w:id="379"/>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报告期内盈利且母公司可供股东分配利润为正，但未提出现金利润分配方案预案的，公司应当详 细披露原因以及未分配利润的用途和使用计划</w:t>
      </w:r>
      <w:bookmarkEnd w:id="377"/>
      <w:bookmarkEnd w:id="378"/>
      <w:bookmarkEnd w:id="380"/>
    </w:p>
    <w:p>
      <w:pPr>
        <w:pStyle w:val="Style5"/>
        <w:keepNext w:val="0"/>
        <w:keepLines w:val="0"/>
        <w:widowControl w:val="0"/>
        <w:shd w:val="clear" w:color="auto" w:fill="auto"/>
        <w:bidi w:val="0"/>
        <w:spacing w:before="0" w:after="240" w:line="274" w:lineRule="exact"/>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46" w:lineRule="exact"/>
        <w:ind w:left="0" w:right="0" w:firstLine="720"/>
        <w:jc w:val="both"/>
      </w:pPr>
      <w:r>
        <w:rPr>
          <w:b/>
          <w:bCs/>
          <w:color w:val="000000"/>
          <w:spacing w:val="0"/>
          <w:w w:val="100"/>
          <w:position w:val="0"/>
          <w:shd w:val="clear" w:color="auto" w:fill="FFFFFF"/>
        </w:rPr>
        <w:t>十一、公司股权激励计划、员工持股计划或其他员工激励措施的情况及其影响</w:t>
      </w:r>
    </w:p>
    <w:p>
      <w:pPr>
        <w:pStyle w:val="Style5"/>
        <w:keepNext w:val="0"/>
        <w:keepLines w:val="0"/>
        <w:widowControl w:val="0"/>
        <w:shd w:val="clear" w:color="auto" w:fill="auto"/>
        <w:bidi w:val="0"/>
        <w:spacing w:before="0" w:line="346" w:lineRule="exact"/>
        <w:ind w:left="0" w:right="0" w:firstLine="720"/>
        <w:jc w:val="both"/>
      </w:pPr>
      <w:bookmarkStart w:id="381" w:name="bookmark381"/>
      <w:r>
        <w:rPr>
          <w:b/>
          <w:bCs/>
          <w:color w:val="000000"/>
          <w:spacing w:val="0"/>
          <w:w w:val="100"/>
          <w:position w:val="0"/>
        </w:rPr>
        <w:t>（</w:t>
      </w:r>
      <w:bookmarkEnd w:id="381"/>
      <w:r>
        <w:rPr>
          <w:b/>
          <w:bCs/>
          <w:color w:val="000000"/>
          <w:spacing w:val="0"/>
          <w:w w:val="100"/>
          <w:position w:val="0"/>
        </w:rPr>
        <w:t>一）相关激励事项已在临时公告披露且后续实施无进展或变化的</w:t>
      </w:r>
    </w:p>
    <w:tbl>
      <w:tblPr>
        <w:tblOverlap w:val="never"/>
        <w:jc w:val="center"/>
        <w:tblLayout w:type="fixed"/>
      </w:tblPr>
      <w:tblGrid>
        <w:gridCol w:w="5323"/>
        <w:gridCol w:w="4440"/>
      </w:tblGrid>
      <w:tr>
        <w:trPr>
          <w:trHeight w:val="288"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D9D9D9"/>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7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3" w:lineRule="exact"/>
              <w:ind w:left="0" w:right="0" w:firstLine="520"/>
              <w:jc w:val="both"/>
            </w:pPr>
            <w:r>
              <w:rPr>
                <w:color w:val="000000"/>
                <w:spacing w:val="0"/>
                <w:w w:val="100"/>
                <w:position w:val="0"/>
              </w:rPr>
              <w:t xml:space="preserve">根据公司首期授予限制性股票限售期的约定，自 </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日起，首次授予限制性股票进入第二个解 锁期；自</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日起，预留授予限制性股票已进 入第一个解锁期。</w:t>
            </w:r>
          </w:p>
          <w:p>
            <w:pPr>
              <w:pStyle w:val="Style22"/>
              <w:keepNext w:val="0"/>
              <w:keepLines w:val="0"/>
              <w:widowControl w:val="0"/>
              <w:shd w:val="clear" w:color="auto" w:fill="auto"/>
              <w:bidi w:val="0"/>
              <w:spacing w:before="0" w:after="0" w:line="236" w:lineRule="exact"/>
              <w:ind w:left="0" w:right="0" w:firstLine="520"/>
              <w:jc w:val="both"/>
            </w:pPr>
            <w:r>
              <w:rPr>
                <w:color w:val="000000"/>
                <w:spacing w:val="0"/>
                <w:w w:val="100"/>
                <w:position w:val="0"/>
              </w:rPr>
              <w:t>经公司董事会认定，剔除提速降费金额影响后，公 司已达成第二个解锁期公司业绩条件。结合激励对象个 人业绩等其他解除限售条件，经董事会审议，本次符合 解锁条件的首次和预留授予激励对象共</w:t>
            </w:r>
            <w:r>
              <w:rPr>
                <w:color w:val="000000"/>
                <w:spacing w:val="0"/>
                <w:w w:val="100"/>
                <w:position w:val="0"/>
              </w:rPr>
              <w:t>7,511</w:t>
            </w:r>
            <w:r>
              <w:rPr>
                <w:color w:val="000000"/>
                <w:spacing w:val="0"/>
                <w:w w:val="100"/>
                <w:position w:val="0"/>
              </w:rPr>
              <w:t>名，可申 请解锁的限制性股票为</w:t>
            </w:r>
            <w:r>
              <w:rPr>
                <w:color w:val="000000"/>
                <w:spacing w:val="0"/>
                <w:w w:val="100"/>
                <w:position w:val="0"/>
              </w:rPr>
              <w:t>218,379, 125</w:t>
            </w:r>
            <w:r>
              <w:rPr>
                <w:color w:val="000000"/>
                <w:spacing w:val="0"/>
                <w:w w:val="100"/>
                <w:position w:val="0"/>
              </w:rPr>
              <w:t>股，约占公司总股 本的</w:t>
            </w:r>
            <w:r>
              <w:rPr>
                <w:color w:val="000000"/>
                <w:spacing w:val="0"/>
                <w:w w:val="100"/>
                <w:position w:val="0"/>
              </w:rPr>
              <w:t>0.7%</w:t>
            </w:r>
            <w:r>
              <w:rPr>
                <w:color w:val="000000"/>
                <w:spacing w:val="0"/>
                <w:w w:val="100"/>
                <w:position w:val="0"/>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36" w:lineRule="exact"/>
              <w:ind w:left="0" w:right="0" w:firstLine="0"/>
              <w:jc w:val="both"/>
            </w:pPr>
            <w:r>
              <w:rPr>
                <w:color w:val="000000"/>
                <w:spacing w:val="0"/>
                <w:w w:val="100"/>
                <w:position w:val="0"/>
              </w:rPr>
              <w:t>有关详情请见公司在《中国证券报》《上海证 券报》《证券时报》、上海证券交易所网站及 本公司网站发布的《关于公司限制性股票激励 计划首次授予股票第二个解锁期及预留授予股 票第一个解锁期解锁暨上市的公告》（公告编 号：</w:t>
            </w:r>
            <w:r>
              <w:rPr>
                <w:color w:val="000000"/>
                <w:spacing w:val="0"/>
                <w:w w:val="100"/>
                <w:position w:val="0"/>
              </w:rPr>
              <w:t>2021-040）</w:t>
            </w:r>
            <w:r>
              <w:rPr>
                <w:color w:val="000000"/>
                <w:spacing w:val="0"/>
                <w:w w:val="100"/>
                <w:position w:val="0"/>
              </w:rPr>
              <w:t>。</w:t>
            </w:r>
          </w:p>
        </w:tc>
      </w:tr>
      <w:tr>
        <w:trPr>
          <w:trHeight w:val="16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8" w:lineRule="exact"/>
              <w:ind w:left="0" w:right="0" w:firstLine="520"/>
              <w:jc w:val="both"/>
            </w:pPr>
            <w:r>
              <w:rPr>
                <w:color w:val="000000"/>
                <w:spacing w:val="0"/>
                <w:w w:val="100"/>
                <w:position w:val="0"/>
              </w:rPr>
              <w:t>报告期内，经公司董事会、监事会及股东大会审议 通过，公司分别对已不属于激励范围的</w:t>
            </w:r>
            <w:r>
              <w:rPr>
                <w:color w:val="000000"/>
                <w:spacing w:val="0"/>
                <w:w w:val="100"/>
                <w:position w:val="0"/>
              </w:rPr>
              <w:t>60</w:t>
            </w:r>
            <w:r>
              <w:rPr>
                <w:color w:val="000000"/>
                <w:spacing w:val="0"/>
                <w:w w:val="100"/>
                <w:position w:val="0"/>
              </w:rPr>
              <w:t>名、</w:t>
            </w:r>
            <w:r>
              <w:rPr>
                <w:color w:val="000000"/>
                <w:spacing w:val="0"/>
                <w:w w:val="100"/>
                <w:position w:val="0"/>
              </w:rPr>
              <w:t>1,111</w:t>
            </w:r>
            <w:r>
              <w:rPr>
                <w:color w:val="000000"/>
                <w:spacing w:val="0"/>
                <w:w w:val="100"/>
                <w:position w:val="0"/>
              </w:rPr>
              <w:t>名 激励对象持有的尚未解锁的限制性股票共计</w:t>
            </w:r>
            <w:r>
              <w:rPr>
                <w:color w:val="000000"/>
                <w:spacing w:val="0"/>
                <w:w w:val="100"/>
                <w:position w:val="0"/>
              </w:rPr>
              <w:t xml:space="preserve">24, 202,275 </w:t>
            </w:r>
            <w:r>
              <w:rPr>
                <w:color w:val="000000"/>
                <w:spacing w:val="0"/>
                <w:w w:val="100"/>
                <w:position w:val="0"/>
              </w:rPr>
              <w:t>股（分别为</w:t>
            </w:r>
            <w:r>
              <w:rPr>
                <w:color w:val="000000"/>
                <w:spacing w:val="0"/>
                <w:w w:val="100"/>
                <w:position w:val="0"/>
              </w:rPr>
              <w:t>3, 742, 200</w:t>
            </w:r>
            <w:r>
              <w:rPr>
                <w:color w:val="000000"/>
                <w:spacing w:val="0"/>
                <w:w w:val="100"/>
                <w:position w:val="0"/>
              </w:rPr>
              <w:t>、</w:t>
            </w:r>
            <w:r>
              <w:rPr>
                <w:color w:val="000000"/>
                <w:spacing w:val="0"/>
                <w:w w:val="100"/>
                <w:position w:val="0"/>
              </w:rPr>
              <w:t>20, 460,075</w:t>
            </w:r>
            <w:r>
              <w:rPr>
                <w:color w:val="000000"/>
                <w:spacing w:val="0"/>
                <w:w w:val="100"/>
                <w:position w:val="0"/>
              </w:rPr>
              <w:t>股）进行回购注销， 上述股份已按相关程序分别于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2021</w:t>
            </w:r>
            <w:r>
              <w:rPr>
                <w:color w:val="000000"/>
                <w:spacing w:val="0"/>
                <w:w w:val="100"/>
                <w:position w:val="0"/>
              </w:rPr>
              <w:t>年</w:t>
            </w:r>
            <w:r>
              <w:rPr>
                <w:color w:val="000000"/>
                <w:spacing w:val="0"/>
                <w:w w:val="100"/>
                <w:position w:val="0"/>
              </w:rPr>
              <w:t xml:space="preserve">9 </w:t>
            </w:r>
            <w:r>
              <w:rPr>
                <w:color w:val="000000"/>
                <w:spacing w:val="0"/>
                <w:w w:val="100"/>
                <w:position w:val="0"/>
              </w:rPr>
              <w:t>月注销完成。</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exact"/>
              <w:ind w:left="0" w:right="0" w:firstLine="0"/>
              <w:jc w:val="both"/>
            </w:pPr>
            <w:r>
              <w:rPr>
                <w:color w:val="000000"/>
                <w:spacing w:val="0"/>
                <w:w w:val="100"/>
                <w:position w:val="0"/>
              </w:rPr>
              <w:t>有关详情请见公司《关于首期限制性股票计划 部分激励对象限制性股票回购注销实施公告》</w:t>
            </w:r>
          </w:p>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（公告编号:</w:t>
            </w:r>
            <w:r>
              <w:rPr>
                <w:color w:val="000000"/>
                <w:spacing w:val="0"/>
                <w:w w:val="100"/>
                <w:position w:val="0"/>
              </w:rPr>
              <w:t>2021-007）</w:t>
            </w:r>
            <w:r>
              <w:rPr>
                <w:color w:val="000000"/>
                <w:spacing w:val="0"/>
                <w:w w:val="100"/>
                <w:position w:val="0"/>
              </w:rPr>
              <w:t>、《关于首期限制性 股票计划部分激励对象限制性股票回购注销实 施公告》（公告编号：</w:t>
            </w:r>
            <w:r>
              <w:rPr>
                <w:color w:val="000000"/>
                <w:spacing w:val="0"/>
                <w:w w:val="100"/>
                <w:position w:val="0"/>
              </w:rPr>
              <w:t>2021-083）</w:t>
            </w:r>
            <w:r>
              <w:rPr>
                <w:color w:val="000000"/>
                <w:spacing w:val="0"/>
                <w:w w:val="100"/>
                <w:position w:val="0"/>
              </w:rPr>
              <w:t>。</w:t>
            </w:r>
          </w:p>
        </w:tc>
      </w:tr>
      <w:tr>
        <w:trPr>
          <w:trHeight w:val="145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520"/>
              <w:jc w:val="both"/>
            </w:pPr>
            <w:r>
              <w:rPr>
                <w:color w:val="000000"/>
                <w:spacing w:val="0"/>
                <w:w w:val="100"/>
                <w:position w:val="0"/>
              </w:rPr>
              <w:t>报告期内，经公司董事会、监事会审议，为进一步 完善公司治理结构，建立股东、公司与员工之间的利益 共享与约束机制，充分调动核心员工的积极性，支持公 司战略实现和长期稳健发展，公司拟进行第二期限制性 股票激励计划。</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20" w:after="0" w:line="235" w:lineRule="exact"/>
              <w:ind w:left="0" w:right="0" w:firstLine="0"/>
              <w:jc w:val="both"/>
            </w:pPr>
            <w:r>
              <w:rPr>
                <w:color w:val="000000"/>
                <w:spacing w:val="0"/>
                <w:w w:val="100"/>
                <w:position w:val="0"/>
              </w:rPr>
              <w:t>有关详情请见公司《第二期限制性股票激励计 划（草案）摘要公告》（公告编号：</w:t>
            </w:r>
            <w:r>
              <w:rPr>
                <w:color w:val="000000"/>
                <w:spacing w:val="0"/>
                <w:w w:val="100"/>
                <w:position w:val="0"/>
              </w:rPr>
              <w:t xml:space="preserve">2021-110） </w:t>
            </w:r>
            <w:r>
              <w:rPr>
                <w:color w:val="000000"/>
                <w:spacing w:val="0"/>
                <w:w w:val="100"/>
                <w:position w:val="0"/>
              </w:rPr>
              <w:t>等相关公告。</w:t>
            </w:r>
          </w:p>
        </w:tc>
      </w:tr>
    </w:tbl>
    <w:p>
      <w:pPr>
        <w:pStyle w:val="Style5"/>
        <w:keepNext w:val="0"/>
        <w:keepLines w:val="0"/>
        <w:widowControl w:val="0"/>
        <w:shd w:val="clear" w:color="auto" w:fill="auto"/>
        <w:bidi w:val="0"/>
        <w:spacing w:before="0" w:after="320" w:line="240" w:lineRule="auto"/>
        <w:ind w:left="0" w:right="0" w:firstLine="840"/>
        <w:jc w:val="left"/>
      </w:pPr>
      <w:bookmarkStart w:id="382" w:name="bookmark382"/>
      <w:r>
        <w:rPr>
          <w:b/>
          <w:bCs/>
          <w:color w:val="000000"/>
          <w:spacing w:val="0"/>
          <w:w w:val="100"/>
          <w:position w:val="0"/>
        </w:rPr>
        <w:t>（</w:t>
      </w:r>
      <w:bookmarkEnd w:id="382"/>
      <w:r>
        <w:rPr>
          <w:b/>
          <w:bCs/>
          <w:color w:val="000000"/>
          <w:spacing w:val="0"/>
          <w:w w:val="100"/>
          <w:position w:val="0"/>
        </w:rPr>
        <w:t>二）董事、高级管理人员报告期内被授予的股权激励情况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893"/>
        <w:gridCol w:w="1670"/>
        <w:gridCol w:w="1138"/>
        <w:gridCol w:w="1325"/>
        <w:gridCol w:w="1330"/>
        <w:gridCol w:w="1032"/>
        <w:gridCol w:w="1037"/>
        <w:gridCol w:w="1181"/>
        <w:gridCol w:w="1046"/>
      </w:tblGrid>
      <w:tr>
        <w:trPr>
          <w:trHeight w:val="869"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年初持有 限制性股 票数量</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报告期新授</w:t>
            </w:r>
          </w:p>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予限制性股</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票数量</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限制性股票</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的授予价格</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（元）</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已解锁 股份</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未解锁 股份</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期末持有 限制性股 票数量</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报告期</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末市价</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（元）</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何飚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98,100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196,200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3.93</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唐永博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高级副总裁兼总 法律顾问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姜爱华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162,000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3.93</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647,200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397,600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647,200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99" w:line="1" w:lineRule="exact"/>
      </w:pPr>
    </w:p>
    <w:p>
      <w:pPr>
        <w:pStyle w:val="Style16"/>
        <w:keepNext/>
        <w:keepLines/>
        <w:widowControl w:val="0"/>
        <w:shd w:val="clear" w:color="auto" w:fill="auto"/>
        <w:bidi w:val="0"/>
        <w:spacing w:before="0" w:line="374" w:lineRule="exact"/>
        <w:ind w:left="0" w:right="0" w:firstLine="840"/>
        <w:jc w:val="left"/>
      </w:pPr>
      <w:bookmarkStart w:id="383" w:name="bookmark383"/>
      <w:bookmarkStart w:id="384" w:name="bookmark384"/>
      <w:bookmarkStart w:id="385" w:name="bookmark385"/>
      <w:r>
        <w:rPr>
          <w:color w:val="000000"/>
          <w:spacing w:val="0"/>
          <w:w w:val="100"/>
          <w:position w:val="0"/>
        </w:rPr>
        <w:t>（三）报告期内对高级管理人员的考评机制，以及激励机制的建立、实施情况</w:t>
      </w:r>
      <w:bookmarkEnd w:id="383"/>
      <w:bookmarkEnd w:id="384"/>
      <w:bookmarkEnd w:id="385"/>
    </w:p>
    <w:p>
      <w:pPr>
        <w:pStyle w:val="Style5"/>
        <w:keepNext w:val="0"/>
        <w:keepLines w:val="0"/>
        <w:widowControl w:val="0"/>
        <w:shd w:val="clear" w:color="auto" w:fill="auto"/>
        <w:bidi w:val="0"/>
        <w:spacing w:before="0" w:after="480" w:line="374" w:lineRule="exact"/>
        <w:ind w:left="840" w:right="0" w:firstLine="420"/>
        <w:jc w:val="both"/>
      </w:pPr>
      <w:r>
        <w:rPr>
          <w:color w:val="000000"/>
          <w:spacing w:val="0"/>
          <w:w w:val="100"/>
          <w:position w:val="0"/>
        </w:rPr>
        <w:t>2021</w:t>
      </w:r>
      <w:r>
        <w:rPr>
          <w:color w:val="000000"/>
          <w:spacing w:val="0"/>
          <w:w w:val="100"/>
          <w:position w:val="0"/>
        </w:rPr>
        <w:t>年度，公司依据业绩合同及经营业绩完成情况，对公司高级管理人员进行履职考核，并依据 业绩考核办法确定公司高级管理人员薪酬水平。</w:t>
      </w:r>
    </w:p>
    <w:p>
      <w:pPr>
        <w:pStyle w:val="Style16"/>
        <w:keepNext/>
        <w:keepLines/>
        <w:widowControl w:val="0"/>
        <w:shd w:val="clear" w:color="auto" w:fill="auto"/>
        <w:bidi w:val="0"/>
        <w:spacing w:before="0"/>
        <w:ind w:left="0" w:right="0" w:firstLine="840"/>
        <w:jc w:val="left"/>
      </w:pPr>
      <w:bookmarkStart w:id="386" w:name="bookmark386"/>
      <w:bookmarkStart w:id="387" w:name="bookmark387"/>
      <w:bookmarkStart w:id="388" w:name="bookmark388"/>
      <w:r>
        <w:rPr>
          <w:color w:val="000000"/>
          <w:spacing w:val="0"/>
          <w:w w:val="100"/>
          <w:position w:val="0"/>
        </w:rPr>
        <w:t>十二、 报告期内的内部控制制度建设及实施情况</w:t>
      </w:r>
      <w:bookmarkEnd w:id="386"/>
      <w:bookmarkEnd w:id="387"/>
      <w:bookmarkEnd w:id="388"/>
    </w:p>
    <w:p>
      <w:pPr>
        <w:pStyle w:val="Style5"/>
        <w:keepNext w:val="0"/>
        <w:keepLines w:val="0"/>
        <w:widowControl w:val="0"/>
        <w:shd w:val="clear" w:color="auto" w:fill="auto"/>
        <w:bidi w:val="0"/>
        <w:spacing w:before="0" w:line="360" w:lineRule="exact"/>
        <w:ind w:left="840" w:right="0" w:firstLine="420"/>
        <w:jc w:val="both"/>
      </w:pPr>
      <w:r>
        <w:rPr>
          <w:color w:val="000000"/>
          <w:spacing w:val="0"/>
          <w:w w:val="100"/>
          <w:position w:val="0"/>
        </w:rPr>
        <w:t>公司坚持以“强内控、防风险、促合规”为目标，坚持战略引领和风险导向，强化顶层设计，加 强内控制度体系建设，推动内控体系有效运行，提升防范化解风险能力。</w:t>
      </w:r>
    </w:p>
    <w:p>
      <w:pPr>
        <w:pStyle w:val="Style5"/>
        <w:keepNext w:val="0"/>
        <w:keepLines w:val="0"/>
        <w:widowControl w:val="0"/>
        <w:shd w:val="clear" w:color="auto" w:fill="auto"/>
        <w:bidi w:val="0"/>
        <w:spacing w:before="0" w:line="360" w:lineRule="exact"/>
        <w:ind w:left="840" w:right="0" w:firstLine="420"/>
        <w:jc w:val="both"/>
      </w:pPr>
      <w:r>
        <w:rPr>
          <w:b/>
          <w:bCs/>
          <w:color w:val="000000"/>
          <w:spacing w:val="0"/>
          <w:w w:val="100"/>
          <w:position w:val="0"/>
        </w:rPr>
        <w:t>一是持续深化内控制度体系建设。</w:t>
      </w:r>
      <w:r>
        <w:rPr>
          <w:color w:val="000000"/>
          <w:spacing w:val="0"/>
          <w:w w:val="100"/>
          <w:position w:val="0"/>
        </w:rPr>
        <w:t>修订完善内控管理、规章制度管理等办法，进一步优化内控制 度管理责任体系，规范制度建设流程，完善分级分类管控机制，推动制度建设标准化规范化进程。加 大内控制度建设力度，对标监管要求，面向公司改革发展实际，坚持制度立改废释并举，强化版本管 理，及时查漏补缺，促进制度敏捷迭代，重构以章程为统领的横向分类纵向分级的立体化规章制度体 系。</w:t>
      </w:r>
    </w:p>
    <w:p>
      <w:pPr>
        <w:pStyle w:val="Style5"/>
        <w:keepNext w:val="0"/>
        <w:keepLines w:val="0"/>
        <w:widowControl w:val="0"/>
        <w:shd w:val="clear" w:color="auto" w:fill="auto"/>
        <w:bidi w:val="0"/>
        <w:spacing w:before="0" w:line="355" w:lineRule="exact"/>
        <w:ind w:left="840" w:right="0" w:firstLine="420"/>
        <w:jc w:val="both"/>
      </w:pPr>
      <w:r>
        <w:rPr>
          <w:b/>
          <w:bCs/>
          <w:color w:val="000000"/>
          <w:spacing w:val="0"/>
          <w:w w:val="100"/>
          <w:position w:val="0"/>
        </w:rPr>
        <w:t>二是强化制度建设信息化管控。</w:t>
      </w:r>
      <w:r>
        <w:rPr>
          <w:color w:val="000000"/>
          <w:spacing w:val="0"/>
          <w:w w:val="100"/>
          <w:position w:val="0"/>
        </w:rPr>
        <w:t>优化规章制度数字化平台，推进制度平台与公文系统一体化衔接， 突出显示制度版本号，实现规章制度自动编码，全面提升规章制度数字化管理能力。</w:t>
      </w:r>
    </w:p>
    <w:p>
      <w:pPr>
        <w:pStyle w:val="Style5"/>
        <w:keepNext w:val="0"/>
        <w:keepLines w:val="0"/>
        <w:widowControl w:val="0"/>
        <w:shd w:val="clear" w:color="auto" w:fill="auto"/>
        <w:bidi w:val="0"/>
        <w:spacing w:before="0" w:line="355" w:lineRule="exact"/>
        <w:ind w:left="840" w:right="0" w:firstLine="420"/>
        <w:jc w:val="both"/>
      </w:pPr>
      <w:r>
        <w:rPr>
          <w:b/>
          <w:bCs/>
          <w:color w:val="000000"/>
          <w:spacing w:val="0"/>
          <w:w w:val="100"/>
          <w:position w:val="0"/>
        </w:rPr>
        <w:t>三是开展内控规范更新优化。</w:t>
      </w:r>
      <w:r>
        <w:rPr>
          <w:color w:val="000000"/>
          <w:spacing w:val="0"/>
          <w:w w:val="100"/>
          <w:position w:val="0"/>
        </w:rPr>
        <w:t>梳理监管要求、制度变化及内外部监督检查问题等因素，全面分析 评估公司层面和流程层面控制，及时更新完善相关内控流程、风险点、控制措施内容，确保内控规范 完整性时效性。</w:t>
      </w:r>
    </w:p>
    <w:p>
      <w:pPr>
        <w:pStyle w:val="Style5"/>
        <w:keepNext w:val="0"/>
        <w:keepLines w:val="0"/>
        <w:widowControl w:val="0"/>
        <w:shd w:val="clear" w:color="auto" w:fill="auto"/>
        <w:bidi w:val="0"/>
        <w:spacing w:before="0" w:after="200" w:line="362" w:lineRule="exact"/>
        <w:ind w:left="840" w:right="0" w:firstLine="420"/>
        <w:jc w:val="both"/>
      </w:pPr>
      <w:r>
        <w:rPr>
          <w:b/>
          <w:bCs/>
          <w:color w:val="000000"/>
          <w:spacing w:val="0"/>
          <w:w w:val="100"/>
          <w:position w:val="0"/>
        </w:rPr>
        <w:t>四是强化内控体系有效运行。</w:t>
      </w:r>
      <w:r>
        <w:rPr>
          <w:color w:val="000000"/>
          <w:spacing w:val="0"/>
          <w:w w:val="100"/>
          <w:position w:val="0"/>
        </w:rPr>
        <w:t>落实主要领导人内控第一责任人责任，强化组织领导，明确责任分 工，完善责任体系。强化集团监督检查，专业部门和监督部门协调联动，统筹专业线检查、内审监督、 纪检监督、巡视监督，及时揭示内控问题和风险隐患。加大考核问责力度，将风险、内控、合规管控 情况纳入绩效考核，对违反规定给公司造成损失的行为，依规依纪追究责任，促进内控体系有效运行。</w:t>
      </w:r>
    </w:p>
    <w:p>
      <w:pPr>
        <w:pStyle w:val="Style16"/>
        <w:keepNext/>
        <w:keepLines/>
        <w:widowControl w:val="0"/>
        <w:shd w:val="clear" w:color="auto" w:fill="auto"/>
        <w:bidi w:val="0"/>
        <w:spacing w:before="0"/>
        <w:ind w:left="0" w:right="0" w:firstLine="840"/>
        <w:jc w:val="left"/>
      </w:pPr>
      <w:bookmarkStart w:id="389" w:name="bookmark389"/>
      <w:bookmarkStart w:id="390" w:name="bookmark390"/>
      <w:bookmarkStart w:id="391" w:name="bookmark391"/>
      <w:r>
        <w:rPr>
          <w:color w:val="000000"/>
          <w:spacing w:val="0"/>
          <w:w w:val="100"/>
          <w:position w:val="0"/>
        </w:rPr>
        <w:t>十三、内部控制审计报告的相关情况说明</w:t>
      </w:r>
      <w:bookmarkEnd w:id="389"/>
      <w:bookmarkEnd w:id="390"/>
      <w:bookmarkEnd w:id="391"/>
    </w:p>
    <w:p>
      <w:pPr>
        <w:pStyle w:val="Style5"/>
        <w:keepNext w:val="0"/>
        <w:keepLines w:val="0"/>
        <w:widowControl w:val="0"/>
        <w:shd w:val="clear" w:color="auto" w:fill="auto"/>
        <w:bidi w:val="0"/>
        <w:spacing w:before="0" w:line="362" w:lineRule="exact"/>
        <w:ind w:left="840" w:right="0" w:firstLine="420"/>
        <w:jc w:val="both"/>
      </w:pPr>
      <w:r>
        <w:rPr>
          <w:color w:val="000000"/>
          <w:spacing w:val="0"/>
          <w:w w:val="100"/>
          <w:position w:val="0"/>
        </w:rPr>
        <w:t>本公司聘请的德勤华永会计师事务所（特殊普通合伙）出具了《内部控制审计报告》，认为：中 国联合网络通信股份有限公司于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 有重大方面保持了有效的财务报告内部控制。</w:t>
      </w:r>
    </w:p>
    <w:p>
      <w:pPr>
        <w:pStyle w:val="Style5"/>
        <w:keepNext w:val="0"/>
        <w:keepLines w:val="0"/>
        <w:widowControl w:val="0"/>
        <w:shd w:val="clear" w:color="auto" w:fill="auto"/>
        <w:bidi w:val="0"/>
        <w:spacing w:before="0" w:after="600" w:line="355" w:lineRule="exact"/>
        <w:ind w:left="840" w:right="0" w:firstLine="420"/>
        <w:jc w:val="left"/>
      </w:pPr>
      <w:r>
        <w:rPr>
          <w:color w:val="000000"/>
          <w:spacing w:val="0"/>
          <w:w w:val="100"/>
          <w:position w:val="0"/>
        </w:rPr>
        <w:t>上述《内部控制审计报告》详见本公司与本报告同日在上海证券交易所网站</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color w:val="000000"/>
          <w:spacing w:val="0"/>
          <w:w w:val="100"/>
          <w:position w:val="0"/>
        </w:rPr>
        <w:t xml:space="preserve">) </w:t>
      </w:r>
      <w:r>
        <w:rPr>
          <w:color w:val="000000"/>
          <w:spacing w:val="0"/>
          <w:w w:val="100"/>
          <w:position w:val="0"/>
        </w:rPr>
        <w:t>及本公司网站(</w:t>
      </w:r>
      <w:r>
        <w:rPr>
          <w:rFonts w:ascii="Times New Roman" w:eastAsia="Times New Roman" w:hAnsi="Times New Roman" w:cs="Times New Roman"/>
          <w:color w:val="000000"/>
          <w:spacing w:val="0"/>
          <w:w w:val="100"/>
          <w:position w:val="0"/>
        </w:rPr>
        <w:t>www.chinaunicom-a.com</w:t>
      </w:r>
      <w:r>
        <w:rPr>
          <w:color w:val="000000"/>
          <w:spacing w:val="0"/>
          <w:w w:val="100"/>
          <w:position w:val="0"/>
        </w:rPr>
        <w:t>)披露的相关文件。</w:t>
      </w:r>
    </w:p>
    <w:p>
      <w:pPr>
        <w:pStyle w:val="Style5"/>
        <w:keepNext w:val="0"/>
        <w:keepLines w:val="0"/>
        <w:widowControl w:val="0"/>
        <w:shd w:val="clear" w:color="auto" w:fill="auto"/>
        <w:bidi w:val="0"/>
        <w:spacing w:before="0" w:after="120" w:line="355" w:lineRule="exact"/>
        <w:ind w:left="0" w:right="0" w:firstLine="84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60" w:line="355" w:lineRule="exact"/>
        <w:ind w:left="0" w:right="0" w:firstLine="840"/>
        <w:jc w:val="left"/>
        <w:sectPr>
          <w:footnotePr>
            <w:pos w:val="pageBottom"/>
            <w:numFmt w:val="decimal"/>
            <w:numRestart w:val="continuous"/>
          </w:footnotePr>
          <w:pgSz w:w="11900" w:h="16840"/>
          <w:pgMar w:top="1498" w:right="563" w:bottom="1460" w:left="542" w:header="0" w:footer="3" w:gutter="0"/>
          <w:cols w:space="720"/>
          <w:noEndnote/>
          <w:rtlGutter w:val="0"/>
          <w:docGrid w:linePitch="360"/>
        </w:sectPr>
      </w:pPr>
      <w:r>
        <w:rPr>
          <w:color w:val="000000"/>
          <w:spacing w:val="0"/>
          <w:w w:val="100"/>
          <w:position w:val="0"/>
        </w:rPr>
        <w:t>内部控制审计报告意见类型：标准的无保留意见</w:t>
      </w:r>
    </w:p>
    <w:p>
      <w:pPr>
        <w:pStyle w:val="Style13"/>
        <w:keepNext/>
        <w:keepLines/>
        <w:widowControl w:val="0"/>
        <w:shd w:val="clear" w:color="auto" w:fill="auto"/>
        <w:bidi w:val="0"/>
        <w:spacing w:before="320" w:after="180" w:line="240" w:lineRule="auto"/>
        <w:ind w:left="0" w:right="0" w:firstLine="0"/>
        <w:jc w:val="center"/>
      </w:pPr>
      <w:bookmarkStart w:id="392" w:name="bookmark392"/>
      <w:bookmarkStart w:id="393" w:name="bookmark393"/>
      <w:bookmarkStart w:id="394" w:name="bookmark394"/>
      <w:r>
        <w:rPr>
          <w:color w:val="000000"/>
          <w:spacing w:val="0"/>
          <w:w w:val="100"/>
          <w:position w:val="0"/>
        </w:rPr>
        <w:t>第五节环境与社会责任</w:t>
      </w:r>
      <w:bookmarkEnd w:id="392"/>
      <w:bookmarkEnd w:id="393"/>
      <w:bookmarkEnd w:id="394"/>
    </w:p>
    <w:p>
      <w:pPr>
        <w:pStyle w:val="Style16"/>
        <w:keepNext/>
        <w:keepLines/>
        <w:widowControl w:val="0"/>
        <w:shd w:val="clear" w:color="auto" w:fill="auto"/>
        <w:tabs>
          <w:tab w:pos="1318" w:val="left"/>
        </w:tabs>
        <w:bidi w:val="0"/>
        <w:spacing w:before="0" w:after="0" w:line="361" w:lineRule="exact"/>
        <w:ind w:left="0" w:right="0" w:firstLine="840"/>
        <w:jc w:val="both"/>
      </w:pPr>
      <w:bookmarkStart w:id="395" w:name="bookmark395"/>
      <w:bookmarkStart w:id="396" w:name="bookmark396"/>
      <w:bookmarkStart w:id="397" w:name="bookmark397"/>
      <w:bookmarkStart w:id="398" w:name="bookmark398"/>
      <w:bookmarkStart w:id="399" w:name="bookmark399"/>
      <w:r>
        <w:rPr>
          <w:color w:val="000000"/>
          <w:spacing w:val="0"/>
          <w:w w:val="100"/>
          <w:position w:val="0"/>
        </w:rPr>
        <w:t>一</w:t>
      </w:r>
      <w:bookmarkEnd w:id="398"/>
      <w:r>
        <w:rPr>
          <w:color w:val="000000"/>
          <w:spacing w:val="0"/>
          <w:w w:val="100"/>
          <w:position w:val="0"/>
        </w:rPr>
        <w:t>、</w:t>
        <w:tab/>
        <w:t>环境信息情况</w:t>
      </w:r>
      <w:bookmarkEnd w:id="396"/>
      <w:bookmarkEnd w:id="397"/>
      <w:bookmarkEnd w:id="399"/>
      <w:bookmarkEnd w:id="395"/>
    </w:p>
    <w:p>
      <w:pPr>
        <w:pStyle w:val="Style16"/>
        <w:keepNext/>
        <w:keepLines/>
        <w:widowControl w:val="0"/>
        <w:shd w:val="clear" w:color="auto" w:fill="auto"/>
        <w:tabs>
          <w:tab w:pos="1381" w:val="left"/>
        </w:tabs>
        <w:bidi w:val="0"/>
        <w:spacing w:before="0" w:after="0" w:line="361" w:lineRule="exact"/>
        <w:ind w:left="0" w:right="0" w:firstLine="840"/>
        <w:jc w:val="left"/>
      </w:pPr>
      <w:bookmarkStart w:id="396" w:name="bookmark396"/>
      <w:bookmarkStart w:id="397" w:name="bookmark397"/>
      <w:bookmarkStart w:id="400" w:name="bookmark400"/>
      <w:bookmarkStart w:id="401" w:name="bookmark401"/>
      <w:r>
        <w:rPr>
          <w:color w:val="000000"/>
          <w:spacing w:val="0"/>
          <w:w w:val="100"/>
          <w:position w:val="0"/>
        </w:rPr>
        <w:t>（</w:t>
      </w:r>
      <w:bookmarkEnd w:id="400"/>
      <w:r>
        <w:rPr>
          <w:color w:val="000000"/>
          <w:spacing w:val="0"/>
          <w:w w:val="100"/>
          <w:position w:val="0"/>
        </w:rPr>
        <w:t>一）</w:t>
        <w:tab/>
        <w:t>属于环境保护部门公布的重点排污单位的公司及其主要子公司的环保情况说明</w:t>
      </w:r>
      <w:bookmarkEnd w:id="396"/>
      <w:bookmarkEnd w:id="397"/>
      <w:bookmarkEnd w:id="401"/>
    </w:p>
    <w:p>
      <w:pPr>
        <w:pStyle w:val="Style5"/>
        <w:keepNext w:val="0"/>
        <w:keepLines w:val="0"/>
        <w:widowControl w:val="0"/>
        <w:shd w:val="clear" w:color="auto" w:fill="auto"/>
        <w:bidi w:val="0"/>
        <w:spacing w:before="0" w:after="240" w:line="361" w:lineRule="exact"/>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381" w:val="left"/>
        </w:tabs>
        <w:bidi w:val="0"/>
        <w:spacing w:before="0" w:after="0" w:line="361" w:lineRule="exact"/>
        <w:ind w:left="0" w:right="0" w:firstLine="84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color w:val="000000"/>
          <w:spacing w:val="0"/>
          <w:w w:val="100"/>
          <w:position w:val="0"/>
        </w:rPr>
        <w:t>二）</w:t>
        <w:tab/>
        <w:t>重点排污单位之外的公司环保情况说明</w:t>
      </w:r>
      <w:bookmarkEnd w:id="402"/>
      <w:bookmarkEnd w:id="403"/>
      <w:bookmarkEnd w:id="405"/>
    </w:p>
    <w:p>
      <w:pPr>
        <w:pStyle w:val="Style5"/>
        <w:keepNext w:val="0"/>
        <w:keepLines w:val="0"/>
        <w:widowControl w:val="0"/>
        <w:shd w:val="clear" w:color="auto" w:fill="auto"/>
        <w:bidi w:val="0"/>
        <w:spacing w:before="0" w:after="240" w:line="361" w:lineRule="exact"/>
        <w:ind w:left="0" w:right="0" w:firstLine="840"/>
        <w:jc w:val="left"/>
      </w:pPr>
      <w:r>
        <w:rPr>
          <w:color w:val="000000"/>
          <w:spacing w:val="0"/>
          <w:w w:val="100"/>
          <w:position w:val="0"/>
        </w:rPr>
        <w:t>"适用口不适用</w:t>
      </w:r>
    </w:p>
    <w:p>
      <w:pPr>
        <w:pStyle w:val="Style16"/>
        <w:keepNext/>
        <w:keepLines/>
        <w:widowControl w:val="0"/>
        <w:numPr>
          <w:ilvl w:val="0"/>
          <w:numId w:val="37"/>
        </w:numPr>
        <w:shd w:val="clear" w:color="auto" w:fill="auto"/>
        <w:tabs>
          <w:tab w:pos="1274" w:val="left"/>
        </w:tabs>
        <w:bidi w:val="0"/>
        <w:spacing w:before="0" w:after="0" w:line="361" w:lineRule="exact"/>
        <w:ind w:left="0" w:right="0" w:firstLine="840"/>
        <w:jc w:val="left"/>
      </w:pPr>
      <w:bookmarkStart w:id="406" w:name="bookmark406"/>
      <w:bookmarkStart w:id="407" w:name="bookmark407"/>
      <w:bookmarkStart w:id="408" w:name="bookmark408"/>
      <w:bookmarkStart w:id="409" w:name="bookmark409"/>
      <w:bookmarkEnd w:id="408"/>
      <w:r>
        <w:rPr>
          <w:color w:val="000000"/>
          <w:spacing w:val="0"/>
          <w:w w:val="100"/>
          <w:position w:val="0"/>
        </w:rPr>
        <w:t>因环境问题受到行政处罚的情况</w:t>
      </w:r>
      <w:bookmarkEnd w:id="406"/>
      <w:bookmarkEnd w:id="407"/>
      <w:bookmarkEnd w:id="409"/>
    </w:p>
    <w:p>
      <w:pPr>
        <w:pStyle w:val="Style5"/>
        <w:keepNext w:val="0"/>
        <w:keepLines w:val="0"/>
        <w:widowControl w:val="0"/>
        <w:shd w:val="clear" w:color="auto" w:fill="auto"/>
        <w:bidi w:val="0"/>
        <w:spacing w:before="0" w:after="0" w:line="361" w:lineRule="exact"/>
        <w:ind w:left="0" w:right="0" w:firstLine="8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numPr>
          <w:ilvl w:val="0"/>
          <w:numId w:val="37"/>
        </w:numPr>
        <w:shd w:val="clear" w:color="auto" w:fill="auto"/>
        <w:tabs>
          <w:tab w:pos="1274" w:val="left"/>
        </w:tabs>
        <w:bidi w:val="0"/>
        <w:spacing w:before="0" w:after="0" w:line="361" w:lineRule="exact"/>
        <w:ind w:left="0" w:right="0" w:firstLine="840"/>
        <w:jc w:val="left"/>
      </w:pPr>
      <w:bookmarkStart w:id="410" w:name="bookmark410"/>
      <w:bookmarkStart w:id="411" w:name="bookmark411"/>
      <w:bookmarkStart w:id="412" w:name="bookmark412"/>
      <w:bookmarkStart w:id="413" w:name="bookmark413"/>
      <w:bookmarkEnd w:id="412"/>
      <w:r>
        <w:rPr>
          <w:color w:val="000000"/>
          <w:spacing w:val="0"/>
          <w:w w:val="100"/>
          <w:position w:val="0"/>
        </w:rPr>
        <w:t>参照重点排污单位披露其他环境信息</w:t>
      </w:r>
      <w:bookmarkEnd w:id="410"/>
      <w:bookmarkEnd w:id="411"/>
      <w:bookmarkEnd w:id="413"/>
    </w:p>
    <w:p>
      <w:pPr>
        <w:pStyle w:val="Style5"/>
        <w:keepNext w:val="0"/>
        <w:keepLines w:val="0"/>
        <w:widowControl w:val="0"/>
        <w:shd w:val="clear" w:color="auto" w:fill="auto"/>
        <w:bidi w:val="0"/>
        <w:spacing w:before="0" w:after="240" w:line="361" w:lineRule="exact"/>
        <w:ind w:left="0" w:right="0" w:firstLine="840"/>
        <w:jc w:val="left"/>
      </w:pPr>
      <w:r>
        <w:rPr>
          <w:color w:val="000000"/>
          <w:spacing w:val="0"/>
          <w:w w:val="100"/>
          <w:position w:val="0"/>
        </w:rPr>
        <w:t>公司积极采取措施，保护环境，按照相关管理要求，组织燃煤锅炉改造等工作。</w:t>
      </w:r>
    </w:p>
    <w:p>
      <w:pPr>
        <w:pStyle w:val="Style16"/>
        <w:keepNext/>
        <w:keepLines/>
        <w:widowControl w:val="0"/>
        <w:shd w:val="clear" w:color="auto" w:fill="auto"/>
        <w:tabs>
          <w:tab w:pos="1381" w:val="left"/>
        </w:tabs>
        <w:bidi w:val="0"/>
        <w:spacing w:before="0" w:line="361" w:lineRule="exact"/>
        <w:ind w:left="0" w:right="0" w:firstLine="84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color w:val="000000"/>
          <w:spacing w:val="0"/>
          <w:w w:val="100"/>
          <w:position w:val="0"/>
        </w:rPr>
        <w:t>三）</w:t>
        <w:tab/>
        <w:t>有利于保护生态、防治污染、履行环境责任的相关信息</w:t>
      </w:r>
      <w:bookmarkEnd w:id="414"/>
      <w:bookmarkEnd w:id="415"/>
      <w:bookmarkEnd w:id="417"/>
    </w:p>
    <w:p>
      <w:pPr>
        <w:pStyle w:val="Style5"/>
        <w:keepNext w:val="0"/>
        <w:keepLines w:val="0"/>
        <w:widowControl w:val="0"/>
        <w:shd w:val="clear" w:color="auto" w:fill="auto"/>
        <w:bidi w:val="0"/>
        <w:spacing w:before="0" w:after="440" w:line="361" w:lineRule="exact"/>
        <w:ind w:left="840" w:right="0" w:firstLine="420"/>
        <w:jc w:val="both"/>
      </w:pPr>
      <w:r>
        <w:rPr>
          <w:color w:val="000000"/>
          <w:spacing w:val="0"/>
          <w:w w:val="100"/>
          <w:position w:val="0"/>
        </w:rPr>
        <w:t>中国联通积极致力于技术引领、创新驱动节能减碳，推动通信网络向绿色、高效、智能化方向可 持续发展。基于人工智能、大数据等创新技术研发的“</w:t>
      </w:r>
      <w:r>
        <w:rPr>
          <w:rFonts w:ascii="Times New Roman" w:eastAsia="Times New Roman" w:hAnsi="Times New Roman" w:cs="Times New Roman"/>
          <w:color w:val="000000"/>
          <w:spacing w:val="0"/>
          <w:w w:val="100"/>
          <w:position w:val="0"/>
        </w:rPr>
        <w:t>4G/5G</w:t>
      </w:r>
      <w:r>
        <w:rPr>
          <w:color w:val="000000"/>
          <w:spacing w:val="0"/>
          <w:w w:val="100"/>
          <w:position w:val="0"/>
        </w:rPr>
        <w:t>协同智能节能管理''项目，实现多制式 网络智能协同、</w:t>
      </w:r>
      <w:r>
        <w:rPr>
          <w:rFonts w:ascii="Times New Roman" w:eastAsia="Times New Roman" w:hAnsi="Times New Roman" w:cs="Times New Roman"/>
          <w:color w:val="000000"/>
          <w:spacing w:val="0"/>
          <w:w w:val="100"/>
          <w:position w:val="0"/>
        </w:rPr>
        <w:t>“</w:t>
      </w:r>
      <w:r>
        <w:rPr>
          <w:color w:val="000000"/>
          <w:spacing w:val="0"/>
          <w:w w:val="100"/>
          <w:position w:val="0"/>
        </w:rPr>
        <w:t>一站一策''差异化节能调度，可降低移动基站能耗，本项目荣获国际电联信息社会世 界峰会</w:t>
      </w:r>
      <w:r>
        <w:rPr>
          <w:rFonts w:ascii="Times New Roman" w:eastAsia="Times New Roman" w:hAnsi="Times New Roman" w:cs="Times New Roman"/>
          <w:color w:val="000000"/>
          <w:spacing w:val="0"/>
          <w:w w:val="100"/>
          <w:position w:val="0"/>
        </w:rPr>
        <w:t>WSIS ICT</w:t>
      </w:r>
      <w:r>
        <w:rPr>
          <w:color w:val="000000"/>
          <w:spacing w:val="0"/>
          <w:w w:val="100"/>
          <w:position w:val="0"/>
        </w:rPr>
        <w:t>电子环境组冠军奖。自主研发并获得国家实用新型专利的智能双循环（氟泵）多联 模块化机房空调系统，与传统系统相比，全年节能率达</w:t>
      </w:r>
      <w:r>
        <w:rPr>
          <w:rFonts w:ascii="Times New Roman" w:eastAsia="Times New Roman" w:hAnsi="Times New Roman" w:cs="Times New Roman"/>
          <w:color w:val="000000"/>
          <w:spacing w:val="0"/>
          <w:w w:val="100"/>
          <w:position w:val="0"/>
        </w:rPr>
        <w:t>50%</w:t>
      </w:r>
      <w:r>
        <w:rPr>
          <w:color w:val="000000"/>
          <w:spacing w:val="0"/>
          <w:w w:val="100"/>
          <w:position w:val="0"/>
        </w:rPr>
        <w:t>以上，并可节约空调设备占地面积，为</w:t>
      </w:r>
      <w:r>
        <w:rPr>
          <w:rFonts w:ascii="Times New Roman" w:eastAsia="Times New Roman" w:hAnsi="Times New Roman" w:cs="Times New Roman"/>
          <w:color w:val="000000"/>
          <w:spacing w:val="0"/>
          <w:w w:val="100"/>
          <w:position w:val="0"/>
        </w:rPr>
        <w:t xml:space="preserve">IDC </w:t>
      </w:r>
      <w:r>
        <w:rPr>
          <w:color w:val="000000"/>
          <w:spacing w:val="0"/>
          <w:w w:val="100"/>
          <w:position w:val="0"/>
        </w:rPr>
        <w:t>机房提供了制冷系统绿色解决方案。</w:t>
      </w:r>
    </w:p>
    <w:p>
      <w:pPr>
        <w:pStyle w:val="Style16"/>
        <w:keepNext/>
        <w:keepLines/>
        <w:widowControl w:val="0"/>
        <w:shd w:val="clear" w:color="auto" w:fill="auto"/>
        <w:tabs>
          <w:tab w:pos="1381" w:val="left"/>
        </w:tabs>
        <w:bidi w:val="0"/>
        <w:spacing w:before="0" w:after="0" w:line="361" w:lineRule="exact"/>
        <w:ind w:left="0" w:right="0" w:firstLine="84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color w:val="000000"/>
          <w:spacing w:val="0"/>
          <w:w w:val="100"/>
          <w:position w:val="0"/>
        </w:rPr>
        <w:t>四）</w:t>
        <w:tab/>
        <w:t>在报告期内为减少其碳排放所采取的措施及效果</w:t>
      </w:r>
      <w:bookmarkEnd w:id="418"/>
      <w:bookmarkEnd w:id="419"/>
      <w:bookmarkEnd w:id="421"/>
    </w:p>
    <w:p>
      <w:pPr>
        <w:pStyle w:val="Style5"/>
        <w:keepNext w:val="0"/>
        <w:keepLines w:val="0"/>
        <w:widowControl w:val="0"/>
        <w:shd w:val="clear" w:color="auto" w:fill="auto"/>
        <w:bidi w:val="0"/>
        <w:spacing w:before="0" w:after="360" w:line="360" w:lineRule="exact"/>
        <w:ind w:left="840" w:right="0" w:firstLine="420"/>
        <w:jc w:val="left"/>
      </w:pPr>
      <w:r>
        <w:rPr>
          <w:color w:val="000000"/>
          <w:spacing w:val="0"/>
          <w:w w:val="100"/>
          <w:position w:val="0"/>
        </w:rPr>
        <w:t xml:space="preserve">贯彻落实国家碳达峰碳中和战略，发布中国联通“碳达峰、碳中和”十四五行动计划，实施 </w:t>
      </w:r>
      <w:r>
        <w:rPr>
          <w:color w:val="000000"/>
          <w:spacing w:val="0"/>
          <w:w w:val="100"/>
          <w:position w:val="0"/>
        </w:rPr>
        <w:t>“</w:t>
      </w:r>
      <w:r>
        <w:rPr>
          <w:rFonts w:ascii="Times New Roman" w:eastAsia="Times New Roman" w:hAnsi="Times New Roman" w:cs="Times New Roman"/>
          <w:color w:val="000000"/>
          <w:spacing w:val="0"/>
          <w:w w:val="100"/>
          <w:position w:val="0"/>
        </w:rPr>
        <w:t>3+5+1+1”</w:t>
      </w:r>
      <w:r>
        <w:rPr>
          <w:color w:val="000000"/>
          <w:spacing w:val="0"/>
          <w:w w:val="100"/>
          <w:position w:val="0"/>
        </w:rPr>
        <w:t>行动计划。</w:t>
      </w:r>
      <w:r>
        <w:rPr>
          <w:rFonts w:ascii="Times New Roman" w:eastAsia="Times New Roman" w:hAnsi="Times New Roman" w:cs="Times New Roman"/>
          <w:color w:val="000000"/>
          <w:spacing w:val="0"/>
          <w:w w:val="100"/>
          <w:position w:val="0"/>
        </w:rPr>
        <w:t>“3”</w:t>
      </w:r>
      <w:r>
        <w:rPr>
          <w:color w:val="000000"/>
          <w:spacing w:val="0"/>
          <w:w w:val="100"/>
          <w:position w:val="0"/>
        </w:rPr>
        <w:t>是指围绕低碳循环发展，建立健全碳数据、碳足迹和能源交易</w:t>
      </w:r>
      <w:r>
        <w:rPr>
          <w:rFonts w:ascii="Times New Roman" w:eastAsia="Times New Roman" w:hAnsi="Times New Roman" w:cs="Times New Roman"/>
          <w:color w:val="000000"/>
          <w:spacing w:val="0"/>
          <w:w w:val="100"/>
          <w:position w:val="0"/>
        </w:rPr>
        <w:t>3</w:t>
      </w:r>
      <w:r>
        <w:rPr>
          <w:color w:val="000000"/>
          <w:spacing w:val="0"/>
          <w:w w:val="100"/>
          <w:position w:val="0"/>
        </w:rPr>
        <w:t>大管理体 系。</w:t>
      </w:r>
      <w:r>
        <w:rPr>
          <w:rFonts w:ascii="Times New Roman" w:eastAsia="Times New Roman" w:hAnsi="Times New Roman" w:cs="Times New Roman"/>
          <w:color w:val="000000"/>
          <w:spacing w:val="0"/>
          <w:w w:val="100"/>
          <w:position w:val="0"/>
        </w:rPr>
        <w:t>“5”</w:t>
      </w:r>
      <w:r>
        <w:rPr>
          <w:color w:val="000000"/>
          <w:spacing w:val="0"/>
          <w:w w:val="100"/>
          <w:position w:val="0"/>
        </w:rPr>
        <w:t>是聚焦移动基站、数据中心、通信机房、网络精简优化、智慧能源管理</w:t>
      </w:r>
      <w:r>
        <w:rPr>
          <w:rFonts w:ascii="Times New Roman" w:eastAsia="Times New Roman" w:hAnsi="Times New Roman" w:cs="Times New Roman"/>
          <w:color w:val="000000"/>
          <w:spacing w:val="0"/>
          <w:w w:val="100"/>
          <w:position w:val="0"/>
        </w:rPr>
        <w:t>5</w:t>
      </w:r>
      <w:r>
        <w:rPr>
          <w:color w:val="000000"/>
          <w:spacing w:val="0"/>
          <w:w w:val="100"/>
          <w:position w:val="0"/>
        </w:rPr>
        <w:t>大绿色发展方向。</w:t>
      </w:r>
      <w:r>
        <w:rPr>
          <w:rFonts w:ascii="Times New Roman" w:eastAsia="Times New Roman" w:hAnsi="Times New Roman" w:cs="Times New Roman"/>
          <w:color w:val="000000"/>
          <w:spacing w:val="0"/>
          <w:w w:val="100"/>
          <w:position w:val="0"/>
        </w:rPr>
        <w:t xml:space="preserve">“1” </w:t>
      </w:r>
      <w:r>
        <w:rPr>
          <w:color w:val="000000"/>
          <w:spacing w:val="0"/>
          <w:w w:val="100"/>
          <w:position w:val="0"/>
        </w:rPr>
        <w:t>是深化拓展共建共享。最后一个</w:t>
      </w:r>
      <w:r>
        <w:rPr>
          <w:rFonts w:ascii="Times New Roman" w:eastAsia="Times New Roman" w:hAnsi="Times New Roman" w:cs="Times New Roman"/>
          <w:color w:val="000000"/>
          <w:spacing w:val="0"/>
          <w:w w:val="100"/>
          <w:position w:val="0"/>
        </w:rPr>
        <w:t>“1”</w:t>
      </w:r>
      <w:r>
        <w:rPr>
          <w:color w:val="000000"/>
          <w:spacing w:val="0"/>
          <w:w w:val="100"/>
          <w:position w:val="0"/>
        </w:rPr>
        <w:t>是数字赋能行业应用，助力千行百业节能降碳。</w:t>
      </w:r>
    </w:p>
    <w:p>
      <w:pPr>
        <w:pStyle w:val="Style16"/>
        <w:keepNext/>
        <w:keepLines/>
        <w:widowControl w:val="0"/>
        <w:shd w:val="clear" w:color="auto" w:fill="auto"/>
        <w:tabs>
          <w:tab w:pos="1318" w:val="left"/>
        </w:tabs>
        <w:bidi w:val="0"/>
        <w:spacing w:before="0" w:after="0" w:line="361" w:lineRule="exact"/>
        <w:ind w:left="0" w:right="0" w:firstLine="840"/>
        <w:jc w:val="left"/>
      </w:pPr>
      <w:bookmarkStart w:id="422" w:name="bookmark422"/>
      <w:bookmarkStart w:id="423" w:name="bookmark423"/>
      <w:bookmarkStart w:id="424" w:name="bookmark424"/>
      <w:bookmarkStart w:id="425" w:name="bookmark425"/>
      <w:r>
        <w:rPr>
          <w:color w:val="000000"/>
          <w:spacing w:val="0"/>
          <w:w w:val="100"/>
          <w:position w:val="0"/>
        </w:rPr>
        <w:t>二</w:t>
      </w:r>
      <w:bookmarkEnd w:id="424"/>
      <w:r>
        <w:rPr>
          <w:color w:val="000000"/>
          <w:spacing w:val="0"/>
          <w:w w:val="100"/>
          <w:position w:val="0"/>
        </w:rPr>
        <w:t>、</w:t>
        <w:tab/>
        <w:t>社会责任工作情况</w:t>
      </w:r>
      <w:bookmarkEnd w:id="422"/>
      <w:bookmarkEnd w:id="423"/>
      <w:bookmarkEnd w:id="425"/>
    </w:p>
    <w:p>
      <w:pPr>
        <w:pStyle w:val="Style5"/>
        <w:keepNext w:val="0"/>
        <w:keepLines w:val="0"/>
        <w:widowControl w:val="0"/>
        <w:shd w:val="clear" w:color="auto" w:fill="auto"/>
        <w:bidi w:val="0"/>
        <w:spacing w:before="0" w:after="0" w:line="361" w:lineRule="exact"/>
        <w:ind w:left="1260" w:right="0" w:firstLine="0"/>
        <w:jc w:val="left"/>
      </w:pPr>
      <w:r>
        <w:rPr>
          <w:color w:val="000000"/>
          <w:spacing w:val="0"/>
          <w:w w:val="100"/>
          <w:position w:val="0"/>
        </w:rPr>
        <w:t>详见本公司与本报告同日在上海证券交易所（</w:t>
      </w:r>
      <w:r>
        <w:rPr>
          <w:rFonts w:ascii="Times New Roman" w:eastAsia="Times New Roman" w:hAnsi="Times New Roman" w:cs="Times New Roman"/>
          <w:color w:val="000000"/>
          <w:spacing w:val="0"/>
          <w:w w:val="100"/>
          <w:position w:val="0"/>
        </w:rPr>
        <w:t>www.sse.com.cn</w:t>
      </w:r>
      <w:r>
        <w:rPr>
          <w:color w:val="000000"/>
          <w:spacing w:val="0"/>
          <w:w w:val="100"/>
          <w:position w:val="0"/>
        </w:rPr>
        <w:t>）和本公司网站</w:t>
      </w:r>
    </w:p>
    <w:p>
      <w:pPr>
        <w:pStyle w:val="Style5"/>
        <w:keepNext w:val="0"/>
        <w:keepLines w:val="0"/>
        <w:widowControl w:val="0"/>
        <w:shd w:val="clear" w:color="auto" w:fill="auto"/>
        <w:bidi w:val="0"/>
        <w:spacing w:before="0" w:after="360" w:line="361" w:lineRule="exact"/>
        <w:ind w:left="0" w:right="0" w:firstLine="840"/>
        <w:jc w:val="left"/>
      </w:pPr>
      <w:r>
        <w:rPr>
          <w:color w:val="000000"/>
          <w:spacing w:val="0"/>
          <w:w w:val="100"/>
          <w:position w:val="0"/>
        </w:rPr>
        <w:t>（</w:t>
      </w:r>
      <w:r>
        <w:rPr>
          <w:rFonts w:ascii="Times New Roman" w:eastAsia="Times New Roman" w:hAnsi="Times New Roman" w:cs="Times New Roman"/>
          <w:color w:val="000000"/>
          <w:spacing w:val="0"/>
          <w:w w:val="100"/>
          <w:position w:val="0"/>
        </w:rPr>
        <w:t>www.chinaunicom-a.com</w:t>
      </w:r>
      <w:r>
        <w:rPr>
          <w:color w:val="000000"/>
          <w:spacing w:val="0"/>
          <w:w w:val="100"/>
          <w:position w:val="0"/>
        </w:rPr>
        <w:t>）披露的《中国联合网络通信股份有限公司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年度可持续发展报告》。</w:t>
      </w:r>
    </w:p>
    <w:p>
      <w:pPr>
        <w:pStyle w:val="Style16"/>
        <w:keepNext/>
        <w:keepLines/>
        <w:widowControl w:val="0"/>
        <w:shd w:val="clear" w:color="auto" w:fill="auto"/>
        <w:tabs>
          <w:tab w:pos="1323" w:val="left"/>
        </w:tabs>
        <w:bidi w:val="0"/>
        <w:spacing w:before="0" w:line="361" w:lineRule="exact"/>
        <w:ind w:left="0" w:right="0" w:firstLine="840"/>
        <w:jc w:val="left"/>
      </w:pPr>
      <w:bookmarkStart w:id="426" w:name="bookmark426"/>
      <w:bookmarkStart w:id="427" w:name="bookmark427"/>
      <w:bookmarkStart w:id="428" w:name="bookmark428"/>
      <w:bookmarkStart w:id="429" w:name="bookmark429"/>
      <w:r>
        <w:rPr>
          <w:color w:val="000000"/>
          <w:spacing w:val="0"/>
          <w:w w:val="100"/>
          <w:position w:val="0"/>
        </w:rPr>
        <w:t>三</w:t>
      </w:r>
      <w:bookmarkEnd w:id="428"/>
      <w:r>
        <w:rPr>
          <w:color w:val="000000"/>
          <w:spacing w:val="0"/>
          <w:w w:val="100"/>
          <w:position w:val="0"/>
        </w:rPr>
        <w:t>、</w:t>
        <w:tab/>
        <w:t>巩固拓展脱贫攻坚成果、乡村振兴等工作具体情况</w:t>
      </w:r>
      <w:bookmarkEnd w:id="426"/>
      <w:bookmarkEnd w:id="427"/>
      <w:bookmarkEnd w:id="429"/>
    </w:p>
    <w:p>
      <w:pPr>
        <w:pStyle w:val="Style5"/>
        <w:keepNext w:val="0"/>
        <w:keepLines w:val="0"/>
        <w:widowControl w:val="0"/>
        <w:shd w:val="clear" w:color="auto" w:fill="auto"/>
        <w:bidi w:val="0"/>
        <w:spacing w:before="0" w:line="360" w:lineRule="exact"/>
        <w:ind w:left="840" w:right="0" w:firstLine="420"/>
        <w:jc w:val="both"/>
      </w:pPr>
      <w:r>
        <w:rPr>
          <w:color w:val="000000"/>
          <w:spacing w:val="0"/>
          <w:w w:val="100"/>
          <w:position w:val="0"/>
        </w:rPr>
        <w:t>在全国脱贫攻坚总结表彰大会上，中国联通扶贫攻坚与对口援藏工作领导小组办公室被党中央、 国务院授予“全国脱贫攻坚先进集体”。</w:t>
      </w:r>
    </w:p>
    <w:p>
      <w:pPr>
        <w:pStyle w:val="Style5"/>
        <w:keepNext w:val="0"/>
        <w:keepLines w:val="0"/>
        <w:widowControl w:val="0"/>
        <w:shd w:val="clear" w:color="auto" w:fill="auto"/>
        <w:bidi w:val="0"/>
        <w:spacing w:before="0" w:line="370" w:lineRule="exact"/>
        <w:ind w:left="840" w:right="0" w:firstLine="420"/>
        <w:jc w:val="both"/>
      </w:pPr>
      <w:r>
        <w:rPr>
          <w:color w:val="000000"/>
          <w:spacing w:val="0"/>
          <w:w w:val="100"/>
          <w:position w:val="0"/>
        </w:rPr>
        <w:t>2022</w:t>
      </w:r>
      <w:r>
        <w:rPr>
          <w:color w:val="000000"/>
          <w:spacing w:val="0"/>
          <w:w w:val="100"/>
          <w:position w:val="0"/>
        </w:rPr>
        <w:t xml:space="preserve">年是巩固拓展脱贫攻坚成果同乡村振兴有效衔接的第一年。中国联通在全面完成脱贫攻坚目 标任务的基础上，进一步提高政治站位，强化思想认识，主动担当作为，履行央企责任，保持主要帮 </w:t>
      </w:r>
      <w:r>
        <w:rPr>
          <w:color w:val="000000"/>
          <w:spacing w:val="0"/>
          <w:w w:val="100"/>
          <w:position w:val="0"/>
        </w:rPr>
        <w:t>扶政策总体稳定，坚持“四个不摘”要求，做好六项衔接，助力脱贫地区</w:t>
      </w:r>
      <w:r>
        <w:rPr>
          <w:color w:val="222222"/>
          <w:spacing w:val="0"/>
          <w:w w:val="100"/>
          <w:position w:val="0"/>
        </w:rPr>
        <w:t>巩固拓展脱贫攻坚成果，推 进乡村振兴。</w:t>
      </w:r>
    </w:p>
    <w:p>
      <w:pPr>
        <w:pStyle w:val="Style5"/>
        <w:keepNext w:val="0"/>
        <w:keepLines w:val="0"/>
        <w:widowControl w:val="0"/>
        <w:shd w:val="clear" w:color="auto" w:fill="auto"/>
        <w:bidi w:val="0"/>
        <w:spacing w:before="0" w:line="360" w:lineRule="exact"/>
        <w:ind w:left="840" w:right="0" w:firstLine="420"/>
        <w:jc w:val="both"/>
      </w:pPr>
      <w:r>
        <w:rPr>
          <w:color w:val="000000"/>
          <w:spacing w:val="0"/>
          <w:w w:val="100"/>
          <w:position w:val="0"/>
        </w:rPr>
        <w:t>一是做好思想衔接。深入学习领会习近平总书记重要讲话精神的丰富内涵，深刻理解党中央和上 级主管单位关于乡村振兴的政策要求，就继续做好定点帮扶工作做出全面部署。二是做好组织衔接。 集团公司和各省级分公司均成立乡村振兴工作领导小组和办公室，统一领导协调助力乡村振兴工作。 三是做好帮扶干部衔接。集团公司完成</w:t>
      </w:r>
      <w:r>
        <w:rPr>
          <w:color w:val="000000"/>
          <w:spacing w:val="0"/>
          <w:w w:val="100"/>
          <w:position w:val="0"/>
        </w:rPr>
        <w:t>4</w:t>
      </w:r>
      <w:r>
        <w:rPr>
          <w:color w:val="000000"/>
          <w:spacing w:val="0"/>
          <w:w w:val="100"/>
          <w:position w:val="0"/>
        </w:rPr>
        <w:t>个定点帮扶县的挂职干部轮换。所属各级单位按照地方党委、 政府要求，完成</w:t>
      </w:r>
      <w:r>
        <w:rPr>
          <w:color w:val="000000"/>
          <w:spacing w:val="0"/>
          <w:w w:val="100"/>
          <w:position w:val="0"/>
        </w:rPr>
        <w:t>1500</w:t>
      </w:r>
      <w:r>
        <w:rPr>
          <w:color w:val="000000"/>
          <w:spacing w:val="0"/>
          <w:w w:val="100"/>
          <w:position w:val="0"/>
        </w:rPr>
        <w:t>余名驻村第一书记和驻村工作队员的轮换，做到压茬交接，不留空挡。四是做 好政策衔接。出台《关于做好中国联通助力乡村振兴工作的实施意见》，将定点帮扶工作纳入公司“十 四五”规划。修订、完善帮扶资金管理、帮扶干部管理等多项政策制度，为助力乡村振兴做好定点帮 扶工作提供政策保障。五是做好项目衔接。聚焦乡村五大振兴和巩固脱贫成果，精准安排项目，确保 帮扶实效。六是做好考核衔接。把消费帮扶、数字乡村建设等重要工作纳入各省级分公司党建考核内 容，设定考核指标，压实责任，推动工作。</w:t>
      </w:r>
    </w:p>
    <w:p>
      <w:pPr>
        <w:pStyle w:val="Style5"/>
        <w:keepNext w:val="0"/>
        <w:keepLines w:val="0"/>
        <w:widowControl w:val="0"/>
        <w:shd w:val="clear" w:color="auto" w:fill="auto"/>
        <w:bidi w:val="0"/>
        <w:spacing w:before="0" w:line="358" w:lineRule="exact"/>
        <w:ind w:left="840" w:right="0" w:firstLine="420"/>
        <w:jc w:val="both"/>
        <w:sectPr>
          <w:footnotePr>
            <w:pos w:val="pageBottom"/>
            <w:numFmt w:val="decimal"/>
            <w:numRestart w:val="continuous"/>
          </w:footnotePr>
          <w:pgSz w:w="11900" w:h="16840"/>
          <w:pgMar w:top="1484" w:right="692" w:bottom="1714" w:left="558" w:header="0" w:footer="3" w:gutter="0"/>
          <w:cols w:space="720"/>
          <w:noEndnote/>
          <w:rtlGutter w:val="0"/>
          <w:docGrid w:linePitch="360"/>
        </w:sectPr>
      </w:pPr>
      <w:r>
        <w:rPr>
          <w:color w:val="000000"/>
          <w:spacing w:val="0"/>
          <w:w w:val="100"/>
          <w:position w:val="0"/>
        </w:rPr>
        <w:t>牢牢把握全面推进乡村振兴的战略方向，发挥中国联通网络强国、数字中国的“国家队” “主力 军”作用，用具体行动和务实举措加快“数字乡村”建设，为助力乡村全面振兴履行联通责任、贡献 联通方案、彰显联通力量。召开“中国联通数字乡村推进会”，正式推出数字乡村云平台和数字乡村 品牌，并发布《中国联通数字乡村白皮书》和数字乡村产品手册。打造中国联通在乡村振兴中的信息 化先导优势，将数字乡村建设作为全面数字化转型的重要方面，推进城乡网络一体化，构建数字乡村 云服务平台和大数据平台，全面服务乡村经济社会发展。目前，“数字乡村”在全国累计服务行政村 已超</w:t>
      </w:r>
      <w:r>
        <w:rPr>
          <w:color w:val="000000"/>
          <w:spacing w:val="0"/>
          <w:w w:val="100"/>
          <w:position w:val="0"/>
        </w:rPr>
        <w:t>15</w:t>
      </w:r>
      <w:r>
        <w:rPr>
          <w:color w:val="000000"/>
          <w:spacing w:val="0"/>
          <w:w w:val="100"/>
          <w:position w:val="0"/>
        </w:rPr>
        <w:t>万个。</w:t>
      </w:r>
    </w:p>
    <w:p>
      <w:pPr>
        <w:pStyle w:val="Style13"/>
        <w:keepNext/>
        <w:keepLines/>
        <w:widowControl w:val="0"/>
        <w:shd w:val="clear" w:color="auto" w:fill="auto"/>
        <w:bidi w:val="0"/>
        <w:spacing w:before="0" w:after="260" w:line="240" w:lineRule="auto"/>
        <w:ind w:left="0" w:right="0" w:firstLine="0"/>
        <w:jc w:val="center"/>
      </w:pPr>
      <w:bookmarkStart w:id="430" w:name="bookmark430"/>
      <w:bookmarkStart w:id="431" w:name="bookmark431"/>
      <w:bookmarkStart w:id="432" w:name="bookmark432"/>
      <w:r>
        <w:rPr>
          <w:color w:val="000000"/>
          <w:spacing w:val="0"/>
          <w:w w:val="100"/>
          <w:position w:val="0"/>
        </w:rPr>
        <w:t>第六节重要事项</w:t>
      </w:r>
      <w:bookmarkEnd w:id="430"/>
      <w:bookmarkEnd w:id="431"/>
      <w:bookmarkEnd w:id="432"/>
    </w:p>
    <w:p>
      <w:pPr>
        <w:pStyle w:val="Style25"/>
        <w:keepNext w:val="0"/>
        <w:keepLines w:val="0"/>
        <w:widowControl w:val="0"/>
        <w:shd w:val="clear" w:color="auto" w:fill="auto"/>
        <w:bidi w:val="0"/>
        <w:spacing w:before="0" w:after="80" w:line="240" w:lineRule="auto"/>
        <w:ind w:left="557" w:right="0" w:firstLine="0"/>
        <w:jc w:val="left"/>
      </w:pPr>
      <w:bookmarkStart w:id="433" w:name="bookmark433"/>
      <w:r>
        <w:rPr>
          <w:b/>
          <w:bCs/>
          <w:color w:val="000000"/>
          <w:spacing w:val="0"/>
          <w:w w:val="100"/>
          <w:position w:val="0"/>
        </w:rPr>
        <w:t>一、承诺事项履行情况</w:t>
      </w:r>
      <w:bookmarkEnd w:id="433"/>
    </w:p>
    <w:p>
      <w:pPr>
        <w:pStyle w:val="Style25"/>
        <w:keepNext w:val="0"/>
        <w:keepLines w:val="0"/>
        <w:widowControl w:val="0"/>
        <w:shd w:val="clear" w:color="auto" w:fill="auto"/>
        <w:bidi w:val="0"/>
        <w:spacing w:before="0" w:after="0" w:line="240" w:lineRule="auto"/>
        <w:ind w:left="557"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tbl>
      <w:tblPr>
        <w:tblOverlap w:val="never"/>
        <w:jc w:val="center"/>
        <w:tblLayout w:type="fixed"/>
      </w:tblPr>
      <w:tblGrid>
        <w:gridCol w:w="2098"/>
        <w:gridCol w:w="989"/>
        <w:gridCol w:w="994"/>
        <w:gridCol w:w="3197"/>
        <w:gridCol w:w="2050"/>
        <w:gridCol w:w="1133"/>
        <w:gridCol w:w="1258"/>
        <w:gridCol w:w="1728"/>
        <w:gridCol w:w="1363"/>
      </w:tblGrid>
      <w:tr>
        <w:trPr>
          <w:trHeight w:val="830"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类型</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承诺时间及期限</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是否有履 行期限</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是否及时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严格履行</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如未能及时履行 应说明未完成履 行的具体原因</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如未能及时</w:t>
            </w:r>
          </w:p>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履行应说明</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下一步计划</w:t>
            </w:r>
          </w:p>
        </w:tc>
      </w:tr>
      <w:tr>
        <w:trPr>
          <w:trHeight w:val="122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与股权激励相关的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left"/>
            </w:pPr>
            <w:r>
              <w:rPr>
                <w:color w:val="000000"/>
                <w:spacing w:val="0"/>
                <w:w w:val="100"/>
                <w:position w:val="0"/>
              </w:rPr>
              <w:t>不为激励对象依据股权激励方案 获得的有关权益提供贷款或任何 形式的财务资助，包括为其贷款 提供担保。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81" w:lineRule="exact"/>
              <w:ind w:left="0" w:right="0" w:firstLine="0"/>
              <w:jc w:val="left"/>
            </w:pPr>
            <w:r>
              <w:rPr>
                <w:color w:val="000000"/>
                <w:spacing w:val="0"/>
                <w:w w:val="100"/>
                <w:position w:val="0"/>
              </w:rPr>
              <w:t>承诺时间：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日承诺期限： 至承诺履行完毕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59" w:line="1" w:lineRule="exact"/>
      </w:pPr>
    </w:p>
    <w:p>
      <w:pPr>
        <w:pStyle w:val="Style16"/>
        <w:keepNext/>
        <w:keepLines/>
        <w:widowControl w:val="0"/>
        <w:shd w:val="clear" w:color="auto" w:fill="auto"/>
        <w:tabs>
          <w:tab w:pos="1086" w:val="left"/>
        </w:tabs>
        <w:bidi w:val="0"/>
        <w:spacing w:before="0" w:after="260" w:line="240" w:lineRule="auto"/>
        <w:ind w:left="0" w:right="0" w:firstLine="560"/>
        <w:jc w:val="left"/>
      </w:pPr>
      <w:bookmarkStart w:id="434" w:name="bookmark434"/>
      <w:bookmarkStart w:id="435" w:name="bookmark435"/>
      <w:bookmarkStart w:id="436" w:name="bookmark436"/>
      <w:bookmarkStart w:id="437" w:name="bookmark437"/>
      <w:r>
        <w:rPr>
          <w:rFonts w:ascii="Calibri" w:eastAsia="Calibri" w:hAnsi="Calibri" w:cs="Calibri"/>
          <w:color w:val="000000"/>
          <w:spacing w:val="0"/>
          <w:w w:val="100"/>
          <w:position w:val="0"/>
        </w:rPr>
        <w:t>（</w:t>
      </w:r>
      <w:bookmarkEnd w:id="43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公司资产或项目存在盈利预测，且报告期仍处在盈利预测期间，公司就资产或项目</w:t>
      </w:r>
      <w:bookmarkEnd w:id="434"/>
      <w:bookmarkEnd w:id="435"/>
      <w:bookmarkEnd w:id="437"/>
    </w:p>
    <w:p>
      <w:pPr>
        <w:pStyle w:val="Style16"/>
        <w:keepNext/>
        <w:keepLines/>
        <w:widowControl w:val="0"/>
        <w:shd w:val="clear" w:color="auto" w:fill="auto"/>
        <w:bidi w:val="0"/>
        <w:spacing w:before="0" w:after="0" w:line="240" w:lineRule="auto"/>
        <w:ind w:left="0" w:right="0" w:firstLine="560"/>
        <w:jc w:val="left"/>
      </w:pPr>
      <w:bookmarkStart w:id="434" w:name="bookmark434"/>
      <w:bookmarkStart w:id="435" w:name="bookmark435"/>
      <w:bookmarkStart w:id="438" w:name="bookmark438"/>
      <w:r>
        <w:rPr>
          <w:color w:val="000000"/>
          <w:spacing w:val="0"/>
          <w:w w:val="100"/>
          <w:position w:val="0"/>
        </w:rPr>
        <w:t>是否达到原盈利预测及其原因作出说明</w:t>
      </w:r>
      <w:bookmarkEnd w:id="434"/>
      <w:bookmarkEnd w:id="435"/>
      <w:bookmarkEnd w:id="438"/>
    </w:p>
    <w:p>
      <w:pPr>
        <w:pStyle w:val="Style5"/>
        <w:keepNext w:val="0"/>
        <w:keepLines w:val="0"/>
        <w:widowControl w:val="0"/>
        <w:shd w:val="clear" w:color="auto" w:fill="auto"/>
        <w:bidi w:val="0"/>
        <w:spacing w:before="0" w:after="26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已达到</w:t>
      </w:r>
      <w:r>
        <w:rPr>
          <w:rFonts w:ascii="Times New Roman" w:eastAsia="Times New Roman" w:hAnsi="Times New Roman" w:cs="Times New Roman"/>
          <w:color w:val="000000"/>
          <w:spacing w:val="0"/>
          <w:w w:val="100"/>
          <w:position w:val="0"/>
        </w:rPr>
        <w:t>□</w:t>
      </w:r>
      <w:r>
        <w:rPr>
          <w:color w:val="000000"/>
          <w:spacing w:val="0"/>
          <w:w w:val="100"/>
          <w:position w:val="0"/>
        </w:rPr>
        <w:t>未达到</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tabs>
          <w:tab w:pos="1086" w:val="left"/>
        </w:tabs>
        <w:bidi w:val="0"/>
        <w:spacing w:before="0" w:after="0" w:line="240" w:lineRule="auto"/>
        <w:ind w:left="0" w:right="0" w:firstLine="560"/>
        <w:jc w:val="left"/>
      </w:pPr>
      <w:bookmarkStart w:id="439" w:name="bookmark439"/>
      <w:bookmarkStart w:id="440" w:name="bookmark440"/>
      <w:bookmarkStart w:id="441" w:name="bookmark441"/>
      <w:bookmarkStart w:id="442" w:name="bookmark442"/>
      <w:r>
        <w:rPr>
          <w:rFonts w:ascii="Calibri" w:eastAsia="Calibri" w:hAnsi="Calibri" w:cs="Calibri"/>
          <w:color w:val="000000"/>
          <w:spacing w:val="0"/>
          <w:w w:val="100"/>
          <w:position w:val="0"/>
        </w:rPr>
        <w:t>（</w:t>
      </w:r>
      <w:bookmarkEnd w:id="44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业绩承诺的完成情况及其对商誉减值测试的影响</w:t>
      </w:r>
      <w:bookmarkEnd w:id="439"/>
      <w:bookmarkEnd w:id="440"/>
      <w:bookmarkEnd w:id="442"/>
    </w:p>
    <w:p>
      <w:pPr>
        <w:pStyle w:val="Style5"/>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16"/>
        <w:keepNext/>
        <w:keepLines/>
        <w:widowControl w:val="0"/>
        <w:shd w:val="clear" w:color="auto" w:fill="auto"/>
        <w:tabs>
          <w:tab w:pos="1038" w:val="left"/>
        </w:tabs>
        <w:bidi w:val="0"/>
        <w:spacing w:before="0" w:line="240" w:lineRule="auto"/>
        <w:ind w:left="0" w:right="0" w:firstLine="560"/>
        <w:jc w:val="left"/>
      </w:pPr>
      <w:bookmarkStart w:id="443" w:name="bookmark443"/>
      <w:bookmarkStart w:id="444" w:name="bookmark444"/>
      <w:bookmarkStart w:id="445" w:name="bookmark445"/>
      <w:bookmarkStart w:id="446" w:name="bookmark446"/>
      <w:r>
        <w:rPr>
          <w:color w:val="000000"/>
          <w:spacing w:val="0"/>
          <w:w w:val="100"/>
          <w:position w:val="0"/>
        </w:rPr>
        <w:t>二</w:t>
      </w:r>
      <w:bookmarkEnd w:id="445"/>
      <w:r>
        <w:rPr>
          <w:color w:val="000000"/>
          <w:spacing w:val="0"/>
          <w:w w:val="100"/>
          <w:position w:val="0"/>
        </w:rPr>
        <w:t>、</w:t>
        <w:tab/>
        <w:t>报告期内控股股东及其他关联方非经营性占用资金情况</w:t>
      </w:r>
      <w:bookmarkEnd w:id="443"/>
      <w:bookmarkEnd w:id="444"/>
      <w:bookmarkEnd w:id="446"/>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本公司不存在控股股东及其他关联方非经营性占用资金情况。</w:t>
      </w:r>
    </w:p>
    <w:p>
      <w:pPr>
        <w:pStyle w:val="Style16"/>
        <w:keepNext/>
        <w:keepLines/>
        <w:widowControl w:val="0"/>
        <w:shd w:val="clear" w:color="auto" w:fill="auto"/>
        <w:tabs>
          <w:tab w:pos="1043" w:val="left"/>
        </w:tabs>
        <w:bidi w:val="0"/>
        <w:spacing w:before="0" w:line="240" w:lineRule="auto"/>
        <w:ind w:left="0" w:right="0" w:firstLine="560"/>
        <w:jc w:val="left"/>
      </w:pPr>
      <w:bookmarkStart w:id="447" w:name="bookmark447"/>
      <w:bookmarkStart w:id="448" w:name="bookmark448"/>
      <w:bookmarkStart w:id="449" w:name="bookmark449"/>
      <w:bookmarkStart w:id="450" w:name="bookmark450"/>
      <w:r>
        <w:rPr>
          <w:color w:val="000000"/>
          <w:spacing w:val="0"/>
          <w:w w:val="100"/>
          <w:position w:val="0"/>
        </w:rPr>
        <w:t>三</w:t>
      </w:r>
      <w:bookmarkEnd w:id="449"/>
      <w:r>
        <w:rPr>
          <w:color w:val="000000"/>
          <w:spacing w:val="0"/>
          <w:w w:val="100"/>
          <w:position w:val="0"/>
        </w:rPr>
        <w:t>、</w:t>
        <w:tab/>
        <w:t>违规担保情况</w:t>
      </w:r>
      <w:bookmarkEnd w:id="447"/>
      <w:bookmarkEnd w:id="448"/>
      <w:bookmarkEnd w:id="450"/>
    </w:p>
    <w:p>
      <w:pPr>
        <w:pStyle w:val="Style5"/>
        <w:keepNext w:val="0"/>
        <w:keepLines w:val="0"/>
        <w:widowControl w:val="0"/>
        <w:shd w:val="clear" w:color="auto" w:fill="auto"/>
        <w:bidi w:val="0"/>
        <w:spacing w:before="0" w:after="260" w:line="240" w:lineRule="auto"/>
        <w:ind w:left="0" w:right="0" w:firstLine="560"/>
        <w:jc w:val="left"/>
        <w:sectPr>
          <w:footnotePr>
            <w:pos w:val="pageBottom"/>
            <w:numFmt w:val="decimal"/>
            <w:numRestart w:val="continuous"/>
          </w:footnotePr>
          <w:pgSz w:w="16840" w:h="11900" w:orient="landscape"/>
          <w:pgMar w:top="1866" w:right="1167" w:bottom="1866" w:left="865"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88" w:val="left"/>
        </w:tabs>
        <w:bidi w:val="0"/>
        <w:spacing w:before="0" w:after="0" w:line="365" w:lineRule="exact"/>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四</w:t>
      </w:r>
      <w:bookmarkEnd w:id="453"/>
      <w:r>
        <w:rPr>
          <w:color w:val="000000"/>
          <w:spacing w:val="0"/>
          <w:w w:val="100"/>
          <w:position w:val="0"/>
        </w:rPr>
        <w:t>、</w:t>
        <w:tab/>
        <w:t>公司董事会对会计师事务所“非标准意见审计报告”的说明</w:t>
      </w:r>
      <w:bookmarkEnd w:id="451"/>
      <w:bookmarkEnd w:id="452"/>
      <w:bookmarkEnd w:id="454"/>
    </w:p>
    <w:p>
      <w:pPr>
        <w:pStyle w:val="Style5"/>
        <w:keepNext w:val="0"/>
        <w:keepLines w:val="0"/>
        <w:widowControl w:val="0"/>
        <w:shd w:val="clear" w:color="auto" w:fill="auto"/>
        <w:bidi w:val="0"/>
        <w:spacing w:before="0" w:after="320" w:line="365"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tabs>
          <w:tab w:pos="488" w:val="left"/>
        </w:tabs>
        <w:bidi w:val="0"/>
        <w:spacing w:before="0" w:after="0" w:line="365" w:lineRule="exact"/>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五</w:t>
      </w:r>
      <w:bookmarkEnd w:id="457"/>
      <w:r>
        <w:rPr>
          <w:color w:val="000000"/>
          <w:spacing w:val="0"/>
          <w:w w:val="100"/>
          <w:position w:val="0"/>
        </w:rPr>
        <w:t>、</w:t>
        <w:tab/>
        <w:t>公司对会计政策、会计估计变更或重大会计差错更正原因和影响的分析说明</w:t>
      </w:r>
      <w:bookmarkEnd w:id="455"/>
      <w:bookmarkEnd w:id="456"/>
      <w:bookmarkEnd w:id="458"/>
    </w:p>
    <w:p>
      <w:pPr>
        <w:pStyle w:val="Style16"/>
        <w:keepNext/>
        <w:keepLines/>
        <w:widowControl w:val="0"/>
        <w:shd w:val="clear" w:color="auto" w:fill="auto"/>
        <w:tabs>
          <w:tab w:pos="598" w:val="left"/>
        </w:tabs>
        <w:bidi w:val="0"/>
        <w:spacing w:before="0" w:after="40" w:line="365" w:lineRule="exact"/>
        <w:ind w:left="0" w:right="0" w:firstLine="0"/>
        <w:jc w:val="left"/>
      </w:pPr>
      <w:bookmarkStart w:id="455" w:name="bookmark455"/>
      <w:bookmarkStart w:id="456" w:name="bookmark456"/>
      <w:bookmarkStart w:id="459" w:name="bookmark459"/>
      <w:bookmarkStart w:id="460" w:name="bookmark460"/>
      <w:r>
        <w:rPr>
          <w:color w:val="000000"/>
          <w:spacing w:val="0"/>
          <w:w w:val="100"/>
          <w:position w:val="0"/>
        </w:rPr>
        <w:t>（</w:t>
      </w:r>
      <w:bookmarkEnd w:id="459"/>
      <w:r>
        <w:rPr>
          <w:color w:val="000000"/>
          <w:spacing w:val="0"/>
          <w:w w:val="100"/>
          <w:position w:val="0"/>
        </w:rPr>
        <w:t>一）</w:t>
        <w:tab/>
        <w:t>公司对会计政策、会计估计变更原因及影响的分析说明</w:t>
      </w:r>
      <w:bookmarkEnd w:id="455"/>
      <w:bookmarkEnd w:id="456"/>
      <w:bookmarkEnd w:id="460"/>
    </w:p>
    <w:p>
      <w:pPr>
        <w:pStyle w:val="Style5"/>
        <w:keepNext w:val="0"/>
        <w:keepLines w:val="0"/>
        <w:widowControl w:val="0"/>
        <w:shd w:val="clear" w:color="auto" w:fill="auto"/>
        <w:bidi w:val="0"/>
        <w:spacing w:before="0" w:after="140" w:line="365" w:lineRule="exact"/>
        <w:ind w:left="0" w:right="0" w:firstLine="0"/>
        <w:jc w:val="left"/>
      </w:pPr>
      <w:r>
        <w:rPr>
          <w:color w:val="000000"/>
          <w:spacing w:val="0"/>
          <w:w w:val="100"/>
          <w:position w:val="0"/>
        </w:rPr>
        <w:t>本集团于</w:t>
      </w:r>
      <w:r>
        <w:rPr>
          <w:rFonts w:ascii="Times New Roman" w:eastAsia="Times New Roman" w:hAnsi="Times New Roman" w:cs="Times New Roman"/>
          <w:color w:val="000000"/>
          <w:spacing w:val="0"/>
          <w:w w:val="100"/>
          <w:position w:val="0"/>
        </w:rPr>
        <w:t>2021</w:t>
      </w:r>
      <w:r>
        <w:rPr>
          <w:color w:val="000000"/>
          <w:spacing w:val="0"/>
          <w:w w:val="100"/>
          <w:position w:val="0"/>
        </w:rPr>
        <w:t>年生效的企业会计准则相关规定如下：</w:t>
      </w:r>
    </w:p>
    <w:p>
      <w:pPr>
        <w:pStyle w:val="Style5"/>
        <w:keepNext w:val="0"/>
        <w:keepLines w:val="0"/>
        <w:widowControl w:val="0"/>
        <w:numPr>
          <w:ilvl w:val="0"/>
          <w:numId w:val="39"/>
        </w:numPr>
        <w:shd w:val="clear" w:color="auto" w:fill="auto"/>
        <w:tabs>
          <w:tab w:pos="488" w:val="left"/>
        </w:tabs>
        <w:bidi w:val="0"/>
        <w:spacing w:before="0" w:after="0" w:line="382" w:lineRule="auto"/>
        <w:ind w:left="0" w:right="0" w:firstLine="0"/>
        <w:jc w:val="left"/>
      </w:pPr>
      <w:bookmarkStart w:id="461" w:name="bookmark461"/>
      <w:bookmarkEnd w:id="461"/>
      <w:r>
        <w:rPr>
          <w:color w:val="000000"/>
          <w:spacing w:val="0"/>
          <w:w w:val="100"/>
          <w:position w:val="0"/>
        </w:rPr>
        <w:t>《企业会计准则解释第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numPr>
          <w:ilvl w:val="0"/>
          <w:numId w:val="39"/>
        </w:numPr>
        <w:shd w:val="clear" w:color="auto" w:fill="auto"/>
        <w:tabs>
          <w:tab w:pos="488" w:val="left"/>
        </w:tabs>
        <w:bidi w:val="0"/>
        <w:spacing w:before="0" w:after="0" w:line="382" w:lineRule="auto"/>
        <w:ind w:left="0" w:right="0" w:firstLine="0"/>
        <w:jc w:val="left"/>
      </w:pPr>
      <w:bookmarkStart w:id="462" w:name="bookmark462"/>
      <w:bookmarkEnd w:id="462"/>
      <w:r>
        <w:rPr>
          <w:color w:val="000000"/>
          <w:spacing w:val="0"/>
          <w:w w:val="100"/>
          <w:position w:val="0"/>
        </w:rPr>
        <w:t>《企业会计准则解释第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numPr>
          <w:ilvl w:val="0"/>
          <w:numId w:val="39"/>
        </w:numPr>
        <w:shd w:val="clear" w:color="auto" w:fill="auto"/>
        <w:tabs>
          <w:tab w:pos="488" w:val="left"/>
        </w:tabs>
        <w:bidi w:val="0"/>
        <w:spacing w:before="0" w:after="320" w:line="365" w:lineRule="exact"/>
        <w:ind w:left="0" w:right="0" w:firstLine="0"/>
        <w:jc w:val="left"/>
      </w:pPr>
      <w:bookmarkStart w:id="463" w:name="bookmark463"/>
      <w:bookmarkEnd w:id="463"/>
      <w:r>
        <w:rPr>
          <w:color w:val="000000"/>
          <w:spacing w:val="0"/>
          <w:w w:val="100"/>
          <w:position w:val="0"/>
        </w:rPr>
        <w:t>《新冠肺炎疫情相关租金减让会计处理规定》适用范围的通知</w:t>
      </w:r>
      <w:r>
        <w:rPr>
          <w:rFonts w:ascii="Times New Roman" w:eastAsia="Times New Roman" w:hAnsi="Times New Roman" w:cs="Times New Roman"/>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 xml:space="preserve">”） </w:t>
      </w:r>
      <w:r>
        <w:rPr>
          <w:color w:val="000000"/>
          <w:spacing w:val="0"/>
          <w:w w:val="100"/>
          <w:position w:val="0"/>
        </w:rPr>
        <w:t>具体详见财务报告。</w:t>
      </w:r>
    </w:p>
    <w:p>
      <w:pPr>
        <w:pStyle w:val="Style16"/>
        <w:keepNext/>
        <w:keepLines/>
        <w:widowControl w:val="0"/>
        <w:shd w:val="clear" w:color="auto" w:fill="auto"/>
        <w:tabs>
          <w:tab w:pos="598" w:val="left"/>
        </w:tabs>
        <w:bidi w:val="0"/>
        <w:spacing w:before="0" w:after="0" w:line="365" w:lineRule="exact"/>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w:t>
      </w:r>
      <w:bookmarkEnd w:id="466"/>
      <w:r>
        <w:rPr>
          <w:color w:val="000000"/>
          <w:spacing w:val="0"/>
          <w:w w:val="100"/>
          <w:position w:val="0"/>
        </w:rPr>
        <w:t>二）</w:t>
        <w:tab/>
        <w:t>公司对重大会计差错更正原因及影响的分析说明</w:t>
      </w:r>
      <w:bookmarkEnd w:id="464"/>
      <w:bookmarkEnd w:id="465"/>
      <w:bookmarkEnd w:id="467"/>
    </w:p>
    <w:p>
      <w:pPr>
        <w:pStyle w:val="Style5"/>
        <w:keepNext w:val="0"/>
        <w:keepLines w:val="0"/>
        <w:widowControl w:val="0"/>
        <w:shd w:val="clear" w:color="auto" w:fill="auto"/>
        <w:bidi w:val="0"/>
        <w:spacing w:before="0" w:after="320" w:line="365"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tabs>
          <w:tab w:pos="598" w:val="left"/>
        </w:tabs>
        <w:bidi w:val="0"/>
        <w:spacing w:before="0" w:after="0" w:line="365" w:lineRule="exact"/>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w:t>
      </w:r>
      <w:bookmarkEnd w:id="470"/>
      <w:r>
        <w:rPr>
          <w:color w:val="000000"/>
          <w:spacing w:val="0"/>
          <w:w w:val="100"/>
          <w:position w:val="0"/>
        </w:rPr>
        <w:t>三）</w:t>
        <w:tab/>
        <w:t>与前任会计师事务所进行的沟通情况</w:t>
      </w:r>
      <w:bookmarkEnd w:id="468"/>
      <w:bookmarkEnd w:id="469"/>
      <w:bookmarkEnd w:id="471"/>
    </w:p>
    <w:p>
      <w:pPr>
        <w:pStyle w:val="Style5"/>
        <w:keepNext w:val="0"/>
        <w:keepLines w:val="0"/>
        <w:widowControl w:val="0"/>
        <w:shd w:val="clear" w:color="auto" w:fill="auto"/>
        <w:bidi w:val="0"/>
        <w:spacing w:before="0" w:after="320" w:line="365" w:lineRule="exact"/>
        <w:ind w:left="0" w:right="0" w:firstLine="0"/>
        <w:jc w:val="left"/>
      </w:pP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16"/>
        <w:keepNext/>
        <w:keepLines/>
        <w:widowControl w:val="0"/>
        <w:shd w:val="clear" w:color="auto" w:fill="auto"/>
        <w:tabs>
          <w:tab w:pos="488" w:val="left"/>
        </w:tabs>
        <w:bidi w:val="0"/>
        <w:spacing w:before="0" w:after="320" w:line="365" w:lineRule="exact"/>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六</w:t>
      </w:r>
      <w:bookmarkEnd w:id="474"/>
      <w:r>
        <w:rPr>
          <w:color w:val="000000"/>
          <w:spacing w:val="0"/>
          <w:w w:val="100"/>
          <w:position w:val="0"/>
        </w:rPr>
        <w:t>、</w:t>
        <w:tab/>
        <w:t>聘任、解聘会计师事务所情况</w:t>
      </w:r>
      <w:bookmarkEnd w:id="472"/>
      <w:bookmarkEnd w:id="473"/>
      <w:bookmarkEnd w:id="475"/>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3643"/>
        <w:gridCol w:w="3106"/>
        <w:gridCol w:w="2693"/>
      </w:tblGrid>
      <w:tr>
        <w:trPr>
          <w:trHeight w:val="326"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原聘任</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现聘任</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毕马威华振会计师事务所（特殊 普通合伙）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德勤华永会计师事务所（特 殊普通合伙）</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r>
              <w:rPr>
                <w:color w:val="000000"/>
                <w:spacing w:val="0"/>
                <w:w w:val="100"/>
                <w:position w:val="0"/>
              </w:rPr>
              <w:t>年</w:t>
            </w:r>
          </w:p>
        </w:tc>
      </w:tr>
    </w:tbl>
    <w:p>
      <w:pPr>
        <w:pStyle w:val="Style25"/>
        <w:keepNext w:val="0"/>
        <w:keepLines w:val="0"/>
        <w:widowControl w:val="0"/>
        <w:shd w:val="clear" w:color="auto" w:fill="auto"/>
        <w:bidi w:val="0"/>
        <w:spacing w:before="0" w:after="0" w:line="355" w:lineRule="exact"/>
        <w:ind w:left="91"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年度境内会计师事务所报酬合计</w:t>
      </w:r>
      <w:r>
        <w:rPr>
          <w:rFonts w:ascii="Times New Roman" w:eastAsia="Times New Roman" w:hAnsi="Times New Roman" w:cs="Times New Roman"/>
          <w:color w:val="000000"/>
          <w:spacing w:val="0"/>
          <w:w w:val="100"/>
          <w:position w:val="0"/>
        </w:rPr>
        <w:t>651</w:t>
      </w:r>
      <w:r>
        <w:rPr>
          <w:color w:val="000000"/>
          <w:spacing w:val="0"/>
          <w:w w:val="100"/>
          <w:position w:val="0"/>
        </w:rPr>
        <w:t>万（不含增值税），其中审计费用</w:t>
      </w:r>
      <w:r>
        <w:rPr>
          <w:rFonts w:ascii="Times New Roman" w:eastAsia="Times New Roman" w:hAnsi="Times New Roman" w:cs="Times New Roman"/>
          <w:color w:val="000000"/>
          <w:spacing w:val="0"/>
          <w:w w:val="100"/>
          <w:position w:val="0"/>
        </w:rPr>
        <w:t>462</w:t>
      </w:r>
      <w:r>
        <w:rPr>
          <w:color w:val="000000"/>
          <w:spacing w:val="0"/>
          <w:w w:val="100"/>
          <w:position w:val="0"/>
        </w:rPr>
        <w:t>万（含内控审计费 用</w:t>
      </w:r>
      <w:r>
        <w:rPr>
          <w:rFonts w:ascii="Times New Roman" w:eastAsia="Times New Roman" w:hAnsi="Times New Roman" w:cs="Times New Roman"/>
          <w:color w:val="000000"/>
          <w:spacing w:val="0"/>
          <w:w w:val="100"/>
          <w:position w:val="0"/>
        </w:rPr>
        <w:t>152</w:t>
      </w:r>
      <w:r>
        <w:rPr>
          <w:color w:val="000000"/>
          <w:spacing w:val="0"/>
          <w:w w:val="100"/>
          <w:position w:val="0"/>
        </w:rPr>
        <w:t>万），其他鉴证服务费用</w:t>
      </w:r>
      <w:r>
        <w:rPr>
          <w:rFonts w:ascii="Times New Roman" w:eastAsia="Times New Roman" w:hAnsi="Times New Roman" w:cs="Times New Roman"/>
          <w:color w:val="000000"/>
          <w:spacing w:val="0"/>
          <w:w w:val="100"/>
          <w:position w:val="0"/>
        </w:rPr>
        <w:t>189</w:t>
      </w:r>
      <w:r>
        <w:rPr>
          <w:color w:val="000000"/>
          <w:spacing w:val="0"/>
          <w:w w:val="100"/>
          <w:position w:val="0"/>
        </w:rPr>
        <w:t>万。</w:t>
      </w:r>
    </w:p>
    <w:p>
      <w:pPr>
        <w:pStyle w:val="Style25"/>
        <w:keepNext w:val="0"/>
        <w:keepLines w:val="0"/>
        <w:widowControl w:val="0"/>
        <w:shd w:val="clear" w:color="auto" w:fill="auto"/>
        <w:bidi w:val="0"/>
        <w:spacing w:before="0" w:after="0" w:line="355" w:lineRule="exact"/>
        <w:ind w:left="91"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年度境内会计师事务所报酬合计</w:t>
      </w:r>
      <w:r>
        <w:rPr>
          <w:rFonts w:ascii="Times New Roman" w:eastAsia="Times New Roman" w:hAnsi="Times New Roman" w:cs="Times New Roman"/>
          <w:color w:val="000000"/>
          <w:spacing w:val="0"/>
          <w:w w:val="100"/>
          <w:position w:val="0"/>
        </w:rPr>
        <w:t>300</w:t>
      </w:r>
      <w:r>
        <w:rPr>
          <w:color w:val="000000"/>
          <w:spacing w:val="0"/>
          <w:w w:val="100"/>
          <w:position w:val="0"/>
        </w:rPr>
        <w:t>万（不含增值税），其中审计费用</w:t>
      </w:r>
      <w:r>
        <w:rPr>
          <w:rFonts w:ascii="Times New Roman" w:eastAsia="Times New Roman" w:hAnsi="Times New Roman" w:cs="Times New Roman"/>
          <w:color w:val="000000"/>
          <w:spacing w:val="0"/>
          <w:w w:val="100"/>
          <w:position w:val="0"/>
        </w:rPr>
        <w:t>300</w:t>
      </w:r>
      <w:r>
        <w:rPr>
          <w:color w:val="000000"/>
          <w:spacing w:val="0"/>
          <w:w w:val="100"/>
          <w:position w:val="0"/>
        </w:rPr>
        <w:t>万（含内控审计费 用</w:t>
      </w:r>
      <w:r>
        <w:rPr>
          <w:rFonts w:ascii="Times New Roman" w:eastAsia="Times New Roman" w:hAnsi="Times New Roman" w:cs="Times New Roman"/>
          <w:color w:val="000000"/>
          <w:spacing w:val="0"/>
          <w:w w:val="100"/>
          <w:position w:val="0"/>
        </w:rPr>
        <w:t>80</w:t>
      </w:r>
      <w:r>
        <w:rPr>
          <w:color w:val="000000"/>
          <w:spacing w:val="0"/>
          <w:w w:val="100"/>
          <w:position w:val="0"/>
        </w:rPr>
        <w:t>万）。</w:t>
      </w:r>
    </w:p>
    <w:tbl>
      <w:tblPr>
        <w:tblOverlap w:val="never"/>
        <w:jc w:val="center"/>
        <w:tblLayout w:type="fixed"/>
      </w:tblPr>
      <w:tblGrid>
        <w:gridCol w:w="3086"/>
        <w:gridCol w:w="3970"/>
        <w:gridCol w:w="2006"/>
      </w:tblGrid>
      <w:tr>
        <w:trPr>
          <w:trHeight w:val="326"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德勤华永会计师事务所（特殊普通合伙）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bl>
    <w:p>
      <w:pPr>
        <w:widowControl w:val="0"/>
        <w:spacing w:after="219" w:line="1" w:lineRule="exact"/>
      </w:pPr>
    </w:p>
    <w:p>
      <w:pPr>
        <w:pStyle w:val="Style5"/>
        <w:keepNext w:val="0"/>
        <w:keepLines w:val="0"/>
        <w:widowControl w:val="0"/>
        <w:shd w:val="clear" w:color="auto" w:fill="auto"/>
        <w:bidi w:val="0"/>
        <w:spacing w:before="0" w:after="140" w:line="361" w:lineRule="exact"/>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140" w:line="361" w:lineRule="exact"/>
        <w:ind w:left="0" w:right="0" w:firstLine="420"/>
        <w:jc w:val="both"/>
      </w:pPr>
      <w:r>
        <w:rPr>
          <w:color w:val="000000"/>
          <w:spacing w:val="0"/>
          <w:w w:val="100"/>
          <w:position w:val="0"/>
        </w:rPr>
        <w:t>根据中华人民共和国财政部及国务院国有资产监督管理委员会对会计师事务所承担中央企业财务 决算审计的相关规定，毕马威华振会计师事务所（特殊普通合伙）在完成</w:t>
      </w:r>
      <w:r>
        <w:rPr>
          <w:rFonts w:ascii="Times New Roman" w:eastAsia="Times New Roman" w:hAnsi="Times New Roman" w:cs="Times New Roman"/>
          <w:color w:val="000000"/>
          <w:spacing w:val="0"/>
          <w:w w:val="100"/>
          <w:position w:val="0"/>
        </w:rPr>
        <w:t>2020</w:t>
      </w:r>
      <w:r>
        <w:rPr>
          <w:color w:val="000000"/>
          <w:spacing w:val="0"/>
          <w:w w:val="100"/>
          <w:position w:val="0"/>
        </w:rPr>
        <w:t>年度审计后达到最长 聘用年限，须进行变更。经公司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年度股东大会通过，同意聘任德勤华 永会计师事务所（特殊普通合伙）为公司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年度审计师，为公司提供包括</w:t>
      </w:r>
      <w:r>
        <w:rPr>
          <w:rFonts w:ascii="Times New Roman" w:eastAsia="Times New Roman" w:hAnsi="Times New Roman" w:cs="Times New Roman"/>
          <w:color w:val="000000"/>
          <w:spacing w:val="0"/>
          <w:w w:val="100"/>
          <w:position w:val="0"/>
        </w:rPr>
        <w:t>2021</w:t>
      </w:r>
      <w:r>
        <w:rPr>
          <w:color w:val="000000"/>
          <w:spacing w:val="0"/>
          <w:w w:val="100"/>
          <w:position w:val="0"/>
        </w:rPr>
        <w:t>年年度审计、</w:t>
      </w:r>
      <w:r>
        <w:rPr>
          <w:rFonts w:ascii="Times New Roman" w:eastAsia="Times New Roman" w:hAnsi="Times New Roman" w:cs="Times New Roman"/>
          <w:color w:val="000000"/>
          <w:spacing w:val="0"/>
          <w:w w:val="100"/>
          <w:position w:val="0"/>
        </w:rPr>
        <w:t>202</w:t>
      </w:r>
      <w:r>
        <w:rPr>
          <w:b/>
          <w:bCs/>
          <w:color w:val="000000"/>
          <w:spacing w:val="0"/>
          <w:w w:val="100"/>
          <w:position w:val="0"/>
        </w:rPr>
        <w:t xml:space="preserve">1 </w:t>
      </w:r>
      <w:r>
        <w:rPr>
          <w:color w:val="000000"/>
          <w:spacing w:val="0"/>
          <w:w w:val="100"/>
          <w:position w:val="0"/>
        </w:rPr>
        <w:t>年度与财务报告相关内控审计、</w:t>
      </w:r>
      <w:r>
        <w:rPr>
          <w:rFonts w:ascii="Times New Roman" w:eastAsia="Times New Roman" w:hAnsi="Times New Roman" w:cs="Times New Roman"/>
          <w:color w:val="000000"/>
          <w:spacing w:val="0"/>
          <w:w w:val="100"/>
          <w:position w:val="0"/>
        </w:rPr>
        <w:t>2021</w:t>
      </w:r>
      <w:r>
        <w:rPr>
          <w:color w:val="000000"/>
          <w:spacing w:val="0"/>
          <w:w w:val="100"/>
          <w:position w:val="0"/>
        </w:rPr>
        <w:t>年度半年度审阅以及</w:t>
      </w:r>
      <w:r>
        <w:rPr>
          <w:rFonts w:ascii="Times New Roman" w:eastAsia="Times New Roman" w:hAnsi="Times New Roman" w:cs="Times New Roman"/>
          <w:color w:val="000000"/>
          <w:spacing w:val="0"/>
          <w:w w:val="100"/>
          <w:position w:val="0"/>
        </w:rPr>
        <w:t>2021</w:t>
      </w:r>
      <w:r>
        <w:rPr>
          <w:color w:val="000000"/>
          <w:spacing w:val="0"/>
          <w:w w:val="100"/>
          <w:position w:val="0"/>
        </w:rPr>
        <w:t>年第一季度和第三季度财务信息商 定程序的专业服务，同时授权管理层按照成本控制的原则决定审计及相关服务费用。</w:t>
      </w:r>
    </w:p>
    <w:p>
      <w:pPr>
        <w:pStyle w:val="Style16"/>
        <w:keepNext/>
        <w:keepLines/>
        <w:widowControl w:val="0"/>
        <w:shd w:val="clear" w:color="auto" w:fill="auto"/>
        <w:tabs>
          <w:tab w:pos="1203" w:val="left"/>
        </w:tabs>
        <w:bidi w:val="0"/>
        <w:spacing w:before="0" w:after="0"/>
        <w:ind w:left="0" w:right="0" w:firstLine="720"/>
        <w:jc w:val="both"/>
      </w:pPr>
      <w:bookmarkStart w:id="476" w:name="bookmark476"/>
      <w:bookmarkStart w:id="477" w:name="bookmark477"/>
      <w:bookmarkStart w:id="478" w:name="bookmark478"/>
      <w:bookmarkStart w:id="479" w:name="bookmark479"/>
      <w:r>
        <w:rPr>
          <w:color w:val="000000"/>
          <w:spacing w:val="0"/>
          <w:w w:val="100"/>
          <w:position w:val="0"/>
        </w:rPr>
        <w:t>七</w:t>
      </w:r>
      <w:bookmarkEnd w:id="478"/>
      <w:r>
        <w:rPr>
          <w:color w:val="000000"/>
          <w:spacing w:val="0"/>
          <w:w w:val="100"/>
          <w:position w:val="0"/>
        </w:rPr>
        <w:t>、</w:t>
        <w:tab/>
        <w:t>面临退市风险的情况</w:t>
      </w:r>
      <w:bookmarkEnd w:id="476"/>
      <w:bookmarkEnd w:id="477"/>
      <w:bookmarkEnd w:id="479"/>
    </w:p>
    <w:p>
      <w:pPr>
        <w:pStyle w:val="Style5"/>
        <w:keepNext w:val="0"/>
        <w:keepLines w:val="0"/>
        <w:widowControl w:val="0"/>
        <w:shd w:val="clear" w:color="auto" w:fill="auto"/>
        <w:bidi w:val="0"/>
        <w:spacing w:before="0" w:after="260" w:line="360" w:lineRule="exact"/>
        <w:ind w:left="0" w:right="0" w:firstLine="72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tabs>
          <w:tab w:pos="1203" w:val="left"/>
        </w:tabs>
        <w:bidi w:val="0"/>
        <w:spacing w:before="0" w:after="0"/>
        <w:ind w:left="0" w:right="0" w:firstLine="720"/>
        <w:jc w:val="both"/>
      </w:pPr>
      <w:bookmarkStart w:id="480" w:name="bookmark480"/>
      <w:bookmarkStart w:id="481" w:name="bookmark481"/>
      <w:bookmarkStart w:id="482" w:name="bookmark482"/>
      <w:bookmarkStart w:id="483" w:name="bookmark483"/>
      <w:r>
        <w:rPr>
          <w:color w:val="000000"/>
          <w:spacing w:val="0"/>
          <w:w w:val="100"/>
          <w:position w:val="0"/>
        </w:rPr>
        <w:t>八</w:t>
      </w:r>
      <w:bookmarkEnd w:id="482"/>
      <w:r>
        <w:rPr>
          <w:color w:val="000000"/>
          <w:spacing w:val="0"/>
          <w:w w:val="100"/>
          <w:position w:val="0"/>
        </w:rPr>
        <w:t>、</w:t>
        <w:tab/>
        <w:t>破产重整相关事项</w:t>
      </w:r>
      <w:bookmarkEnd w:id="480"/>
      <w:bookmarkEnd w:id="481"/>
      <w:bookmarkEnd w:id="483"/>
    </w:p>
    <w:p>
      <w:pPr>
        <w:pStyle w:val="Style5"/>
        <w:keepNext w:val="0"/>
        <w:keepLines w:val="0"/>
        <w:widowControl w:val="0"/>
        <w:shd w:val="clear" w:color="auto" w:fill="auto"/>
        <w:bidi w:val="0"/>
        <w:spacing w:before="0" w:after="320" w:line="360" w:lineRule="exact"/>
        <w:ind w:left="0" w:right="0" w:firstLine="720"/>
        <w:jc w:val="both"/>
      </w:pP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16"/>
        <w:keepNext/>
        <w:keepLines/>
        <w:widowControl w:val="0"/>
        <w:shd w:val="clear" w:color="auto" w:fill="auto"/>
        <w:tabs>
          <w:tab w:pos="1203" w:val="left"/>
        </w:tabs>
        <w:bidi w:val="0"/>
        <w:spacing w:before="0" w:after="0"/>
        <w:ind w:left="0" w:right="0" w:firstLine="720"/>
        <w:jc w:val="both"/>
      </w:pPr>
      <w:bookmarkStart w:id="484" w:name="bookmark484"/>
      <w:bookmarkStart w:id="485" w:name="bookmark485"/>
      <w:bookmarkStart w:id="486" w:name="bookmark486"/>
      <w:bookmarkStart w:id="487" w:name="bookmark487"/>
      <w:r>
        <w:rPr>
          <w:color w:val="000000"/>
          <w:spacing w:val="0"/>
          <w:w w:val="100"/>
          <w:position w:val="0"/>
        </w:rPr>
        <w:t>九</w:t>
      </w:r>
      <w:bookmarkEnd w:id="486"/>
      <w:r>
        <w:rPr>
          <w:color w:val="000000"/>
          <w:spacing w:val="0"/>
          <w:w w:val="100"/>
          <w:position w:val="0"/>
        </w:rPr>
        <w:t>、</w:t>
        <w:tab/>
        <w:t>重大诉讼、仲裁事项</w:t>
      </w:r>
      <w:bookmarkEnd w:id="484"/>
      <w:bookmarkEnd w:id="485"/>
      <w:bookmarkEnd w:id="487"/>
    </w:p>
    <w:p>
      <w:pPr>
        <w:pStyle w:val="Style5"/>
        <w:keepNext w:val="0"/>
        <w:keepLines w:val="0"/>
        <w:widowControl w:val="0"/>
        <w:shd w:val="clear" w:color="auto" w:fill="auto"/>
        <w:bidi w:val="0"/>
        <w:spacing w:before="0" w:after="260" w:line="360"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本年度公司有重大诉讼、仲裁事项</w:t>
      </w:r>
      <w:r>
        <w:rPr>
          <w:rFonts w:ascii="Times New Roman" w:eastAsia="Times New Roman" w:hAnsi="Times New Roman" w:cs="Times New Roman"/>
          <w:color w:val="000000"/>
          <w:spacing w:val="0"/>
          <w:w w:val="100"/>
          <w:position w:val="0"/>
        </w:rPr>
        <w:t>［</w:t>
      </w:r>
      <w:r>
        <w:rPr>
          <w:color w:val="000000"/>
          <w:spacing w:val="0"/>
          <w:w w:val="100"/>
          <w:position w:val="0"/>
        </w:rPr>
        <w:t>本年度公司无重大诉讼、仲裁事项</w:t>
      </w:r>
    </w:p>
    <w:p>
      <w:pPr>
        <w:pStyle w:val="Style16"/>
        <w:keepNext/>
        <w:keepLines/>
        <w:widowControl w:val="0"/>
        <w:shd w:val="clear" w:color="auto" w:fill="auto"/>
        <w:bidi w:val="0"/>
        <w:spacing w:before="0" w:after="0" w:line="326" w:lineRule="exact"/>
        <w:ind w:left="1120" w:right="0" w:hanging="400"/>
        <w:jc w:val="left"/>
      </w:pPr>
      <w:bookmarkStart w:id="488" w:name="bookmark488"/>
      <w:bookmarkStart w:id="489" w:name="bookmark489"/>
      <w:bookmarkStart w:id="490" w:name="bookmark490"/>
      <w:r>
        <w:rPr>
          <w:color w:val="000000"/>
          <w:spacing w:val="0"/>
          <w:w w:val="100"/>
          <w:position w:val="0"/>
        </w:rPr>
        <w:t>十、上市公司及其董事、监事、高级管理人员、控股股东、实际控制人涉嫌违法违规、受到处罚及整 改情况</w:t>
      </w:r>
      <w:bookmarkEnd w:id="488"/>
      <w:bookmarkEnd w:id="489"/>
      <w:bookmarkEnd w:id="490"/>
    </w:p>
    <w:p>
      <w:pPr>
        <w:pStyle w:val="Style5"/>
        <w:keepNext w:val="0"/>
        <w:keepLines w:val="0"/>
        <w:widowControl w:val="0"/>
        <w:shd w:val="clear" w:color="auto" w:fill="auto"/>
        <w:bidi w:val="0"/>
        <w:spacing w:before="0" w:after="320" w:line="360" w:lineRule="exact"/>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60"/>
        <w:ind w:left="0" w:right="0" w:firstLine="720"/>
        <w:jc w:val="both"/>
      </w:pPr>
      <w:bookmarkStart w:id="491" w:name="bookmark491"/>
      <w:bookmarkStart w:id="492" w:name="bookmark492"/>
      <w:bookmarkStart w:id="493" w:name="bookmark493"/>
      <w:r>
        <w:rPr>
          <w:color w:val="000000"/>
          <w:spacing w:val="0"/>
          <w:w w:val="100"/>
          <w:position w:val="0"/>
        </w:rPr>
        <w:t>十一、报告期内公司及其控股股东、实际控制人诚信状况的说明</w:t>
      </w:r>
      <w:bookmarkEnd w:id="491"/>
      <w:bookmarkEnd w:id="492"/>
      <w:bookmarkEnd w:id="493"/>
    </w:p>
    <w:p>
      <w:pPr>
        <w:pStyle w:val="Style5"/>
        <w:keepNext w:val="0"/>
        <w:keepLines w:val="0"/>
        <w:widowControl w:val="0"/>
        <w:shd w:val="clear" w:color="auto" w:fill="auto"/>
        <w:bidi w:val="0"/>
        <w:spacing w:before="0" w:after="0" w:line="360" w:lineRule="exact"/>
        <w:ind w:left="720" w:right="0"/>
        <w:jc w:val="both"/>
      </w:pPr>
      <w:r>
        <w:rPr>
          <w:color w:val="000000"/>
          <w:spacing w:val="0"/>
          <w:w w:val="100"/>
          <w:position w:val="0"/>
        </w:rPr>
        <w:t>报告期内，本公司及其控股股东、实际控制人的诚信状况良好，不存在未履行法院生效判决、所 负数额较大的债务到期未清偿等情况。</w:t>
      </w:r>
    </w:p>
    <w:p>
      <w:pPr>
        <w:pStyle w:val="Style5"/>
        <w:keepNext w:val="0"/>
        <w:keepLines w:val="0"/>
        <w:widowControl w:val="0"/>
        <w:shd w:val="clear" w:color="auto" w:fill="auto"/>
        <w:bidi w:val="0"/>
        <w:spacing w:before="0" w:after="600" w:line="360" w:lineRule="exact"/>
        <w:ind w:left="720" w:right="0"/>
        <w:jc w:val="both"/>
      </w:pPr>
      <w:r>
        <w:rPr>
          <w:color w:val="000000"/>
          <w:spacing w:val="0"/>
          <w:w w:val="100"/>
          <w:position w:val="0"/>
        </w:rPr>
        <w:t>公司严格按照法律法规及监管规则要求，据实公平披露信息，积极履行对资本市场的承诺事项。 有关本公司及其实际控制人、股东、关联方等在报告期内或持续到报告期内的承诺事项履行情况，请 参见本节“二、承诺事项履行情况”。</w:t>
      </w:r>
    </w:p>
    <w:p>
      <w:pPr>
        <w:pStyle w:val="Style16"/>
        <w:keepNext/>
        <w:keepLines/>
        <w:widowControl w:val="0"/>
        <w:shd w:val="clear" w:color="auto" w:fill="auto"/>
        <w:bidi w:val="0"/>
        <w:spacing w:before="0" w:after="0"/>
        <w:ind w:left="0" w:right="0" w:firstLine="720"/>
        <w:jc w:val="both"/>
      </w:pPr>
      <w:bookmarkStart w:id="494" w:name="bookmark494"/>
      <w:bookmarkStart w:id="495" w:name="bookmark495"/>
      <w:bookmarkStart w:id="496" w:name="bookmark496"/>
      <w:r>
        <w:rPr>
          <w:color w:val="000000"/>
          <w:spacing w:val="0"/>
          <w:w w:val="100"/>
          <w:position w:val="0"/>
        </w:rPr>
        <w:t>十二、重大关联交易</w:t>
      </w:r>
      <w:bookmarkEnd w:id="494"/>
      <w:bookmarkEnd w:id="495"/>
      <w:bookmarkEnd w:id="496"/>
    </w:p>
    <w:p>
      <w:pPr>
        <w:pStyle w:val="Style16"/>
        <w:keepNext/>
        <w:keepLines/>
        <w:widowControl w:val="0"/>
        <w:shd w:val="clear" w:color="auto" w:fill="auto"/>
        <w:bidi w:val="0"/>
        <w:spacing w:before="0" w:after="0"/>
        <w:ind w:left="0" w:right="0" w:firstLine="720"/>
        <w:jc w:val="both"/>
      </w:pPr>
      <w:bookmarkStart w:id="494" w:name="bookmark494"/>
      <w:bookmarkStart w:id="495" w:name="bookmark495"/>
      <w:bookmarkStart w:id="497" w:name="bookmark497"/>
      <w:bookmarkStart w:id="498" w:name="bookmark498"/>
      <w:r>
        <w:rPr>
          <w:rFonts w:ascii="Calibri" w:eastAsia="Calibri" w:hAnsi="Calibri" w:cs="Calibri"/>
          <w:color w:val="000000"/>
          <w:spacing w:val="0"/>
          <w:w w:val="100"/>
          <w:position w:val="0"/>
        </w:rPr>
        <w:t>（</w:t>
      </w:r>
      <w:bookmarkEnd w:id="497"/>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与日常经营相关的关联交易</w:t>
      </w:r>
      <w:bookmarkEnd w:id="494"/>
      <w:bookmarkEnd w:id="495"/>
      <w:bookmarkEnd w:id="498"/>
    </w:p>
    <w:p>
      <w:pPr>
        <w:pStyle w:val="Style5"/>
        <w:keepNext w:val="0"/>
        <w:keepLines w:val="0"/>
        <w:widowControl w:val="0"/>
        <w:shd w:val="clear" w:color="auto" w:fill="auto"/>
        <w:bidi w:val="0"/>
        <w:spacing w:before="0" w:after="0" w:line="360" w:lineRule="exact"/>
        <w:ind w:left="0" w:right="0" w:firstLine="720"/>
        <w:jc w:val="both"/>
      </w:pPr>
      <w:r>
        <w:rPr>
          <w:color w:val="000000"/>
          <w:spacing w:val="0"/>
          <w:w w:val="100"/>
          <w:position w:val="0"/>
        </w:rPr>
        <w:t>本年度公司关联交易事项请参见财务报告附注。</w:t>
      </w:r>
    </w:p>
    <w:p>
      <w:pPr>
        <w:pStyle w:val="Style5"/>
        <w:keepNext w:val="0"/>
        <w:keepLines w:val="0"/>
        <w:widowControl w:val="0"/>
        <w:shd w:val="clear" w:color="auto" w:fill="auto"/>
        <w:bidi w:val="0"/>
        <w:spacing w:before="0" w:after="80" w:line="360" w:lineRule="exact"/>
        <w:ind w:left="0" w:right="0" w:firstLine="720"/>
        <w:jc w:val="both"/>
      </w:pPr>
      <w:r>
        <w:rPr>
          <w:b/>
          <w:bCs/>
          <w:color w:val="000000"/>
          <w:spacing w:val="0"/>
          <w:w w:val="100"/>
          <w:position w:val="0"/>
        </w:rPr>
        <w:t>1、已在临时公告披露且后续实施无进展或变化的事项</w:t>
      </w:r>
    </w:p>
    <w:tbl>
      <w:tblPr>
        <w:tblOverlap w:val="never"/>
        <w:jc w:val="center"/>
        <w:tblLayout w:type="fixed"/>
      </w:tblPr>
      <w:tblGrid>
        <w:gridCol w:w="4790"/>
        <w:gridCol w:w="4272"/>
      </w:tblGrid>
      <w:tr>
        <w:trPr>
          <w:trHeight w:val="326"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3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报告期内，公司董事会审议批准联通运营公司分别 与中国铁塔、广发银行股份有限公司（以下简称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 发银行</w:t>
            </w:r>
            <w:r>
              <w:rPr>
                <w:rFonts w:ascii="Times New Roman" w:eastAsia="Times New Roman" w:hAnsi="Times New Roman" w:cs="Times New Roman"/>
                <w:color w:val="000000"/>
                <w:spacing w:val="0"/>
                <w:w w:val="100"/>
                <w:position w:val="0"/>
              </w:rPr>
              <w:t>”</w:t>
            </w:r>
            <w:r>
              <w:rPr>
                <w:color w:val="000000"/>
                <w:spacing w:val="0"/>
                <w:w w:val="100"/>
                <w:position w:val="0"/>
              </w:rPr>
              <w:t>）、深圳市腾讯计算机系统有限公司（以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腾讯科技</w:t>
            </w:r>
            <w:r>
              <w:rPr>
                <w:rFonts w:ascii="Times New Roman" w:eastAsia="Times New Roman" w:hAnsi="Times New Roman" w:cs="Times New Roman"/>
                <w:color w:val="000000"/>
                <w:spacing w:val="0"/>
                <w:w w:val="100"/>
                <w:position w:val="0"/>
              </w:rPr>
              <w:t>”</w:t>
            </w:r>
            <w:r>
              <w:rPr>
                <w:color w:val="000000"/>
                <w:spacing w:val="0"/>
                <w:w w:val="100"/>
                <w:position w:val="0"/>
              </w:rPr>
              <w:t>）、招联消费金融有限公司（以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招联金融</w:t>
            </w:r>
            <w:r>
              <w:rPr>
                <w:rFonts w:ascii="Times New Roman" w:eastAsia="Times New Roman" w:hAnsi="Times New Roman" w:cs="Times New Roman"/>
                <w:color w:val="000000"/>
                <w:spacing w:val="0"/>
                <w:w w:val="100"/>
                <w:position w:val="0"/>
              </w:rPr>
              <w:t>”</w:t>
            </w:r>
            <w:r>
              <w:rPr>
                <w:color w:val="000000"/>
                <w:spacing w:val="0"/>
                <w:w w:val="100"/>
                <w:position w:val="0"/>
              </w:rPr>
              <w:t>）的日常关联交易相关事项。部 分交易亦根据相关规则提交公司于报告期内召开 的年度股东大会审议并获通过。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有关详情请见公司在《中国证券报》《上海 证券报》《证券时报》、上海证券交易所网 站及本公司网站发布的《关于日常关联交易 的公告》（公告编号：</w:t>
            </w:r>
            <w:r>
              <w:rPr>
                <w:rFonts w:ascii="Times New Roman" w:eastAsia="Times New Roman" w:hAnsi="Times New Roman" w:cs="Times New Roman"/>
                <w:color w:val="000000"/>
                <w:spacing w:val="0"/>
                <w:w w:val="100"/>
                <w:position w:val="0"/>
              </w:rPr>
              <w:t xml:space="preserve">2021-023 </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年年度股东大会决议公告》（公告编号： </w:t>
            </w:r>
            <w:r>
              <w:rPr>
                <w:rFonts w:ascii="Times New Roman" w:eastAsia="Times New Roman" w:hAnsi="Times New Roman" w:cs="Times New Roman"/>
                <w:color w:val="000000"/>
                <w:spacing w:val="0"/>
                <w:w w:val="100"/>
                <w:position w:val="0"/>
              </w:rPr>
              <w:t>2021-052</w:t>
            </w:r>
            <w:r>
              <w:rPr>
                <w:color w:val="000000"/>
                <w:spacing w:val="0"/>
                <w:w w:val="100"/>
                <w:position w:val="0"/>
              </w:rPr>
              <w:t>）。</w:t>
            </w:r>
          </w:p>
        </w:tc>
      </w:tr>
      <w:tr>
        <w:trPr>
          <w:trHeight w:val="142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报告期内，公司董事会审议批准与阿里云计算有限 公司（以下简称"阿里云”）的日常关联交易。</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有关详情请见公司在《中国证券报》《上海 证券报》《证券时报》、上海证券交易所网 站及本公司网站发布的《关于日常关联交易 的公告》（公告编号：</w:t>
            </w:r>
            <w:r>
              <w:rPr>
                <w:rFonts w:ascii="Times New Roman" w:eastAsia="Times New Roman" w:hAnsi="Times New Roman" w:cs="Times New Roman"/>
                <w:color w:val="000000"/>
                <w:spacing w:val="0"/>
                <w:w w:val="100"/>
                <w:position w:val="0"/>
              </w:rPr>
              <w:t xml:space="preserve">2021-071 </w:t>
            </w:r>
            <w:r>
              <w:rPr>
                <w:color w:val="000000"/>
                <w:spacing w:val="0"/>
                <w:w w:val="100"/>
                <w:position w:val="0"/>
              </w:rPr>
              <w:t>）。</w:t>
            </w:r>
          </w:p>
        </w:tc>
      </w:tr>
    </w:tbl>
    <w:p>
      <w:pPr>
        <w:pStyle w:val="Style16"/>
        <w:keepNext/>
        <w:keepLines/>
        <w:widowControl w:val="0"/>
        <w:shd w:val="clear" w:color="auto" w:fill="auto"/>
        <w:tabs>
          <w:tab w:pos="1261" w:val="left"/>
        </w:tabs>
        <w:bidi w:val="0"/>
        <w:spacing w:before="0" w:after="120" w:line="240" w:lineRule="auto"/>
        <w:ind w:left="0" w:right="0" w:firstLine="720"/>
        <w:jc w:val="both"/>
      </w:pPr>
      <w:bookmarkStart w:id="499" w:name="bookmark499"/>
      <w:bookmarkStart w:id="500" w:name="bookmark500"/>
      <w:bookmarkStart w:id="501" w:name="bookmark501"/>
      <w:bookmarkStart w:id="502" w:name="bookmark502"/>
      <w:r>
        <w:rPr>
          <w:color w:val="000000"/>
          <w:spacing w:val="0"/>
          <w:w w:val="100"/>
          <w:position w:val="0"/>
        </w:rPr>
        <w:t>（</w:t>
      </w:r>
      <w:bookmarkEnd w:id="501"/>
      <w:r>
        <w:rPr>
          <w:color w:val="000000"/>
          <w:spacing w:val="0"/>
          <w:w w:val="100"/>
          <w:position w:val="0"/>
        </w:rPr>
        <w:t>二）</w:t>
        <w:tab/>
        <w:t>资产或股权收购、出售发生的关联交易</w:t>
      </w:r>
      <w:bookmarkEnd w:id="499"/>
      <w:bookmarkEnd w:id="500"/>
      <w:bookmarkEnd w:id="502"/>
    </w:p>
    <w:p>
      <w:pPr>
        <w:pStyle w:val="Style5"/>
        <w:keepNext w:val="0"/>
        <w:keepLines w:val="0"/>
        <w:widowControl w:val="0"/>
        <w:shd w:val="clear" w:color="auto" w:fill="auto"/>
        <w:bidi w:val="0"/>
        <w:spacing w:before="0" w:after="46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261" w:val="left"/>
        </w:tabs>
        <w:bidi w:val="0"/>
        <w:spacing w:before="0" w:after="120" w:line="240" w:lineRule="auto"/>
        <w:ind w:left="0" w:right="0" w:firstLine="720"/>
        <w:jc w:val="both"/>
      </w:pPr>
      <w:bookmarkStart w:id="503" w:name="bookmark503"/>
      <w:bookmarkStart w:id="504" w:name="bookmark504"/>
      <w:bookmarkStart w:id="505" w:name="bookmark505"/>
      <w:bookmarkStart w:id="506" w:name="bookmark506"/>
      <w:r>
        <w:rPr>
          <w:rFonts w:ascii="Calibri" w:eastAsia="Calibri" w:hAnsi="Calibri" w:cs="Calibri"/>
          <w:color w:val="000000"/>
          <w:spacing w:val="0"/>
          <w:w w:val="100"/>
          <w:position w:val="0"/>
        </w:rPr>
        <w:t>（</w:t>
      </w:r>
      <w:bookmarkEnd w:id="505"/>
      <w:r>
        <w:rPr>
          <w:color w:val="000000"/>
          <w:spacing w:val="0"/>
          <w:w w:val="100"/>
          <w:position w:val="0"/>
        </w:rPr>
        <w:t>三</w:t>
      </w:r>
      <w:r>
        <w:rPr>
          <w:rFonts w:ascii="Calibri" w:eastAsia="Calibri" w:hAnsi="Calibri" w:cs="Calibri"/>
          <w:color w:val="000000"/>
          <w:spacing w:val="0"/>
          <w:w w:val="100"/>
          <w:position w:val="0"/>
        </w:rPr>
        <w:t>）</w:t>
        <w:tab/>
      </w:r>
      <w:r>
        <w:rPr>
          <w:color w:val="000000"/>
          <w:spacing w:val="0"/>
          <w:w w:val="100"/>
          <w:position w:val="0"/>
        </w:rPr>
        <w:t>共同对外投资的重大关联交易</w:t>
      </w:r>
      <w:bookmarkEnd w:id="503"/>
      <w:bookmarkEnd w:id="504"/>
      <w:bookmarkEnd w:id="506"/>
    </w:p>
    <w:p>
      <w:pPr>
        <w:pStyle w:val="Style5"/>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246" w:val="left"/>
        </w:tabs>
        <w:bidi w:val="0"/>
        <w:spacing w:before="0" w:after="120" w:line="240" w:lineRule="auto"/>
        <w:ind w:left="0" w:right="0" w:firstLine="720"/>
        <w:jc w:val="both"/>
      </w:pPr>
      <w:bookmarkStart w:id="507" w:name="bookmark507"/>
      <w:bookmarkStart w:id="508" w:name="bookmark508"/>
      <w:bookmarkStart w:id="509" w:name="bookmark509"/>
      <w:bookmarkStart w:id="510" w:name="bookmark510"/>
      <w:r>
        <w:rPr>
          <w:rFonts w:ascii="Calibri" w:eastAsia="Calibri" w:hAnsi="Calibri" w:cs="Calibri"/>
          <w:color w:val="000000"/>
          <w:spacing w:val="0"/>
          <w:w w:val="100"/>
          <w:position w:val="0"/>
        </w:rPr>
        <w:t>（</w:t>
      </w:r>
      <w:bookmarkEnd w:id="509"/>
      <w:r>
        <w:rPr>
          <w:color w:val="000000"/>
          <w:spacing w:val="0"/>
          <w:w w:val="100"/>
          <w:position w:val="0"/>
        </w:rPr>
        <w:t>四</w:t>
      </w:r>
      <w:r>
        <w:rPr>
          <w:rFonts w:ascii="Calibri" w:eastAsia="Calibri" w:hAnsi="Calibri" w:cs="Calibri"/>
          <w:color w:val="000000"/>
          <w:spacing w:val="0"/>
          <w:w w:val="100"/>
          <w:position w:val="0"/>
        </w:rPr>
        <w:t>）</w:t>
        <w:tab/>
      </w:r>
      <w:r>
        <w:rPr>
          <w:color w:val="000000"/>
          <w:spacing w:val="0"/>
          <w:w w:val="100"/>
          <w:position w:val="0"/>
        </w:rPr>
        <w:t>关联债权债务往来</w:t>
      </w:r>
      <w:bookmarkEnd w:id="507"/>
      <w:bookmarkEnd w:id="508"/>
      <w:bookmarkEnd w:id="510"/>
    </w:p>
    <w:p>
      <w:pPr>
        <w:pStyle w:val="Style5"/>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261" w:val="left"/>
        </w:tabs>
        <w:bidi w:val="0"/>
        <w:spacing w:before="0" w:after="120" w:line="240" w:lineRule="auto"/>
        <w:ind w:left="0" w:right="0" w:firstLine="720"/>
        <w:jc w:val="both"/>
      </w:pPr>
      <w:bookmarkStart w:id="511" w:name="bookmark511"/>
      <w:bookmarkStart w:id="512" w:name="bookmark512"/>
      <w:bookmarkStart w:id="513" w:name="bookmark513"/>
      <w:bookmarkStart w:id="514" w:name="bookmark514"/>
      <w:r>
        <w:rPr>
          <w:color w:val="000000"/>
          <w:spacing w:val="0"/>
          <w:w w:val="100"/>
          <w:position w:val="0"/>
        </w:rPr>
        <w:t>（</w:t>
      </w:r>
      <w:bookmarkEnd w:id="513"/>
      <w:r>
        <w:rPr>
          <w:color w:val="000000"/>
          <w:spacing w:val="0"/>
          <w:w w:val="100"/>
          <w:position w:val="0"/>
        </w:rPr>
        <w:t>五）</w:t>
        <w:tab/>
        <w:t>公司与存在关联关系的财务公司、公司控股财务公司与关联方之间的金融业务</w:t>
      </w:r>
      <w:bookmarkEnd w:id="511"/>
      <w:bookmarkEnd w:id="512"/>
      <w:bookmarkEnd w:id="514"/>
    </w:p>
    <w:p>
      <w:pPr>
        <w:pStyle w:val="Style16"/>
        <w:keepNext/>
        <w:keepLines/>
        <w:widowControl w:val="0"/>
        <w:numPr>
          <w:ilvl w:val="0"/>
          <w:numId w:val="41"/>
        </w:numPr>
        <w:shd w:val="clear" w:color="auto" w:fill="auto"/>
        <w:bidi w:val="0"/>
        <w:spacing w:before="0" w:after="380" w:line="240" w:lineRule="auto"/>
        <w:ind w:left="0" w:right="0" w:firstLine="720"/>
        <w:jc w:val="both"/>
      </w:pPr>
      <w:bookmarkStart w:id="511" w:name="bookmark511"/>
      <w:bookmarkStart w:id="512" w:name="bookmark512"/>
      <w:bookmarkStart w:id="515" w:name="bookmark515"/>
      <w:bookmarkStart w:id="516" w:name="bookmark516"/>
      <w:bookmarkEnd w:id="515"/>
      <w:r>
        <w:rPr>
          <w:color w:val="000000"/>
          <w:spacing w:val="0"/>
          <w:w w:val="100"/>
          <w:position w:val="0"/>
        </w:rPr>
        <w:t>存款业务</w:t>
      </w:r>
      <w:bookmarkEnd w:id="511"/>
      <w:bookmarkEnd w:id="512"/>
      <w:bookmarkEnd w:id="5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82"/>
        <w:gridCol w:w="1138"/>
        <w:gridCol w:w="1272"/>
        <w:gridCol w:w="1229"/>
        <w:gridCol w:w="1325"/>
        <w:gridCol w:w="1512"/>
        <w:gridCol w:w="1416"/>
        <w:gridCol w:w="1286"/>
      </w:tblGrid>
      <w:tr>
        <w:trPr>
          <w:trHeight w:val="326" w:hRule="exact"/>
        </w:trPr>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每日最高存 款限额</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存款利率 范围</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本期合计存入 金额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本期合计取 出金额</w:t>
            </w:r>
          </w:p>
        </w:tc>
        <w:tc>
          <w:tcPr>
            <w:vMerge/>
            <w:tcBorders>
              <w:left w:val="single" w:sz="4"/>
              <w:right w:val="single" w:sz="4"/>
            </w:tcBorders>
            <w:shd w:val="clear" w:color="auto" w:fill="D9D9D9"/>
            <w:vAlign w:val="center"/>
          </w:tcPr>
          <w:p>
            <w:pP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联通集团及 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3,555,491,413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60,878,672,220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60,243,866,321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4,190,297,312</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其他合营和 联营企业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58,868,698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246,089,122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243,575,944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61,381,876</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3,614,360,111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61,124,761,342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60,487,442,265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4,251,679,188</w:t>
            </w:r>
          </w:p>
        </w:tc>
      </w:tr>
    </w:tbl>
    <w:p>
      <w:pPr>
        <w:widowControl w:val="0"/>
        <w:spacing w:after="319" w:line="1" w:lineRule="exact"/>
      </w:pPr>
    </w:p>
    <w:p>
      <w:pPr>
        <w:pStyle w:val="Style5"/>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利率的确定方式为基于不同存款类型执行挂牌利率或挂牌利率进行适当上浮。</w:t>
      </w:r>
    </w:p>
    <w:p>
      <w:pPr>
        <w:pStyle w:val="Style16"/>
        <w:keepNext/>
        <w:keepLines/>
        <w:widowControl w:val="0"/>
        <w:numPr>
          <w:ilvl w:val="0"/>
          <w:numId w:val="41"/>
        </w:numPr>
        <w:shd w:val="clear" w:color="auto" w:fill="auto"/>
        <w:bidi w:val="0"/>
        <w:spacing w:before="0" w:after="380" w:line="240" w:lineRule="auto"/>
        <w:ind w:left="0" w:right="0" w:firstLine="720"/>
        <w:jc w:val="both"/>
      </w:pPr>
      <w:bookmarkStart w:id="517" w:name="bookmark517"/>
      <w:bookmarkStart w:id="518" w:name="bookmark518"/>
      <w:bookmarkStart w:id="519" w:name="bookmark519"/>
      <w:bookmarkStart w:id="520" w:name="bookmark520"/>
      <w:bookmarkEnd w:id="519"/>
      <w:r>
        <w:rPr>
          <w:color w:val="000000"/>
          <w:spacing w:val="0"/>
          <w:w w:val="100"/>
          <w:position w:val="0"/>
        </w:rPr>
        <w:t>贷款业务</w:t>
      </w:r>
      <w:bookmarkEnd w:id="517"/>
      <w:bookmarkEnd w:id="518"/>
      <w:bookmarkEnd w:id="5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262"/>
        <w:gridCol w:w="811"/>
        <w:gridCol w:w="1186"/>
        <w:gridCol w:w="883"/>
        <w:gridCol w:w="1330"/>
        <w:gridCol w:w="1517"/>
        <w:gridCol w:w="1584"/>
        <w:gridCol w:w="1637"/>
      </w:tblGrid>
      <w:tr>
        <w:trPr>
          <w:trHeight w:val="326" w:hRule="exact"/>
        </w:trPr>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贷款额度</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贷款利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率范围</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2"/>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634"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本期合计贷款 金额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本期合计还款 金额</w:t>
            </w:r>
          </w:p>
        </w:tc>
        <w:tc>
          <w:tcPr>
            <w:vMerge/>
            <w:tcBorders>
              <w:left w:val="single" w:sz="4"/>
              <w:right w:val="single" w:sz="4"/>
            </w:tcBorders>
            <w:shd w:val="clear" w:color="auto" w:fill="D9D9D9"/>
            <w:vAlign w:val="center"/>
          </w:tcPr>
          <w:p>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联通集团及 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控股股 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10,510,092,98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11,733,230,215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11,832,836,534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10,410,486,667</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10,510,092,98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11,733,230,215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11,832,836,534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10,410,486,667</w:t>
            </w:r>
          </w:p>
        </w:tc>
      </w:tr>
    </w:tbl>
    <w:p>
      <w:pPr>
        <w:pStyle w:val="Style25"/>
        <w:keepNext w:val="0"/>
        <w:keepLines w:val="0"/>
        <w:widowControl w:val="0"/>
        <w:shd w:val="clear" w:color="auto" w:fill="auto"/>
        <w:bidi w:val="0"/>
        <w:spacing w:before="0" w:after="0" w:line="240" w:lineRule="auto"/>
        <w:ind w:left="557" w:right="0" w:firstLine="0"/>
        <w:jc w:val="left"/>
      </w:pPr>
      <w:r>
        <w:rPr>
          <w:color w:val="000000"/>
          <w:spacing w:val="0"/>
          <w:w w:val="100"/>
          <w:position w:val="0"/>
        </w:rPr>
        <w:t>利率的确定方式为按季浮动（每季第三个月</w:t>
      </w:r>
      <w:r>
        <w:rPr>
          <w:color w:val="000000"/>
          <w:spacing w:val="0"/>
          <w:w w:val="100"/>
          <w:position w:val="0"/>
        </w:rPr>
        <w:t>21</w:t>
      </w:r>
      <w:r>
        <w:rPr>
          <w:color w:val="000000"/>
          <w:spacing w:val="0"/>
          <w:w w:val="100"/>
          <w:position w:val="0"/>
        </w:rPr>
        <w:t>日调整）。</w:t>
      </w:r>
    </w:p>
    <w:p>
      <w:pPr>
        <w:widowControl w:val="0"/>
        <w:spacing w:after="459" w:line="1" w:lineRule="exact"/>
      </w:pPr>
    </w:p>
    <w:p>
      <w:pPr>
        <w:pStyle w:val="Style16"/>
        <w:keepNext/>
        <w:keepLines/>
        <w:widowControl w:val="0"/>
        <w:numPr>
          <w:ilvl w:val="0"/>
          <w:numId w:val="41"/>
        </w:numPr>
        <w:shd w:val="clear" w:color="auto" w:fill="auto"/>
        <w:bidi w:val="0"/>
        <w:spacing w:before="0" w:after="380" w:line="240" w:lineRule="auto"/>
        <w:ind w:left="0" w:right="0" w:firstLine="720"/>
        <w:jc w:val="both"/>
      </w:pPr>
      <w:bookmarkStart w:id="521" w:name="bookmark521"/>
      <w:bookmarkStart w:id="522" w:name="bookmark522"/>
      <w:bookmarkStart w:id="523" w:name="bookmark523"/>
      <w:bookmarkStart w:id="524" w:name="bookmark524"/>
      <w:bookmarkEnd w:id="523"/>
      <w:r>
        <w:rPr>
          <w:color w:val="000000"/>
          <w:spacing w:val="0"/>
          <w:w w:val="100"/>
          <w:position w:val="0"/>
        </w:rPr>
        <w:t>授信业务或其他金融业务</w:t>
      </w:r>
      <w:bookmarkEnd w:id="521"/>
      <w:bookmarkEnd w:id="522"/>
      <w:bookmarkEnd w:id="5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68"/>
        <w:gridCol w:w="3547"/>
        <w:gridCol w:w="1426"/>
        <w:gridCol w:w="1843"/>
        <w:gridCol w:w="1392"/>
      </w:tblGrid>
      <w:tr>
        <w:trPr>
          <w:trHeight w:val="638"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额度上限</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实际最高上 限</w:t>
            </w:r>
          </w:p>
        </w:tc>
      </w:tr>
      <w:tr>
        <w:trPr>
          <w:trHeight w:val="9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招联消费金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公司高级副总裁唐永博先生及监事 会主席李翀先生在招联金融担任董 事职务，根据《上海证券交易所股票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同业拆出等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100,243,750</w:t>
            </w:r>
          </w:p>
        </w:tc>
      </w:tr>
    </w:tbl>
    <w:tbl>
      <w:tblPr>
        <w:tblOverlap w:val="never"/>
        <w:jc w:val="center"/>
        <w:tblLayout w:type="fixed"/>
      </w:tblPr>
      <w:tblGrid>
        <w:gridCol w:w="1368"/>
        <w:gridCol w:w="3547"/>
        <w:gridCol w:w="1426"/>
        <w:gridCol w:w="1858"/>
        <w:gridCol w:w="1378"/>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上市规则》第十章的相关规定，招联 金融构成公司的关联法人。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广发银行股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公司离任董事尹兆君先生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5</w:t>
            </w:r>
            <w:r>
              <w:rPr>
                <w:color w:val="000000"/>
                <w:spacing w:val="0"/>
                <w:w w:val="100"/>
                <w:position w:val="0"/>
              </w:rPr>
              <w:t>日前在广发银行担任行长、副董事 长职务，根据《上海证券交易所股票 上市规则》第十章的相关规定，广发 银行构成公司的关联法人。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存放同业、同 业拆入等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12,500,000,000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502,638,198</w:t>
            </w:r>
          </w:p>
        </w:tc>
      </w:tr>
    </w:tbl>
    <w:p>
      <w:pPr>
        <w:widowControl w:val="0"/>
        <w:spacing w:after="239" w:line="1" w:lineRule="exact"/>
      </w:pPr>
    </w:p>
    <w:p>
      <w:pPr>
        <w:pStyle w:val="Style5"/>
        <w:keepNext w:val="0"/>
        <w:keepLines w:val="0"/>
        <w:widowControl w:val="0"/>
        <w:shd w:val="clear" w:color="auto" w:fill="auto"/>
        <w:bidi w:val="0"/>
        <w:spacing w:before="0" w:after="300" w:line="310" w:lineRule="exact"/>
        <w:ind w:left="720" w:right="0" w:firstLine="0"/>
        <w:jc w:val="left"/>
      </w:pPr>
      <w:r>
        <w:rPr>
          <w:color w:val="000000"/>
          <w:spacing w:val="0"/>
          <w:w w:val="100"/>
          <w:position w:val="0"/>
        </w:rPr>
        <w:t>除上述金融业务外，（</w:t>
      </w:r>
      <w:r>
        <w:rPr>
          <w:rFonts w:ascii="Times New Roman" w:eastAsia="Times New Roman" w:hAnsi="Times New Roman" w:cs="Times New Roman"/>
          <w:color w:val="000000"/>
          <w:spacing w:val="0"/>
          <w:w w:val="100"/>
          <w:position w:val="0"/>
        </w:rPr>
        <w:t>1</w:t>
      </w:r>
      <w:r>
        <w:rPr>
          <w:color w:val="000000"/>
          <w:spacing w:val="0"/>
          <w:w w:val="100"/>
          <w:position w:val="0"/>
        </w:rPr>
        <w:t>）联通集团财务有限公司</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财务公司</w:t>
      </w:r>
      <w:r>
        <w:rPr>
          <w:rFonts w:ascii="Times New Roman" w:eastAsia="Times New Roman" w:hAnsi="Times New Roman" w:cs="Times New Roman"/>
          <w:color w:val="000000"/>
          <w:spacing w:val="0"/>
          <w:w w:val="100"/>
          <w:position w:val="0"/>
        </w:rPr>
        <w:t>”）</w:t>
      </w:r>
      <w:r>
        <w:rPr>
          <w:color w:val="000000"/>
          <w:spacing w:val="0"/>
          <w:w w:val="100"/>
          <w:position w:val="0"/>
        </w:rPr>
        <w:t>对联通集团及其子公司截至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日的授信额度为</w:t>
      </w:r>
      <w:r>
        <w:rPr>
          <w:rFonts w:ascii="Times New Roman" w:eastAsia="Times New Roman" w:hAnsi="Times New Roman" w:cs="Times New Roman"/>
          <w:color w:val="000000"/>
          <w:spacing w:val="0"/>
          <w:w w:val="100"/>
          <w:position w:val="0"/>
        </w:rPr>
        <w:t>155</w:t>
      </w:r>
      <w:r>
        <w:rPr>
          <w:color w:val="000000"/>
          <w:spacing w:val="0"/>
          <w:w w:val="100"/>
          <w:position w:val="0"/>
        </w:rPr>
        <w:t>亿元，其中已签署协议的额度为</w:t>
      </w:r>
      <w:r>
        <w:rPr>
          <w:rFonts w:ascii="Times New Roman" w:eastAsia="Times New Roman" w:hAnsi="Times New Roman" w:cs="Times New Roman"/>
          <w:color w:val="000000"/>
          <w:spacing w:val="0"/>
          <w:w w:val="100"/>
          <w:position w:val="0"/>
        </w:rPr>
        <w:t>150</w:t>
      </w:r>
      <w:r>
        <w:rPr>
          <w:color w:val="000000"/>
          <w:spacing w:val="0"/>
          <w:w w:val="100"/>
          <w:position w:val="0"/>
        </w:rPr>
        <w:t>亿元，截至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贷款本金账面余额为</w:t>
      </w:r>
      <w:r>
        <w:rPr>
          <w:rFonts w:ascii="Times New Roman" w:eastAsia="Times New Roman" w:hAnsi="Times New Roman" w:cs="Times New Roman"/>
          <w:color w:val="000000"/>
          <w:spacing w:val="0"/>
          <w:w w:val="100"/>
          <w:position w:val="0"/>
        </w:rPr>
        <w:t>104</w:t>
      </w:r>
      <w:r>
        <w:rPr>
          <w:color w:val="000000"/>
          <w:spacing w:val="0"/>
          <w:w w:val="100"/>
          <w:position w:val="0"/>
        </w:rPr>
        <w:t>亿。</w:t>
      </w:r>
    </w:p>
    <w:p>
      <w:pPr>
        <w:pStyle w:val="Style16"/>
        <w:keepNext/>
        <w:keepLines/>
        <w:widowControl w:val="0"/>
        <w:numPr>
          <w:ilvl w:val="0"/>
          <w:numId w:val="41"/>
        </w:numPr>
        <w:shd w:val="clear" w:color="auto" w:fill="auto"/>
        <w:bidi w:val="0"/>
        <w:spacing w:before="0" w:after="60" w:line="312" w:lineRule="exact"/>
        <w:ind w:left="0" w:right="0" w:firstLine="720"/>
        <w:jc w:val="left"/>
      </w:pPr>
      <w:bookmarkStart w:id="525" w:name="bookmark525"/>
      <w:bookmarkStart w:id="526" w:name="bookmark526"/>
      <w:bookmarkStart w:id="527" w:name="bookmark527"/>
      <w:bookmarkStart w:id="528" w:name="bookmark528"/>
      <w:bookmarkEnd w:id="527"/>
      <w:r>
        <w:rPr>
          <w:color w:val="000000"/>
          <w:spacing w:val="0"/>
          <w:w w:val="100"/>
          <w:position w:val="0"/>
        </w:rPr>
        <w:t>其他说明</w:t>
      </w:r>
      <w:bookmarkEnd w:id="525"/>
      <w:bookmarkEnd w:id="526"/>
      <w:bookmarkEnd w:id="528"/>
    </w:p>
    <w:p>
      <w:pPr>
        <w:pStyle w:val="Style5"/>
        <w:keepNext w:val="0"/>
        <w:keepLines w:val="0"/>
        <w:widowControl w:val="0"/>
        <w:shd w:val="clear" w:color="auto" w:fill="auto"/>
        <w:bidi w:val="0"/>
        <w:spacing w:before="0" w:after="300" w:line="312" w:lineRule="exact"/>
        <w:ind w:left="720" w:right="0" w:firstLine="0"/>
        <w:jc w:val="both"/>
      </w:pPr>
      <w:r>
        <w:rPr>
          <w:color w:val="000000"/>
          <w:spacing w:val="0"/>
          <w:w w:val="100"/>
          <w:position w:val="0"/>
        </w:rPr>
        <w:t>财务公司为公司控股子公司，具有相关经营资质，建立了较为完整合理的内部控制制度，能较好地控 制风险。财务公司从未发生过违法违规、业务违约的情形，也未有危及资金安全和可收回性难以保障 等可能损害上市公司利益的情况发生。</w:t>
      </w:r>
    </w:p>
    <w:p>
      <w:pPr>
        <w:pStyle w:val="Style5"/>
        <w:keepNext w:val="0"/>
        <w:keepLines w:val="0"/>
        <w:widowControl w:val="0"/>
        <w:shd w:val="clear" w:color="auto" w:fill="auto"/>
        <w:bidi w:val="0"/>
        <w:spacing w:before="0" w:after="60" w:line="312" w:lineRule="exact"/>
        <w:ind w:left="0" w:right="0" w:firstLine="72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60" w:line="312" w:lineRule="exact"/>
        <w:ind w:left="0" w:right="0" w:firstLine="720"/>
        <w:jc w:val="left"/>
      </w:pPr>
      <w:bookmarkStart w:id="529" w:name="bookmark529"/>
      <w:r>
        <w:rPr>
          <w:b/>
          <w:bCs/>
          <w:color w:val="000000"/>
          <w:spacing w:val="0"/>
          <w:w w:val="100"/>
          <w:position w:val="0"/>
        </w:rPr>
        <w:t>（</w:t>
      </w:r>
      <w:bookmarkEnd w:id="529"/>
      <w:r>
        <w:rPr>
          <w:b/>
          <w:bCs/>
          <w:color w:val="000000"/>
          <w:spacing w:val="0"/>
          <w:w w:val="100"/>
          <w:position w:val="0"/>
        </w:rPr>
        <w:t>一）托管、承包、租赁事项</w:t>
      </w:r>
    </w:p>
    <w:p>
      <w:pPr>
        <w:pStyle w:val="Style5"/>
        <w:keepNext w:val="0"/>
        <w:keepLines w:val="0"/>
        <w:widowControl w:val="0"/>
        <w:shd w:val="clear" w:color="auto" w:fill="auto"/>
        <w:tabs>
          <w:tab w:pos="1133" w:val="left"/>
        </w:tabs>
        <w:bidi w:val="0"/>
        <w:spacing w:before="0" w:after="60" w:line="312" w:lineRule="exact"/>
        <w:ind w:left="0" w:right="0" w:firstLine="720"/>
        <w:jc w:val="left"/>
      </w:pPr>
      <w:bookmarkStart w:id="530" w:name="bookmark530"/>
      <w:r>
        <w:rPr>
          <w:b/>
          <w:bCs/>
          <w:color w:val="000000"/>
          <w:spacing w:val="0"/>
          <w:w w:val="100"/>
          <w:position w:val="0"/>
        </w:rPr>
        <w:t>1</w:t>
      </w:r>
      <w:bookmarkEnd w:id="530"/>
      <w:r>
        <w:rPr>
          <w:b/>
          <w:bCs/>
          <w:color w:val="000000"/>
          <w:spacing w:val="0"/>
          <w:w w:val="100"/>
          <w:position w:val="0"/>
        </w:rPr>
        <w:t>、</w:t>
        <w:tab/>
        <w:t>托管情况</w:t>
      </w:r>
    </w:p>
    <w:p>
      <w:pPr>
        <w:pStyle w:val="Style5"/>
        <w:keepNext w:val="0"/>
        <w:keepLines w:val="0"/>
        <w:widowControl w:val="0"/>
        <w:shd w:val="clear" w:color="auto" w:fill="auto"/>
        <w:bidi w:val="0"/>
        <w:spacing w:before="0" w:after="60" w:line="312" w:lineRule="exact"/>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133" w:val="left"/>
        </w:tabs>
        <w:bidi w:val="0"/>
        <w:spacing w:before="0" w:after="60" w:line="312" w:lineRule="exact"/>
        <w:ind w:left="0" w:right="0" w:firstLine="720"/>
        <w:jc w:val="left"/>
      </w:pPr>
      <w:bookmarkStart w:id="531" w:name="bookmark531"/>
      <w:bookmarkStart w:id="532" w:name="bookmark532"/>
      <w:bookmarkStart w:id="533" w:name="bookmark533"/>
      <w:bookmarkStart w:id="534" w:name="bookmark534"/>
      <w:r>
        <w:rPr>
          <w:color w:val="000000"/>
          <w:spacing w:val="0"/>
          <w:w w:val="100"/>
          <w:position w:val="0"/>
        </w:rPr>
        <w:t>2</w:t>
      </w:r>
      <w:bookmarkEnd w:id="533"/>
      <w:r>
        <w:rPr>
          <w:color w:val="000000"/>
          <w:spacing w:val="0"/>
          <w:w w:val="100"/>
          <w:position w:val="0"/>
        </w:rPr>
        <w:t>、</w:t>
        <w:tab/>
        <w:t>承包情况</w:t>
      </w:r>
      <w:bookmarkEnd w:id="531"/>
      <w:bookmarkEnd w:id="532"/>
      <w:bookmarkEnd w:id="534"/>
    </w:p>
    <w:p>
      <w:pPr>
        <w:pStyle w:val="Style5"/>
        <w:keepNext w:val="0"/>
        <w:keepLines w:val="0"/>
        <w:widowControl w:val="0"/>
        <w:shd w:val="clear" w:color="auto" w:fill="auto"/>
        <w:bidi w:val="0"/>
        <w:spacing w:before="0" w:after="140" w:line="312" w:lineRule="exact"/>
        <w:ind w:left="0" w:right="0" w:firstLine="7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tabs>
          <w:tab w:pos="1133" w:val="left"/>
        </w:tabs>
        <w:bidi w:val="0"/>
        <w:spacing w:before="0" w:after="60" w:line="312" w:lineRule="exact"/>
        <w:ind w:left="0" w:right="0" w:firstLine="720"/>
        <w:jc w:val="left"/>
      </w:pPr>
      <w:bookmarkStart w:id="535" w:name="bookmark535"/>
      <w:bookmarkStart w:id="536" w:name="bookmark536"/>
      <w:bookmarkStart w:id="537" w:name="bookmark537"/>
      <w:bookmarkStart w:id="538" w:name="bookmark538"/>
      <w:r>
        <w:rPr>
          <w:color w:val="000000"/>
          <w:spacing w:val="0"/>
          <w:w w:val="100"/>
          <w:position w:val="0"/>
        </w:rPr>
        <w:t>3</w:t>
      </w:r>
      <w:bookmarkEnd w:id="537"/>
      <w:r>
        <w:rPr>
          <w:color w:val="000000"/>
          <w:spacing w:val="0"/>
          <w:w w:val="100"/>
          <w:position w:val="0"/>
        </w:rPr>
        <w:t>、</w:t>
        <w:tab/>
        <w:t>租赁情况</w:t>
      </w:r>
      <w:bookmarkEnd w:id="535"/>
      <w:bookmarkEnd w:id="536"/>
      <w:bookmarkEnd w:id="538"/>
    </w:p>
    <w:p>
      <w:pPr>
        <w:pStyle w:val="Style5"/>
        <w:keepNext w:val="0"/>
        <w:keepLines w:val="0"/>
        <w:widowControl w:val="0"/>
        <w:shd w:val="clear" w:color="auto" w:fill="auto"/>
        <w:bidi w:val="0"/>
        <w:spacing w:before="0" w:after="60" w:line="312" w:lineRule="exact"/>
        <w:ind w:left="0" w:right="0" w:firstLine="720"/>
        <w:jc w:val="left"/>
        <w:sectPr>
          <w:footnotePr>
            <w:pos w:val="pageBottom"/>
            <w:numFmt w:val="decimal"/>
            <w:numRestart w:val="continuous"/>
          </w:footnotePr>
          <w:pgSz w:w="11900" w:h="16840"/>
          <w:pgMar w:top="1441" w:right="721" w:bottom="1465" w:left="721"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bidi w:val="0"/>
        <w:spacing w:before="0" w:after="30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color w:val="000000"/>
          <w:spacing w:val="0"/>
          <w:w w:val="100"/>
          <w:position w:val="0"/>
        </w:rPr>
        <w:t>二）担保情况</w:t>
      </w:r>
      <w:bookmarkEnd w:id="539"/>
      <w:bookmarkEnd w:id="540"/>
      <w:bookmarkEnd w:id="542"/>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rPr>
        <w:t>：</w:t>
      </w:r>
      <w:r>
        <w:rPr>
          <w:color w:val="000000"/>
          <w:spacing w:val="0"/>
          <w:w w:val="100"/>
          <w:position w:val="0"/>
        </w:rPr>
        <w:t>元币种</w:t>
      </w:r>
      <w:r>
        <w:rPr>
          <w:color w:val="000000"/>
          <w:spacing w:val="0"/>
          <w:w w:val="100"/>
          <w:position w:val="0"/>
        </w:rPr>
        <w:t>：</w:t>
      </w:r>
      <w:r>
        <w:rPr>
          <w:color w:val="000000"/>
          <w:spacing w:val="0"/>
          <w:w w:val="100"/>
          <w:position w:val="0"/>
        </w:rPr>
        <w:t>人民币</w:t>
      </w:r>
    </w:p>
    <w:tbl>
      <w:tblPr>
        <w:tblOverlap w:val="never"/>
        <w:jc w:val="center"/>
        <w:tblLayout w:type="fixed"/>
      </w:tblPr>
      <w:tblGrid>
        <w:gridCol w:w="5971"/>
        <w:gridCol w:w="7978"/>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720" w:right="0" w:firstLine="0"/>
              <w:jc w:val="left"/>
            </w:pPr>
            <w:r>
              <w:rPr>
                <w:rFonts w:ascii="Times New Roman" w:eastAsia="Times New Roman" w:hAnsi="Times New Roman" w:cs="Times New Roman"/>
                <w:color w:val="000000"/>
                <w:spacing w:val="0"/>
                <w:w w:val="100"/>
                <w:position w:val="0"/>
              </w:rPr>
              <w:t>0</w:t>
            </w: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（不包括对子公司的担保）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7720" w:right="0" w:firstLine="0"/>
              <w:jc w:val="left"/>
            </w:pPr>
            <w:r>
              <w:rPr>
                <w:rFonts w:ascii="Times New Roman" w:eastAsia="Times New Roman" w:hAnsi="Times New Roman" w:cs="Times New Roman"/>
                <w:color w:val="000000"/>
                <w:spacing w:val="0"/>
                <w:w w:val="100"/>
                <w:position w:val="0"/>
              </w:rPr>
              <w:t>0</w:t>
            </w: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5240" w:right="0" w:firstLine="0"/>
              <w:jc w:val="left"/>
            </w:pPr>
            <w:r>
              <w:rPr>
                <w:color w:val="000000"/>
                <w:spacing w:val="0"/>
                <w:w w:val="100"/>
                <w:position w:val="0"/>
              </w:rPr>
              <w:t>公司及</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专子公司对子公司的担保情况</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110,936,125.62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95,182,039.38</w:t>
            </w:r>
          </w:p>
        </w:tc>
      </w:tr>
      <w:tr>
        <w:trPr>
          <w:trHeight w:val="317"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95,182,039.38</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0.064</w:t>
            </w:r>
          </w:p>
        </w:tc>
      </w:tr>
      <w:tr>
        <w:trPr>
          <w:trHeight w:val="317" w:hRule="exact"/>
        </w:trPr>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820" w:right="0" w:firstLine="0"/>
              <w:jc w:val="left"/>
            </w:pPr>
            <w:r>
              <w:rPr>
                <w:rFonts w:ascii="Times New Roman" w:eastAsia="Times New Roman" w:hAnsi="Times New Roman" w:cs="Times New Roman"/>
                <w:color w:val="000000"/>
                <w:spacing w:val="0"/>
                <w:w w:val="100"/>
                <w:position w:val="0"/>
              </w:rPr>
              <w:t>0</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 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820" w:right="0" w:firstLine="0"/>
              <w:jc w:val="left"/>
            </w:pPr>
            <w:r>
              <w:rPr>
                <w:rFonts w:ascii="Times New Roman" w:eastAsia="Times New Roman" w:hAnsi="Times New Roman" w:cs="Times New Roman"/>
                <w:color w:val="000000"/>
                <w:spacing w:val="0"/>
                <w:w w:val="100"/>
                <w:position w:val="0"/>
              </w:rPr>
              <w:t>0</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82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7820" w:right="0" w:firstLine="0"/>
              <w:jc w:val="left"/>
            </w:pPr>
            <w:r>
              <w:rPr>
                <w:rFonts w:ascii="Times New Roman" w:eastAsia="Times New Roman" w:hAnsi="Times New Roman" w:cs="Times New Roman"/>
                <w:color w:val="000000"/>
                <w:spacing w:val="0"/>
                <w:w w:val="100"/>
                <w:position w:val="0"/>
              </w:rPr>
              <w:t>0</w:t>
            </w:r>
          </w:p>
        </w:tc>
      </w:tr>
      <w:tr>
        <w:trPr>
          <w:trHeight w:val="3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83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公司控股子公司联通集团财务有限公司向联通运营公司及其分子公司提供的非融资性 担保；该担保公司已按照相关法律法规、《公司章程》及制度规定履行了必要的审议和 决策程序，信息披露充分完整。</w:t>
            </w:r>
          </w:p>
        </w:tc>
      </w:tr>
    </w:tbl>
    <w:p>
      <w:pPr>
        <w:sectPr>
          <w:footnotePr>
            <w:pos w:val="pageBottom"/>
            <w:numFmt w:val="decimal"/>
            <w:numRestart w:val="continuous"/>
          </w:footnotePr>
          <w:pgSz w:w="16840" w:h="11900" w:orient="landscape"/>
          <w:pgMar w:top="1857" w:right="1488" w:bottom="1857" w:left="1402" w:header="0" w:footer="3" w:gutter="0"/>
          <w:cols w:space="720"/>
          <w:noEndnote/>
          <w:rtlGutter w:val="0"/>
          <w:docGrid w:linePitch="360"/>
        </w:sectPr>
      </w:pPr>
    </w:p>
    <w:p>
      <w:pPr>
        <w:pStyle w:val="Style16"/>
        <w:keepNext/>
        <w:keepLines/>
        <w:widowControl w:val="0"/>
        <w:shd w:val="clear" w:color="auto" w:fill="auto"/>
        <w:bidi w:val="0"/>
        <w:spacing w:before="140" w:after="140" w:line="240" w:lineRule="auto"/>
        <w:ind w:left="1140" w:right="0" w:firstLine="0"/>
        <w:jc w:val="left"/>
      </w:pPr>
      <w:bookmarkStart w:id="547" w:name="bookmark547"/>
      <w:bookmarkStart w:id="548" w:name="bookmark548"/>
      <w:bookmarkStart w:id="549" w:name="bookmark549"/>
      <w:bookmarkStart w:id="550" w:name="bookmark550"/>
      <w:r>
        <w:rPr>
          <w:color w:val="000000"/>
          <w:spacing w:val="0"/>
          <w:w w:val="100"/>
          <w:position w:val="0"/>
        </w:rPr>
        <w:t>（</w:t>
      </w:r>
      <w:bookmarkEnd w:id="549"/>
      <w:r>
        <w:rPr>
          <w:color w:val="000000"/>
          <w:spacing w:val="0"/>
          <w:w w:val="100"/>
          <w:position w:val="0"/>
        </w:rPr>
        <w:t>三）委托他人进行现金资产管理的情况</w:t>
      </w:r>
      <w:bookmarkEnd w:id="547"/>
      <w:bookmarkEnd w:id="548"/>
      <w:bookmarkEnd w:id="550"/>
    </w:p>
    <w:p>
      <w:pPr>
        <w:pStyle w:val="Style16"/>
        <w:keepNext/>
        <w:keepLines/>
        <w:widowControl w:val="0"/>
        <w:numPr>
          <w:ilvl w:val="0"/>
          <w:numId w:val="43"/>
        </w:numPr>
        <w:shd w:val="clear" w:color="auto" w:fill="auto"/>
        <w:tabs>
          <w:tab w:pos="1551" w:val="left"/>
        </w:tabs>
        <w:bidi w:val="0"/>
        <w:spacing w:before="0" w:after="140" w:line="240" w:lineRule="auto"/>
        <w:ind w:left="1140" w:right="0" w:firstLine="0"/>
        <w:jc w:val="left"/>
      </w:pPr>
      <w:bookmarkStart w:id="547" w:name="bookmark547"/>
      <w:bookmarkStart w:id="548" w:name="bookmark548"/>
      <w:bookmarkStart w:id="551" w:name="bookmark551"/>
      <w:bookmarkStart w:id="552" w:name="bookmark552"/>
      <w:bookmarkEnd w:id="551"/>
      <w:r>
        <w:rPr>
          <w:color w:val="000000"/>
          <w:spacing w:val="0"/>
          <w:w w:val="100"/>
          <w:position w:val="0"/>
        </w:rPr>
        <w:t>委托理财情况</w:t>
      </w:r>
      <w:bookmarkEnd w:id="547"/>
      <w:bookmarkEnd w:id="548"/>
      <w:bookmarkEnd w:id="552"/>
    </w:p>
    <w:p>
      <w:pPr>
        <w:pStyle w:val="Style5"/>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43"/>
        </w:numPr>
        <w:shd w:val="clear" w:color="auto" w:fill="auto"/>
        <w:tabs>
          <w:tab w:pos="1551" w:val="left"/>
        </w:tabs>
        <w:bidi w:val="0"/>
        <w:spacing w:before="0" w:after="140" w:line="240" w:lineRule="auto"/>
        <w:ind w:left="1140" w:right="0" w:firstLine="0"/>
        <w:jc w:val="left"/>
      </w:pPr>
      <w:bookmarkStart w:id="553" w:name="bookmark553"/>
      <w:bookmarkStart w:id="554" w:name="bookmark554"/>
      <w:bookmarkStart w:id="555" w:name="bookmark555"/>
      <w:bookmarkStart w:id="556" w:name="bookmark556"/>
      <w:bookmarkEnd w:id="555"/>
      <w:r>
        <w:rPr>
          <w:color w:val="000000"/>
          <w:spacing w:val="0"/>
          <w:w w:val="100"/>
          <w:position w:val="0"/>
        </w:rPr>
        <w:t>委托贷款情况</w:t>
      </w:r>
      <w:bookmarkEnd w:id="553"/>
      <w:bookmarkEnd w:id="554"/>
      <w:bookmarkEnd w:id="556"/>
    </w:p>
    <w:p>
      <w:pPr>
        <w:pStyle w:val="Style5"/>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43"/>
        </w:numPr>
        <w:shd w:val="clear" w:color="auto" w:fill="auto"/>
        <w:tabs>
          <w:tab w:pos="1551" w:val="left"/>
        </w:tabs>
        <w:bidi w:val="0"/>
        <w:spacing w:before="0" w:after="140" w:line="240" w:lineRule="auto"/>
        <w:ind w:left="1140" w:right="0" w:firstLine="0"/>
        <w:jc w:val="left"/>
      </w:pPr>
      <w:bookmarkStart w:id="557" w:name="bookmark557"/>
      <w:bookmarkStart w:id="558" w:name="bookmark558"/>
      <w:bookmarkStart w:id="559" w:name="bookmark559"/>
      <w:bookmarkStart w:id="560" w:name="bookmark560"/>
      <w:bookmarkEnd w:id="559"/>
      <w:r>
        <w:rPr>
          <w:color w:val="000000"/>
          <w:spacing w:val="0"/>
          <w:w w:val="100"/>
          <w:position w:val="0"/>
        </w:rPr>
        <w:t>其他情况</w:t>
      </w:r>
      <w:bookmarkEnd w:id="557"/>
      <w:bookmarkEnd w:id="558"/>
      <w:bookmarkEnd w:id="560"/>
    </w:p>
    <w:p>
      <w:pPr>
        <w:pStyle w:val="Style5"/>
        <w:keepNext w:val="0"/>
        <w:keepLines w:val="0"/>
        <w:widowControl w:val="0"/>
        <w:shd w:val="clear" w:color="auto" w:fill="auto"/>
        <w:bidi w:val="0"/>
        <w:spacing w:before="0" w:after="46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40" w:line="240" w:lineRule="auto"/>
        <w:ind w:left="1140" w:right="0" w:firstLine="0"/>
        <w:jc w:val="left"/>
      </w:pPr>
      <w:bookmarkStart w:id="561" w:name="bookmark561"/>
      <w:bookmarkStart w:id="562" w:name="bookmark562"/>
      <w:bookmarkStart w:id="563" w:name="bookmark563"/>
      <w:r>
        <w:rPr>
          <w:color w:val="000000"/>
          <w:spacing w:val="0"/>
          <w:w w:val="100"/>
          <w:position w:val="0"/>
        </w:rPr>
        <w:t>十四、其他对投资者作出价值判断和投资决策有重大影响的重大事项的说明</w:t>
      </w:r>
      <w:bookmarkEnd w:id="561"/>
      <w:bookmarkEnd w:id="562"/>
      <w:bookmarkEnd w:id="563"/>
    </w:p>
    <w:p>
      <w:pPr>
        <w:pStyle w:val="Style5"/>
        <w:keepNext w:val="0"/>
        <w:keepLines w:val="0"/>
        <w:widowControl w:val="0"/>
        <w:shd w:val="clear" w:color="auto" w:fill="auto"/>
        <w:bidi w:val="0"/>
        <w:spacing w:before="0" w:after="212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620" w:line="240" w:lineRule="auto"/>
        <w:ind w:left="0" w:right="0" w:firstLine="0"/>
        <w:jc w:val="center"/>
      </w:pPr>
      <w:bookmarkStart w:id="564" w:name="bookmark564"/>
      <w:bookmarkStart w:id="565" w:name="bookmark565"/>
      <w:bookmarkStart w:id="566" w:name="bookmark566"/>
      <w:r>
        <w:rPr>
          <w:color w:val="000000"/>
          <w:spacing w:val="0"/>
          <w:w w:val="100"/>
          <w:position w:val="0"/>
        </w:rPr>
        <w:t>第七节股份变动及股东情况</w:t>
      </w:r>
      <w:bookmarkEnd w:id="564"/>
      <w:bookmarkEnd w:id="565"/>
      <w:bookmarkEnd w:id="566"/>
    </w:p>
    <w:p>
      <w:pPr>
        <w:pStyle w:val="Style5"/>
        <w:keepNext w:val="0"/>
        <w:keepLines w:val="0"/>
        <w:widowControl w:val="0"/>
        <w:shd w:val="clear" w:color="auto" w:fill="auto"/>
        <w:bidi w:val="0"/>
        <w:spacing w:before="0" w:after="140" w:line="240" w:lineRule="auto"/>
        <w:ind w:left="1140" w:right="0" w:firstLine="0"/>
        <w:jc w:val="left"/>
      </w:pPr>
      <w:bookmarkStart w:id="567" w:name="bookmark567"/>
      <w:r>
        <w:rPr>
          <w:b/>
          <w:bCs/>
          <w:color w:val="000000"/>
          <w:spacing w:val="0"/>
          <w:w w:val="100"/>
          <w:position w:val="0"/>
        </w:rPr>
        <w:t>一、股本变动情况</w:t>
      </w:r>
      <w:bookmarkEnd w:id="567"/>
    </w:p>
    <w:p>
      <w:pPr>
        <w:pStyle w:val="Style5"/>
        <w:keepNext w:val="0"/>
        <w:keepLines w:val="0"/>
        <w:widowControl w:val="0"/>
        <w:shd w:val="clear" w:color="auto" w:fill="auto"/>
        <w:bidi w:val="0"/>
        <w:spacing w:before="0" w:after="140" w:line="240" w:lineRule="auto"/>
        <w:ind w:left="1140"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股份变动情况表</w:t>
      </w:r>
    </w:p>
    <w:p>
      <w:pPr>
        <w:pStyle w:val="Style5"/>
        <w:keepNext w:val="0"/>
        <w:keepLines w:val="0"/>
        <w:widowControl w:val="0"/>
        <w:shd w:val="clear" w:color="auto" w:fill="auto"/>
        <w:bidi w:val="0"/>
        <w:spacing w:before="0" w:after="300" w:line="240" w:lineRule="auto"/>
        <w:ind w:left="1140" w:right="0" w:firstLine="0"/>
        <w:jc w:val="left"/>
      </w:pPr>
      <w:r>
        <w:rPr>
          <w:b/>
          <w:bCs/>
          <w:color w:val="000000"/>
          <w:spacing w:val="0"/>
          <w:w w:val="100"/>
          <w:position w:val="0"/>
        </w:rPr>
        <w:t>1、股份变动情况表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573"/>
        <w:gridCol w:w="1718"/>
        <w:gridCol w:w="998"/>
        <w:gridCol w:w="1507"/>
        <w:gridCol w:w="1507"/>
        <w:gridCol w:w="1728"/>
        <w:gridCol w:w="893"/>
      </w:tblGrid>
      <w:tr>
        <w:trPr>
          <w:trHeight w:val="326" w:hRule="exact"/>
        </w:trPr>
        <w:tc>
          <w:tcPr>
            <w:vMerge w:val="restart"/>
            <w:tcBorders>
              <w:top w:val="single" w:sz="4"/>
              <w:left w:val="single" w:sz="4"/>
            </w:tcBorders>
            <w:shd w:val="clear" w:color="auto" w:fill="D9D9D9"/>
            <w:vAlign w:val="top"/>
          </w:tcPr>
          <w:p>
            <w:pPr>
              <w:widowControl w:val="0"/>
              <w:rPr>
                <w:sz w:val="10"/>
                <w:szCs w:val="10"/>
              </w:rPr>
            </w:pPr>
          </w:p>
        </w:tc>
        <w:tc>
          <w:tcPr>
            <w:gridSpan w:val="2"/>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2"/>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gridSpan w:val="2"/>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634" w:hRule="exact"/>
        </w:trPr>
        <w:tc>
          <w:tcPr>
            <w:vMerge/>
            <w:tcBorders>
              <w:left w:val="single" w:sz="4"/>
            </w:tcBorders>
            <w:shd w:val="clear" w:color="auto" w:fill="D9D9D9"/>
            <w:vAlign w:val="top"/>
          </w:tcPr>
          <w:p>
            <w:pP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478,330,400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-242,581,400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-242,581,400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235,749,000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30,537,265,087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218,379,125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218,379,125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30,755,644,212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99.24%</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31,015,595,487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-24,202,275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-24,202,275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30,991,393,212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299" w:line="1" w:lineRule="exact"/>
      </w:pPr>
    </w:p>
    <w:p>
      <w:pPr>
        <w:pStyle w:val="Style16"/>
        <w:keepNext/>
        <w:keepLines/>
        <w:widowControl w:val="0"/>
        <w:shd w:val="clear" w:color="auto" w:fill="auto"/>
        <w:bidi w:val="0"/>
        <w:spacing w:before="0" w:after="140"/>
        <w:ind w:left="1140" w:right="0" w:firstLine="0"/>
        <w:jc w:val="left"/>
      </w:pPr>
      <w:bookmarkStart w:id="568" w:name="bookmark568"/>
      <w:bookmarkStart w:id="569" w:name="bookmark569"/>
      <w:bookmarkStart w:id="570" w:name="bookmark570"/>
      <w:r>
        <w:rPr>
          <w:color w:val="000000"/>
          <w:spacing w:val="0"/>
          <w:w w:val="100"/>
          <w:position w:val="0"/>
        </w:rPr>
        <w:t>2、股份变动情况说明</w:t>
      </w:r>
      <w:bookmarkEnd w:id="568"/>
      <w:bookmarkEnd w:id="569"/>
      <w:bookmarkEnd w:id="570"/>
    </w:p>
    <w:p>
      <w:pPr>
        <w:pStyle w:val="Style5"/>
        <w:keepNext w:val="0"/>
        <w:keepLines w:val="0"/>
        <w:widowControl w:val="0"/>
        <w:shd w:val="clear" w:color="auto" w:fill="auto"/>
        <w:bidi w:val="0"/>
        <w:spacing w:before="0" w:after="140" w:line="365" w:lineRule="exact"/>
        <w:ind w:left="1140" w:right="0" w:firstLine="420"/>
        <w:jc w:val="both"/>
      </w:pPr>
      <w:r>
        <w:rPr>
          <w:color w:val="000000"/>
          <w:spacing w:val="0"/>
          <w:w w:val="100"/>
          <w:position w:val="0"/>
        </w:rPr>
        <w:t>经董事会、监事会审议通过，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日，公司限制性股票激励计划首次授予股票第二个 解锁期及预留授予股票第一个解锁期解锁暨上市，本次解锁限制性股票数量为</w:t>
      </w:r>
      <w:r>
        <w:rPr>
          <w:rFonts w:ascii="Times New Roman" w:eastAsia="Times New Roman" w:hAnsi="Times New Roman" w:cs="Times New Roman"/>
          <w:color w:val="000000"/>
          <w:spacing w:val="0"/>
          <w:w w:val="100"/>
          <w:position w:val="0"/>
        </w:rPr>
        <w:t>218,379,125</w:t>
      </w:r>
      <w:r>
        <w:rPr>
          <w:color w:val="000000"/>
          <w:spacing w:val="0"/>
          <w:w w:val="100"/>
          <w:position w:val="0"/>
        </w:rPr>
        <w:t>股。</w:t>
      </w:r>
    </w:p>
    <w:p>
      <w:pPr>
        <w:pStyle w:val="Style5"/>
        <w:keepNext w:val="0"/>
        <w:keepLines w:val="0"/>
        <w:widowControl w:val="0"/>
        <w:shd w:val="clear" w:color="auto" w:fill="auto"/>
        <w:bidi w:val="0"/>
        <w:spacing w:before="0" w:after="140" w:line="360" w:lineRule="exact"/>
        <w:ind w:left="1140" w:right="0" w:firstLine="420"/>
        <w:jc w:val="both"/>
      </w:pPr>
      <w:r>
        <w:rPr>
          <w:color w:val="000000"/>
          <w:spacing w:val="0"/>
          <w:w w:val="100"/>
          <w:position w:val="0"/>
        </w:rPr>
        <w:t>经公司监事会、董事会、股东大会审议通过，并发布回购注销部分限制性股票减少公司注册资 本暨通知债权人公告，公司于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月对已不属于激励范围的</w:t>
      </w:r>
      <w:r>
        <w:rPr>
          <w:rFonts w:ascii="Times New Roman" w:eastAsia="Times New Roman" w:hAnsi="Times New Roman" w:cs="Times New Roman"/>
          <w:color w:val="000000"/>
          <w:spacing w:val="0"/>
          <w:w w:val="100"/>
          <w:position w:val="0"/>
        </w:rPr>
        <w:t>60</w:t>
      </w:r>
      <w:r>
        <w:rPr>
          <w:color w:val="000000"/>
          <w:spacing w:val="0"/>
          <w:w w:val="100"/>
          <w:position w:val="0"/>
        </w:rPr>
        <w:t>名激励对象持有的已获授但尚 未解除限售的</w:t>
      </w:r>
      <w:r>
        <w:rPr>
          <w:rFonts w:ascii="Times New Roman" w:eastAsia="Times New Roman" w:hAnsi="Times New Roman" w:cs="Times New Roman"/>
          <w:color w:val="000000"/>
          <w:spacing w:val="0"/>
          <w:w w:val="100"/>
          <w:position w:val="0"/>
        </w:rPr>
        <w:t>3,742,200</w:t>
      </w:r>
      <w:r>
        <w:rPr>
          <w:color w:val="000000"/>
          <w:spacing w:val="0"/>
          <w:w w:val="100"/>
          <w:position w:val="0"/>
        </w:rPr>
        <w:t>股限制性股票进行回购注销；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月对已不属于激励范围的</w:t>
      </w:r>
      <w:r>
        <w:rPr>
          <w:rFonts w:ascii="Times New Roman" w:eastAsia="Times New Roman" w:hAnsi="Times New Roman" w:cs="Times New Roman"/>
          <w:color w:val="000000"/>
          <w:spacing w:val="0"/>
          <w:w w:val="100"/>
          <w:position w:val="0"/>
        </w:rPr>
        <w:t>1,111</w:t>
      </w:r>
      <w:r>
        <w:rPr>
          <w:color w:val="000000"/>
          <w:spacing w:val="0"/>
          <w:w w:val="100"/>
          <w:position w:val="0"/>
        </w:rPr>
        <w:t>名激 励对象持有的已获授但尚未解除限售的</w:t>
      </w:r>
      <w:r>
        <w:rPr>
          <w:rFonts w:ascii="Times New Roman" w:eastAsia="Times New Roman" w:hAnsi="Times New Roman" w:cs="Times New Roman"/>
          <w:color w:val="000000"/>
          <w:spacing w:val="0"/>
          <w:w w:val="100"/>
          <w:position w:val="0"/>
        </w:rPr>
        <w:t>20,460,075</w:t>
      </w:r>
      <w:r>
        <w:rPr>
          <w:color w:val="000000"/>
          <w:spacing w:val="0"/>
          <w:w w:val="100"/>
          <w:position w:val="0"/>
        </w:rPr>
        <w:t>股限制性股票进行回购注销。</w:t>
      </w:r>
    </w:p>
    <w:p>
      <w:pPr>
        <w:pStyle w:val="Style5"/>
        <w:keepNext w:val="0"/>
        <w:keepLines w:val="0"/>
        <w:widowControl w:val="0"/>
        <w:shd w:val="clear" w:color="auto" w:fill="auto"/>
        <w:bidi w:val="0"/>
        <w:spacing w:before="0" w:after="120" w:line="358" w:lineRule="exact"/>
        <w:ind w:left="1420" w:right="0" w:firstLine="0"/>
        <w:jc w:val="left"/>
      </w:pPr>
      <w:r>
        <w:rPr>
          <w:color w:val="000000"/>
          <w:spacing w:val="0"/>
          <w:w w:val="100"/>
          <w:position w:val="0"/>
        </w:rPr>
        <w:t>上述登记完成后，公司总股本变更为</w:t>
      </w:r>
      <w:r>
        <w:rPr>
          <w:rFonts w:ascii="Times New Roman" w:eastAsia="Times New Roman" w:hAnsi="Times New Roman" w:cs="Times New Roman"/>
          <w:color w:val="000000"/>
          <w:spacing w:val="0"/>
          <w:w w:val="100"/>
          <w:position w:val="0"/>
        </w:rPr>
        <w:t>30,991,393,212</w:t>
      </w:r>
      <w:r>
        <w:rPr>
          <w:color w:val="000000"/>
          <w:spacing w:val="0"/>
          <w:w w:val="100"/>
          <w:position w:val="0"/>
        </w:rPr>
        <w:t>股。</w:t>
      </w:r>
    </w:p>
    <w:p>
      <w:pPr>
        <w:pStyle w:val="Style5"/>
        <w:keepNext w:val="0"/>
        <w:keepLines w:val="0"/>
        <w:widowControl w:val="0"/>
        <w:shd w:val="clear" w:color="auto" w:fill="auto"/>
        <w:bidi w:val="0"/>
        <w:spacing w:before="0" w:after="120" w:line="358" w:lineRule="exact"/>
        <w:ind w:left="980" w:right="0" w:firstLine="440"/>
        <w:jc w:val="both"/>
      </w:pPr>
      <w:r>
        <w:rPr>
          <w:color w:val="000000"/>
          <w:spacing w:val="0"/>
          <w:w w:val="100"/>
          <w:position w:val="0"/>
        </w:rPr>
        <w:t xml:space="preserve">详情请见公司在《中国证券报》《上海证券报》《证券时报》、上海证券交易所网站及本公司 网站发布的《关于首期限制性股票计划部分激励对象限制性股票回购注销实施公告》（公告编号： </w:t>
      </w:r>
      <w:r>
        <w:rPr>
          <w:rFonts w:ascii="Times New Roman" w:eastAsia="Times New Roman" w:hAnsi="Times New Roman" w:cs="Times New Roman"/>
          <w:color w:val="000000"/>
          <w:spacing w:val="0"/>
          <w:w w:val="100"/>
          <w:position w:val="0"/>
        </w:rPr>
        <w:t>2021-007</w:t>
      </w:r>
      <w:r>
        <w:rPr>
          <w:color w:val="000000"/>
          <w:spacing w:val="0"/>
          <w:w w:val="100"/>
          <w:position w:val="0"/>
        </w:rPr>
        <w:t>）、《关于公司限制性股票激励计划首次授予股票第二个解锁期及预留授予股票第一个解 锁期解锁暨上市的公告》（公告编号：</w:t>
      </w:r>
      <w:r>
        <w:rPr>
          <w:rFonts w:ascii="Times New Roman" w:eastAsia="Times New Roman" w:hAnsi="Times New Roman" w:cs="Times New Roman"/>
          <w:color w:val="000000"/>
          <w:spacing w:val="0"/>
          <w:w w:val="100"/>
          <w:position w:val="0"/>
        </w:rPr>
        <w:t>2021-040</w:t>
      </w:r>
      <w:r>
        <w:rPr>
          <w:color w:val="000000"/>
          <w:spacing w:val="0"/>
          <w:w w:val="100"/>
          <w:position w:val="0"/>
        </w:rPr>
        <w:t>）、《关于首期限制性股票计划部分激励对象限制 性股票回购注销实施公告》（公告编号：</w:t>
      </w:r>
      <w:r>
        <w:rPr>
          <w:rFonts w:ascii="Times New Roman" w:eastAsia="Times New Roman" w:hAnsi="Times New Roman" w:cs="Times New Roman"/>
          <w:color w:val="000000"/>
          <w:spacing w:val="0"/>
          <w:w w:val="100"/>
          <w:position w:val="0"/>
        </w:rPr>
        <w:t>2021-083</w:t>
      </w:r>
      <w:r>
        <w:rPr>
          <w:color w:val="000000"/>
          <w:spacing w:val="0"/>
          <w:w w:val="100"/>
          <w:position w:val="0"/>
        </w:rPr>
        <w:t>）。</w:t>
      </w:r>
    </w:p>
    <w:p>
      <w:pPr>
        <w:pStyle w:val="Style5"/>
        <w:keepNext w:val="0"/>
        <w:keepLines w:val="0"/>
        <w:widowControl w:val="0"/>
        <w:shd w:val="clear" w:color="auto" w:fill="auto"/>
        <w:bidi w:val="0"/>
        <w:spacing w:before="0" w:after="120" w:line="240" w:lineRule="auto"/>
        <w:ind w:left="0" w:right="0" w:firstLine="980"/>
        <w:jc w:val="left"/>
      </w:pPr>
      <w:bookmarkStart w:id="571" w:name="bookmark571"/>
      <w:r>
        <w:rPr>
          <w:b/>
          <w:bCs/>
          <w:color w:val="000000"/>
          <w:spacing w:val="0"/>
          <w:w w:val="100"/>
          <w:position w:val="0"/>
        </w:rPr>
        <w:t>3</w:t>
      </w:r>
      <w:bookmarkEnd w:id="571"/>
      <w:r>
        <w:rPr>
          <w:b/>
          <w:bCs/>
          <w:color w:val="000000"/>
          <w:spacing w:val="0"/>
          <w:w w:val="100"/>
          <w:position w:val="0"/>
        </w:rPr>
        <w:t>、股份变动对最近一年和最近一期每股收益、每股净资产等财务指标的影响（如有）</w:t>
      </w:r>
    </w:p>
    <w:tbl>
      <w:tblPr>
        <w:tblOverlap w:val="never"/>
        <w:jc w:val="center"/>
        <w:tblLayout w:type="fixed"/>
      </w:tblPr>
      <w:tblGrid>
        <w:gridCol w:w="2664"/>
        <w:gridCol w:w="1867"/>
        <w:gridCol w:w="2261"/>
        <w:gridCol w:w="2270"/>
      </w:tblGrid>
      <w:tr>
        <w:trPr>
          <w:trHeight w:val="638"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还原回</w:t>
            </w:r>
            <w:r>
              <w:rPr>
                <w:rFonts w:ascii="Times New Roman" w:eastAsia="Times New Roman" w:hAnsi="Times New Roman" w:cs="Times New Roman"/>
                <w:color w:val="000000"/>
                <w:spacing w:val="0"/>
                <w:w w:val="100"/>
                <w:position w:val="0"/>
              </w:rPr>
              <w:t>2020</w:t>
            </w:r>
            <w:r>
              <w:rPr>
                <w:color w:val="000000"/>
                <w:spacing w:val="0"/>
                <w:w w:val="100"/>
                <w:position w:val="0"/>
              </w:rPr>
              <w:t>年年末股 数的指标</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减少股数的影响</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归属于上市公司股东的每 股净资产（元/股）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0.004</w:t>
            </w:r>
          </w:p>
        </w:tc>
      </w:tr>
    </w:tbl>
    <w:p>
      <w:pPr>
        <w:widowControl w:val="0"/>
        <w:spacing w:after="679" w:line="1" w:lineRule="exact"/>
      </w:pPr>
    </w:p>
    <w:p>
      <w:pPr>
        <w:pStyle w:val="Style5"/>
        <w:keepNext w:val="0"/>
        <w:keepLines w:val="0"/>
        <w:widowControl w:val="0"/>
        <w:shd w:val="clear" w:color="auto" w:fill="auto"/>
        <w:bidi w:val="0"/>
        <w:spacing w:before="0" w:after="340" w:line="240" w:lineRule="auto"/>
        <w:ind w:left="0" w:right="0" w:firstLine="98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0" w:line="240" w:lineRule="auto"/>
        <w:ind w:left="0" w:right="840" w:firstLine="0"/>
        <w:jc w:val="right"/>
      </w:pPr>
      <w:r>
        <w:rPr>
          <w:color w:val="000000"/>
          <w:spacing w:val="0"/>
          <w:w w:val="100"/>
          <w:position w:val="0"/>
        </w:rPr>
        <w:t>单位</w:t>
      </w:r>
      <w:r>
        <w:rPr>
          <w:color w:val="000000"/>
          <w:spacing w:val="0"/>
          <w:w w:val="100"/>
          <w:position w:val="0"/>
        </w:rPr>
        <w:t>：</w:t>
      </w:r>
      <w:r>
        <w:rPr>
          <w:color w:val="000000"/>
          <w:spacing w:val="0"/>
          <w:w w:val="100"/>
          <w:position w:val="0"/>
        </w:rPr>
        <w:t>股</w:t>
      </w:r>
    </w:p>
    <w:tbl>
      <w:tblPr>
        <w:tblOverlap w:val="never"/>
        <w:jc w:val="center"/>
        <w:tblLayout w:type="fixed"/>
      </w:tblPr>
      <w:tblGrid>
        <w:gridCol w:w="989"/>
        <w:gridCol w:w="1277"/>
        <w:gridCol w:w="1123"/>
        <w:gridCol w:w="1152"/>
        <w:gridCol w:w="994"/>
        <w:gridCol w:w="1277"/>
        <w:gridCol w:w="1699"/>
        <w:gridCol w:w="2419"/>
      </w:tblGrid>
      <w:tr>
        <w:trPr>
          <w:trHeight w:val="638"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年初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本年解除限 售股数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 回购股数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本年增加</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年末</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限售股数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解除限售日期</w:t>
            </w:r>
          </w:p>
        </w:tc>
      </w:tr>
      <w:tr>
        <w:trPr>
          <w:trHeight w:val="157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限制性股</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票员工激</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励计划授</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予对象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478,330,400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3,742,200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235,749,000</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为进一步完善公司 治理结构，健全公 司激励与约束相结 合的中长期激励机 制，应对行业激烈 竞争和支撑公司长 远发展，充分调动 公司核心管理者和 骨干员工的积极 性，公司建立限制 性股票员工激励计 划。</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日，公司对 已不属于激励范围的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名 激励对象持有的已获授但尚 未解除限售的</w:t>
            </w:r>
            <w:r>
              <w:rPr>
                <w:rFonts w:ascii="Times New Roman" w:eastAsia="Times New Roman" w:hAnsi="Times New Roman" w:cs="Times New Roman"/>
                <w:color w:val="000000"/>
                <w:spacing w:val="0"/>
                <w:w w:val="100"/>
                <w:position w:val="0"/>
                <w:sz w:val="18"/>
                <w:szCs w:val="18"/>
              </w:rPr>
              <w:t>3,742,200</w:t>
            </w:r>
            <w:r>
              <w:rPr>
                <w:color w:val="000000"/>
                <w:spacing w:val="0"/>
                <w:w w:val="100"/>
                <w:position w:val="0"/>
                <w:sz w:val="17"/>
                <w:szCs w:val="17"/>
              </w:rPr>
              <w:t>股 限制性股票回购注销完成。</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218,379,125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日，经公司董 事会、监事会审议通过，公 司限制性股票激励计划首次 授予股票第二个解锁期及预 留授予股票第一个解锁期解 锁并上市。</w:t>
            </w:r>
          </w:p>
        </w:tc>
      </w:tr>
      <w:tr>
        <w:trPr>
          <w:trHeight w:val="15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20,460,075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日，公司对</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1,111 </w:t>
            </w:r>
            <w:r>
              <w:rPr>
                <w:color w:val="000000"/>
                <w:spacing w:val="0"/>
                <w:w w:val="100"/>
                <w:position w:val="0"/>
                <w:sz w:val="17"/>
                <w:szCs w:val="17"/>
              </w:rPr>
              <w:t xml:space="preserve">名已不属于激励范围 的激励对象持有的已获授但 尚未解除限售的 </w:t>
            </w:r>
            <w:r>
              <w:rPr>
                <w:rFonts w:ascii="Times New Roman" w:eastAsia="Times New Roman" w:hAnsi="Times New Roman" w:cs="Times New Roman"/>
                <w:color w:val="000000"/>
                <w:spacing w:val="0"/>
                <w:w w:val="100"/>
                <w:position w:val="0"/>
                <w:sz w:val="18"/>
                <w:szCs w:val="18"/>
              </w:rPr>
              <w:t xml:space="preserve">20,460,075 </w:t>
            </w:r>
            <w:r>
              <w:rPr>
                <w:color w:val="000000"/>
                <w:spacing w:val="0"/>
                <w:w w:val="100"/>
                <w:position w:val="0"/>
                <w:sz w:val="17"/>
                <w:szCs w:val="17"/>
              </w:rPr>
              <w:t>限制性股票回购注销完成。</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478,330,400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218,379,125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24,202,275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235,749,000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79" w:line="1" w:lineRule="exact"/>
      </w:pPr>
    </w:p>
    <w:p>
      <w:pPr>
        <w:pStyle w:val="Style16"/>
        <w:keepNext/>
        <w:keepLines/>
        <w:widowControl w:val="0"/>
        <w:shd w:val="clear" w:color="auto" w:fill="auto"/>
        <w:bidi w:val="0"/>
        <w:spacing w:before="0" w:after="120" w:line="240" w:lineRule="auto"/>
        <w:ind w:left="0" w:right="0" w:firstLine="980"/>
        <w:jc w:val="left"/>
      </w:pPr>
      <w:bookmarkStart w:id="572" w:name="bookmark572"/>
      <w:bookmarkStart w:id="573" w:name="bookmark573"/>
      <w:bookmarkStart w:id="574" w:name="bookmark574"/>
      <w:r>
        <w:rPr>
          <w:color w:val="000000"/>
          <w:spacing w:val="0"/>
          <w:w w:val="100"/>
          <w:position w:val="0"/>
        </w:rPr>
        <w:t>二、证券发行与上市情况</w:t>
      </w:r>
      <w:bookmarkEnd w:id="572"/>
      <w:bookmarkEnd w:id="573"/>
      <w:bookmarkEnd w:id="574"/>
    </w:p>
    <w:p>
      <w:pPr>
        <w:pStyle w:val="Style16"/>
        <w:keepNext/>
        <w:keepLines/>
        <w:widowControl w:val="0"/>
        <w:shd w:val="clear" w:color="auto" w:fill="auto"/>
        <w:bidi w:val="0"/>
        <w:spacing w:before="0" w:after="120" w:line="240" w:lineRule="auto"/>
        <w:ind w:left="0" w:right="0" w:firstLine="980"/>
        <w:jc w:val="left"/>
      </w:pPr>
      <w:bookmarkStart w:id="572" w:name="bookmark572"/>
      <w:bookmarkStart w:id="573" w:name="bookmark573"/>
      <w:bookmarkStart w:id="575" w:name="bookmark575"/>
      <w:r>
        <w:rPr>
          <w:color w:val="000000"/>
          <w:spacing w:val="0"/>
          <w:w w:val="100"/>
          <w:position w:val="0"/>
        </w:rPr>
        <w:t>（一）截至报告期内证券发行情况</w:t>
      </w:r>
      <w:bookmarkEnd w:id="572"/>
      <w:bookmarkEnd w:id="573"/>
      <w:bookmarkEnd w:id="575"/>
    </w:p>
    <w:p>
      <w:pPr>
        <w:pStyle w:val="Style5"/>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r>
        <w:br w:type="page"/>
      </w:r>
    </w:p>
    <w:p>
      <w:pPr>
        <w:pStyle w:val="Style5"/>
        <w:keepNext w:val="0"/>
        <w:keepLines w:val="0"/>
        <w:widowControl w:val="0"/>
        <w:shd w:val="clear" w:color="auto" w:fill="auto"/>
        <w:bidi w:val="0"/>
        <w:spacing w:before="0" w:after="300" w:line="317" w:lineRule="exact"/>
        <w:ind w:left="1140" w:right="0" w:firstLine="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bidi w:val="0"/>
        <w:spacing w:before="0" w:after="80" w:line="307" w:lineRule="exact"/>
        <w:ind w:left="1140" w:right="0" w:firstLine="0"/>
        <w:jc w:val="left"/>
      </w:pPr>
      <w:bookmarkStart w:id="576" w:name="bookmark576"/>
      <w:bookmarkStart w:id="577" w:name="bookmark577"/>
      <w:bookmarkStart w:id="578" w:name="bookmark578"/>
      <w:r>
        <w:rPr>
          <w:color w:val="000000"/>
          <w:spacing w:val="0"/>
          <w:w w:val="100"/>
          <w:position w:val="0"/>
        </w:rPr>
        <w:t>（二）公司股份总数及股东结构变动及公司资产和负债结构的变动情况</w:t>
      </w:r>
      <w:bookmarkEnd w:id="576"/>
      <w:bookmarkEnd w:id="577"/>
      <w:bookmarkEnd w:id="578"/>
    </w:p>
    <w:p>
      <w:pPr>
        <w:pStyle w:val="Style5"/>
        <w:keepNext w:val="0"/>
        <w:keepLines w:val="0"/>
        <w:widowControl w:val="0"/>
        <w:shd w:val="clear" w:color="auto" w:fill="auto"/>
        <w:bidi w:val="0"/>
        <w:spacing w:before="0" w:after="720" w:line="298" w:lineRule="exact"/>
        <w:ind w:left="1140" w:right="0" w:firstLine="420"/>
        <w:jc w:val="left"/>
      </w:pPr>
      <w:r>
        <w:rPr>
          <w:color w:val="000000"/>
          <w:spacing w:val="0"/>
          <w:w w:val="100"/>
          <w:position w:val="0"/>
        </w:rPr>
        <w:t>关于公司普通股股份总数及股东结构变动的情况详见本年度报告第七节普通股股份变动及股 东情况一（一）</w:t>
      </w:r>
      <w:r>
        <w:rPr>
          <w:rFonts w:ascii="Times New Roman" w:eastAsia="Times New Roman" w:hAnsi="Times New Roman" w:cs="Times New Roman"/>
          <w:color w:val="000000"/>
          <w:spacing w:val="0"/>
          <w:w w:val="100"/>
          <w:position w:val="0"/>
        </w:rPr>
        <w:t>2</w:t>
      </w:r>
      <w:r>
        <w:rPr>
          <w:color w:val="000000"/>
          <w:spacing w:val="0"/>
          <w:w w:val="100"/>
          <w:position w:val="0"/>
        </w:rPr>
        <w:t>普通股股份变动情况说明</w:t>
      </w:r>
      <w:r>
        <w:rPr>
          <w:color w:val="000000"/>
          <w:spacing w:val="0"/>
          <w:w w:val="100"/>
          <w:position w:val="0"/>
        </w:rPr>
        <w:t>，</w:t>
      </w:r>
      <w:r>
        <w:rPr>
          <w:color w:val="000000"/>
          <w:spacing w:val="0"/>
          <w:w w:val="100"/>
          <w:position w:val="0"/>
        </w:rPr>
        <w:t>对公司资产和负债结构无重大影响。</w:t>
      </w:r>
    </w:p>
    <w:p>
      <w:pPr>
        <w:pStyle w:val="Style25"/>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三、股东和实际控制人情况</w:t>
      </w:r>
    </w:p>
    <w:p>
      <w:pPr>
        <w:pStyle w:val="Style25"/>
        <w:keepNext w:val="0"/>
        <w:keepLines w:val="0"/>
        <w:widowControl w:val="0"/>
        <w:shd w:val="clear" w:color="auto" w:fill="auto"/>
        <w:tabs>
          <w:tab w:pos="936" w:val="left"/>
        </w:tabs>
        <w:bidi w:val="0"/>
        <w:spacing w:before="0" w:after="0" w:line="240" w:lineRule="auto"/>
        <w:ind w:left="91"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股东总数</w:t>
      </w:r>
    </w:p>
    <w:tbl>
      <w:tblPr>
        <w:tblOverlap w:val="never"/>
        <w:jc w:val="center"/>
        <w:tblLayout w:type="fixed"/>
      </w:tblPr>
      <w:tblGrid>
        <w:gridCol w:w="5928"/>
        <w:gridCol w:w="3134"/>
      </w:tblGrid>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593,202</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581,732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659" w:line="1" w:lineRule="exact"/>
      </w:pPr>
    </w:p>
    <w:p>
      <w:pPr>
        <w:pStyle w:val="Style16"/>
        <w:keepNext/>
        <w:keepLines/>
        <w:widowControl w:val="0"/>
        <w:shd w:val="clear" w:color="auto" w:fill="auto"/>
        <w:bidi w:val="0"/>
        <w:spacing w:before="0" w:after="300" w:line="240" w:lineRule="auto"/>
        <w:ind w:left="1140" w:right="0" w:firstLine="0"/>
        <w:jc w:val="left"/>
      </w:pPr>
      <w:bookmarkStart w:id="579" w:name="bookmark579"/>
      <w:bookmarkStart w:id="580" w:name="bookmark580"/>
      <w:bookmarkStart w:id="581" w:name="bookmark581"/>
      <w:r>
        <w:rPr>
          <w:rFonts w:ascii="Calibri" w:eastAsia="Calibri" w:hAnsi="Calibri" w:cs="Calibri"/>
          <w:color w:val="000000"/>
          <w:spacing w:val="0"/>
          <w:w w:val="100"/>
          <w:position w:val="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579"/>
      <w:bookmarkEnd w:id="580"/>
      <w:bookmarkEnd w:id="5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3182"/>
        <w:gridCol w:w="1282"/>
        <w:gridCol w:w="1694"/>
        <w:gridCol w:w="840"/>
        <w:gridCol w:w="907"/>
        <w:gridCol w:w="662"/>
        <w:gridCol w:w="1406"/>
        <w:gridCol w:w="677"/>
      </w:tblGrid>
      <w:tr>
        <w:trPr>
          <w:trHeight w:val="326" w:hRule="exact"/>
        </w:trPr>
        <w:tc>
          <w:tcPr>
            <w:gridSpan w:val="2"/>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gridSpan w:val="6"/>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t</w:t>
            </w:r>
            <w:r>
              <w:rPr>
                <w:color w:val="000000"/>
                <w:spacing w:val="0"/>
                <w:w w:val="100"/>
                <w:position w:val="0"/>
              </w:rPr>
              <w:t>十名股东持股情况</w:t>
            </w:r>
          </w:p>
        </w:tc>
      </w:tr>
      <w:tr>
        <w:trPr>
          <w:trHeight w:val="638" w:hRule="exact"/>
        </w:trPr>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股东名称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质押、标记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或冻结情况</w:t>
            </w:r>
          </w:p>
        </w:tc>
        <w:tc>
          <w:tcPr>
            <w:vMerge w:val="restart"/>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r>
      <w:tr>
        <w:trPr>
          <w:trHeight w:val="634"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D9D9D9"/>
            <w:vAlign w:val="center"/>
          </w:tcPr>
          <w:p>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中国联合网络通信集团有限公司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11,399,724,220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国有 法人</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中国人寿保险股份有限公司一传 统一普通保险产品一</w:t>
            </w:r>
            <w:r>
              <w:rPr>
                <w:rFonts w:ascii="Times New Roman" w:eastAsia="Times New Roman" w:hAnsi="Times New Roman" w:cs="Times New Roman"/>
                <w:color w:val="000000"/>
                <w:spacing w:val="0"/>
                <w:w w:val="100"/>
                <w:position w:val="0"/>
                <w:sz w:val="20"/>
                <w:szCs w:val="20"/>
              </w:rPr>
              <w:t>005L</w:t>
            </w:r>
            <w:r>
              <w:rPr>
                <w:color w:val="000000"/>
                <w:spacing w:val="0"/>
                <w:w w:val="100"/>
                <w:position w:val="0"/>
                <w:sz w:val="18"/>
                <w:szCs w:val="18"/>
              </w:rPr>
              <w:t xml:space="preserve">一 </w:t>
            </w:r>
            <w:r>
              <w:rPr>
                <w:rFonts w:ascii="Times New Roman" w:eastAsia="Times New Roman" w:hAnsi="Times New Roman" w:cs="Times New Roman"/>
                <w:color w:val="000000"/>
                <w:spacing w:val="0"/>
                <w:w w:val="100"/>
                <w:position w:val="0"/>
                <w:sz w:val="20"/>
                <w:szCs w:val="20"/>
              </w:rPr>
              <w:t xml:space="preserve">CT001 </w:t>
            </w:r>
            <w:r>
              <w:rPr>
                <w:color w:val="000000"/>
                <w:spacing w:val="0"/>
                <w:w w:val="100"/>
                <w:position w:val="0"/>
                <w:sz w:val="18"/>
                <w:szCs w:val="18"/>
              </w:rPr>
              <w:t>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3,190,419,687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中国国有企业结构调整基金股份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1,899,764,201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深圳市腾讯信达有限合伙企业（有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1,610,541,728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宿迁京东三弘企业管理中心（有限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732,064,421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杭州阿里创业投资有限公司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633,254,734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香港中央结算有限公司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-6,875,209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596,020,421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苏宁易购集团股份有限公司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585,651,537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585,651,537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嘉兴小度投资管理有限公司一宁 波梅山保税港区百度鹏寰投资合 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439,238,653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64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深圳光启互联技术投资合伙企业</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-210,478,686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375,172,851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119,040,000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bl>
    <w:p>
      <w:pPr>
        <w:widowControl w:val="0"/>
        <w:spacing w:line="1" w:lineRule="exact"/>
      </w:pPr>
      <w:r>
        <w:br w:type="page"/>
      </w:r>
    </w:p>
    <w:tbl>
      <w:tblPr>
        <w:tblOverlap w:val="never"/>
        <w:jc w:val="center"/>
        <w:tblLayout w:type="fixed"/>
      </w:tblPr>
      <w:tblGrid>
        <w:gridCol w:w="2698"/>
        <w:gridCol w:w="1906"/>
        <w:gridCol w:w="2395"/>
        <w:gridCol w:w="1661"/>
        <w:gridCol w:w="1992"/>
      </w:tblGrid>
      <w:tr>
        <w:trPr>
          <w:trHeight w:val="331" w:hRule="exact"/>
        </w:trPr>
        <w:tc>
          <w:tcPr>
            <w:gridSpan w:val="5"/>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持有无限售条件流通股 的数量</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股份利</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】类及数量</w:t>
            </w:r>
          </w:p>
        </w:tc>
      </w:tr>
      <w:tr>
        <w:trPr>
          <w:trHeight w:val="322" w:hRule="exact"/>
        </w:trPr>
        <w:tc>
          <w:tcPr>
            <w:gridSpan w:val="2"/>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11,399,724,220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11,399,724,220</w:t>
            </w:r>
          </w:p>
        </w:tc>
      </w:tr>
      <w:tr>
        <w:trPr>
          <w:trHeight w:val="634"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中国人寿保险股份有限公司一传统一普通保 险产品一</w:t>
            </w:r>
            <w:r>
              <w:rPr>
                <w:rFonts w:ascii="Times New Roman" w:eastAsia="Times New Roman" w:hAnsi="Times New Roman" w:cs="Times New Roman"/>
                <w:color w:val="000000"/>
                <w:spacing w:val="0"/>
                <w:w w:val="100"/>
                <w:position w:val="0"/>
                <w:sz w:val="22"/>
                <w:szCs w:val="22"/>
              </w:rPr>
              <w:t>005L</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CT001</w:t>
            </w:r>
            <w:r>
              <w:rPr>
                <w:color w:val="000000"/>
                <w:spacing w:val="0"/>
                <w:w w:val="100"/>
                <w:position w:val="0"/>
              </w:rPr>
              <w:t>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3,190,419,687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3,190,419,687</w:t>
            </w:r>
          </w:p>
        </w:tc>
      </w:tr>
      <w:tr>
        <w:trPr>
          <w:trHeight w:val="322"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中国国有企业结构调整基金股份有限公司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1,899,764,201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1,899,764,201</w:t>
            </w:r>
          </w:p>
        </w:tc>
      </w:tr>
      <w:tr>
        <w:trPr>
          <w:trHeight w:val="322"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深圳市腾讯信达有限合伙企业（有限合伙）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1,610,541,728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1,610,541,728</w:t>
            </w:r>
          </w:p>
        </w:tc>
      </w:tr>
      <w:tr>
        <w:trPr>
          <w:trHeight w:val="322"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宿迁京东三弘企业管理中心（有限合伙）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732,064,421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732,064,421</w:t>
            </w:r>
          </w:p>
        </w:tc>
      </w:tr>
      <w:tr>
        <w:trPr>
          <w:trHeight w:val="322"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杭州阿里创业投资有限公司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633,254,734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633,254,734</w:t>
            </w:r>
          </w:p>
        </w:tc>
      </w:tr>
      <w:tr>
        <w:trPr>
          <w:trHeight w:val="322"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596,020,421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596,020,421</w:t>
            </w:r>
          </w:p>
        </w:tc>
      </w:tr>
      <w:tr>
        <w:trPr>
          <w:trHeight w:val="322"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苏宁易购集团股份有限公司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585,651,537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585,651,537</w:t>
            </w:r>
          </w:p>
        </w:tc>
      </w:tr>
      <w:tr>
        <w:trPr>
          <w:trHeight w:val="634"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嘉兴小度投资管理有限公司一宁波梅山保税 港区百度鹏寰投资合伙企业（有限合伙）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439,238,653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439,238,653</w:t>
            </w:r>
          </w:p>
        </w:tc>
      </w:tr>
      <w:tr>
        <w:trPr>
          <w:trHeight w:val="326"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深圳光启互联技术投资合伙企业（有限合伙）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375,172,851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375,172,851</w:t>
            </w:r>
          </w:p>
        </w:tc>
      </w:tr>
      <w:tr>
        <w:trPr>
          <w:trHeight w:val="21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前十名股东中回购专户情 况说明</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240" w:line="312" w:lineRule="exact"/>
              <w:ind w:left="0" w:right="0" w:firstLine="0"/>
              <w:jc w:val="both"/>
            </w:pPr>
            <w:r>
              <w:rPr>
                <w:color w:val="000000"/>
                <w:spacing w:val="0"/>
                <w:w w:val="100"/>
                <w:position w:val="0"/>
              </w:rPr>
              <w:t>报告期内，经董事会、监事会审议通过，公司以集中竞价交易方式回购公司</w:t>
            </w:r>
            <w:r>
              <w:rPr>
                <w:rFonts w:ascii="Times New Roman" w:eastAsia="Times New Roman" w:hAnsi="Times New Roman" w:cs="Times New Roman"/>
                <w:color w:val="000000"/>
                <w:spacing w:val="0"/>
                <w:w w:val="100"/>
                <w:position w:val="0"/>
                <w:sz w:val="22"/>
                <w:szCs w:val="22"/>
              </w:rPr>
              <w:t>A</w:t>
            </w:r>
            <w:r>
              <w:rPr>
                <w:color w:val="000000"/>
                <w:spacing w:val="0"/>
                <w:w w:val="100"/>
                <w:position w:val="0"/>
              </w:rPr>
              <w:t>股 股份。截至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日，公司已累计回购股份</w:t>
            </w:r>
            <w:r>
              <w:rPr>
                <w:rFonts w:ascii="Times New Roman" w:eastAsia="Times New Roman" w:hAnsi="Times New Roman" w:cs="Times New Roman"/>
                <w:color w:val="000000"/>
                <w:spacing w:val="0"/>
                <w:w w:val="100"/>
                <w:position w:val="0"/>
                <w:sz w:val="22"/>
                <w:szCs w:val="22"/>
              </w:rPr>
              <w:t>513,314,385</w:t>
            </w:r>
            <w:r>
              <w:rPr>
                <w:color w:val="000000"/>
                <w:spacing w:val="0"/>
                <w:w w:val="100"/>
                <w:position w:val="0"/>
              </w:rPr>
              <w:t>股，已回购股 份占公司总股本的比例约为</w:t>
            </w:r>
            <w:r>
              <w:rPr>
                <w:rFonts w:ascii="Times New Roman" w:eastAsia="Times New Roman" w:hAnsi="Times New Roman" w:cs="Times New Roman"/>
                <w:color w:val="000000"/>
                <w:spacing w:val="0"/>
                <w:w w:val="100"/>
                <w:position w:val="0"/>
                <w:sz w:val="22"/>
                <w:szCs w:val="22"/>
              </w:rPr>
              <w:t>1.66%</w:t>
            </w:r>
            <w:r>
              <w:rPr>
                <w:color w:val="000000"/>
                <w:spacing w:val="0"/>
                <w:w w:val="100"/>
                <w:position w:val="0"/>
              </w:rPr>
              <w:t>，回购账户为中国联合网络通信股份有限公司 回购专用证券账户。</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注：根据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月证监会发布的第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 xml:space="preserve">号公告《公开发行证券的公司信息披露内容与格式准则第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color w:val="000000"/>
                <w:spacing w:val="0"/>
                <w:w w:val="100"/>
                <w:position w:val="0"/>
                <w:sz w:val="18"/>
                <w:szCs w:val="18"/>
              </w:rPr>
              <w:t>一</w:t>
            </w:r>
            <w:r>
              <w:rPr>
                <w:color w:val="000000"/>
                <w:spacing w:val="0"/>
                <w:w w:val="100"/>
                <w:position w:val="0"/>
                <w:sz w:val="17"/>
                <w:szCs w:val="17"/>
              </w:rPr>
              <w:t>年度报告的内容与格式（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年修订）》，回购专户不纳入前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名股东列示。</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上述股东委托表决权、受托 表决权、放弃表决权的说明</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7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 行动的说明</w:t>
            </w:r>
          </w:p>
        </w:tc>
        <w:tc>
          <w:tcPr>
            <w:gridSpan w:val="4"/>
            <w:tcBorders>
              <w:top w:val="single" w:sz="4"/>
              <w:left w:val="single" w:sz="4"/>
              <w:right w:val="single" w:sz="4"/>
            </w:tcBorders>
            <w:shd w:val="clear" w:color="auto" w:fill="FFFFFF"/>
            <w:vAlign w:val="center"/>
          </w:tcPr>
          <w:p>
            <w:pPr>
              <w:pStyle w:val="Style22"/>
              <w:keepNext w:val="0"/>
              <w:keepLines w:val="0"/>
              <w:widowControl w:val="0"/>
              <w:numPr>
                <w:ilvl w:val="0"/>
                <w:numId w:val="45"/>
              </w:numPr>
              <w:shd w:val="clear" w:color="auto" w:fill="auto"/>
              <w:tabs>
                <w:tab w:pos="187" w:val="left"/>
              </w:tabs>
              <w:bidi w:val="0"/>
              <w:spacing w:before="0" w:after="0" w:line="322" w:lineRule="exact"/>
              <w:ind w:left="0" w:right="0" w:firstLine="0"/>
              <w:jc w:val="both"/>
              <w:rPr>
                <w:sz w:val="17"/>
                <w:szCs w:val="17"/>
              </w:rPr>
            </w:pPr>
            <w:r>
              <w:rPr>
                <w:color w:val="000000"/>
                <w:spacing w:val="0"/>
                <w:w w:val="100"/>
                <w:position w:val="0"/>
                <w:sz w:val="17"/>
                <w:szCs w:val="17"/>
              </w:rPr>
              <w:t>中国联合网络通信集团有限公司为本公司控股股东。</w:t>
            </w:r>
          </w:p>
          <w:p>
            <w:pPr>
              <w:pStyle w:val="Style22"/>
              <w:keepNext w:val="0"/>
              <w:keepLines w:val="0"/>
              <w:widowControl w:val="0"/>
              <w:numPr>
                <w:ilvl w:val="0"/>
                <w:numId w:val="45"/>
              </w:numPr>
              <w:shd w:val="clear" w:color="auto" w:fill="auto"/>
              <w:tabs>
                <w:tab w:pos="187" w:val="left"/>
              </w:tabs>
              <w:bidi w:val="0"/>
              <w:spacing w:before="0" w:after="0" w:line="322" w:lineRule="exact"/>
              <w:ind w:left="0" w:right="0" w:firstLine="0"/>
              <w:jc w:val="both"/>
              <w:rPr>
                <w:sz w:val="17"/>
                <w:szCs w:val="17"/>
              </w:rPr>
            </w:pPr>
            <w:r>
              <w:rPr>
                <w:color w:val="000000"/>
                <w:spacing w:val="0"/>
                <w:w w:val="100"/>
                <w:position w:val="0"/>
                <w:sz w:val="17"/>
                <w:szCs w:val="17"/>
              </w:rPr>
              <w:t>本公司未知前十名股东之间是否存在《上海证券交易所股票上市规则》规定的关联关系或构成《上 市公司收购管理办法》规定的一致行动人。</w:t>
            </w:r>
          </w:p>
          <w:p>
            <w:pPr>
              <w:pStyle w:val="Style22"/>
              <w:keepNext w:val="0"/>
              <w:keepLines w:val="0"/>
              <w:widowControl w:val="0"/>
              <w:numPr>
                <w:ilvl w:val="0"/>
                <w:numId w:val="45"/>
              </w:numPr>
              <w:shd w:val="clear" w:color="auto" w:fill="auto"/>
              <w:tabs>
                <w:tab w:pos="187" w:val="left"/>
              </w:tabs>
              <w:bidi w:val="0"/>
              <w:spacing w:before="0" w:after="260" w:line="322" w:lineRule="exact"/>
              <w:ind w:left="0" w:right="0" w:firstLine="0"/>
              <w:jc w:val="both"/>
              <w:rPr>
                <w:sz w:val="17"/>
                <w:szCs w:val="17"/>
              </w:rPr>
            </w:pPr>
            <w:r>
              <w:rPr>
                <w:color w:val="000000"/>
                <w:spacing w:val="0"/>
                <w:w w:val="100"/>
                <w:position w:val="0"/>
                <w:sz w:val="17"/>
                <w:szCs w:val="17"/>
              </w:rPr>
              <w:t>本公司未知前十名无限售条件股东之间是否存在《上海证券交易所股票上市规则》规定的关联关 系或构成《上市公司收购管理办法》规定的一致行动人。</w:t>
            </w:r>
          </w:p>
          <w:p>
            <w:pPr>
              <w:pStyle w:val="Style22"/>
              <w:keepNext w:val="0"/>
              <w:keepLines w:val="0"/>
              <w:widowControl w:val="0"/>
              <w:numPr>
                <w:ilvl w:val="0"/>
                <w:numId w:val="45"/>
              </w:numPr>
              <w:shd w:val="clear" w:color="auto" w:fill="auto"/>
              <w:tabs>
                <w:tab w:pos="149" w:val="left"/>
              </w:tabs>
              <w:bidi w:val="0"/>
              <w:spacing w:before="0" w:after="0" w:line="322" w:lineRule="exact"/>
              <w:ind w:left="0" w:right="0" w:firstLine="0"/>
              <w:jc w:val="both"/>
              <w:rPr>
                <w:sz w:val="17"/>
                <w:szCs w:val="17"/>
              </w:rPr>
            </w:pPr>
            <w:r>
              <w:rPr>
                <w:color w:val="000000"/>
                <w:spacing w:val="0"/>
                <w:w w:val="100"/>
                <w:position w:val="0"/>
                <w:sz w:val="17"/>
                <w:szCs w:val="17"/>
              </w:rPr>
              <w:t>本公司未知前十名无限售条件股东和前十名股东之间是否存在《上海证券交易所股票上市规则》 规定的关联关系或构成《上市公司收购管理办法》规定的一致行动人。</w:t>
            </w:r>
          </w:p>
        </w:tc>
      </w:tr>
      <w:tr>
        <w:trPr>
          <w:trHeight w:val="64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表决权恢复的优先股股东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及持股数量的说明</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99" w:line="1" w:lineRule="exact"/>
      </w:pPr>
    </w:p>
    <w:p>
      <w:pPr>
        <w:pStyle w:val="Style5"/>
        <w:keepNext w:val="0"/>
        <w:keepLines w:val="0"/>
        <w:widowControl w:val="0"/>
        <w:shd w:val="clear" w:color="auto" w:fill="auto"/>
        <w:bidi w:val="0"/>
        <w:spacing w:before="0" w:after="140" w:line="240" w:lineRule="auto"/>
        <w:ind w:left="1140" w:right="0" w:firstLine="0"/>
        <w:jc w:val="left"/>
      </w:pPr>
      <w:bookmarkStart w:id="582" w:name="bookmark582"/>
      <w:r>
        <w:rPr>
          <w:b/>
          <w:bCs/>
          <w:color w:val="000000"/>
          <w:spacing w:val="0"/>
          <w:w w:val="100"/>
          <w:position w:val="0"/>
        </w:rPr>
        <w:t>四</w:t>
      </w:r>
      <w:bookmarkEnd w:id="582"/>
      <w:r>
        <w:rPr>
          <w:b/>
          <w:bCs/>
          <w:color w:val="000000"/>
          <w:spacing w:val="0"/>
          <w:w w:val="100"/>
          <w:position w:val="0"/>
        </w:rPr>
        <w:t>、控股股东及实际控制人情况</w:t>
      </w:r>
    </w:p>
    <w:p>
      <w:pPr>
        <w:pStyle w:val="Style5"/>
        <w:keepNext w:val="0"/>
        <w:keepLines w:val="0"/>
        <w:widowControl w:val="0"/>
        <w:shd w:val="clear" w:color="auto" w:fill="auto"/>
        <w:bidi w:val="0"/>
        <w:spacing w:before="0" w:line="240" w:lineRule="auto"/>
        <w:ind w:left="1140"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shd w:val="clear" w:color="auto" w:fill="auto"/>
        <w:bidi w:val="0"/>
        <w:spacing w:before="0" w:line="240" w:lineRule="auto"/>
        <w:ind w:left="1140" w:right="0" w:firstLine="0"/>
        <w:jc w:val="left"/>
      </w:pPr>
      <w:r>
        <w:rPr>
          <w:b/>
          <w:bCs/>
          <w:color w:val="000000"/>
          <w:spacing w:val="0"/>
          <w:w w:val="100"/>
          <w:position w:val="0"/>
        </w:rPr>
        <w:t>1 法人</w:t>
      </w:r>
    </w:p>
    <w:tbl>
      <w:tblPr>
        <w:tblOverlap w:val="never"/>
        <w:jc w:val="center"/>
        <w:tblLayout w:type="fixed"/>
      </w:tblPr>
      <w:tblGrid>
        <w:gridCol w:w="2986"/>
        <w:gridCol w:w="6398"/>
      </w:tblGrid>
      <w:tr>
        <w:trPr>
          <w:trHeight w:val="326"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322"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刘烈宏</w:t>
            </w:r>
          </w:p>
        </w:tc>
      </w:tr>
      <w:tr>
        <w:trPr>
          <w:trHeight w:val="322"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r>
      <w:tr>
        <w:trPr>
          <w:trHeight w:val="331" w:hRule="exact"/>
        </w:trPr>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固定通信业务、蜂窝移动通信业务、第一类卫星通信业务、第一类数据通信业</w:t>
            </w:r>
          </w:p>
        </w:tc>
      </w:tr>
    </w:tbl>
    <w:p>
      <w:pPr>
        <w:widowControl w:val="0"/>
        <w:spacing w:line="1" w:lineRule="exact"/>
      </w:pPr>
      <w:r>
        <w:br w:type="page"/>
      </w:r>
    </w:p>
    <w:tbl>
      <w:tblPr>
        <w:tblOverlap w:val="never"/>
        <w:jc w:val="center"/>
        <w:tblLayout w:type="fixed"/>
      </w:tblPr>
      <w:tblGrid>
        <w:gridCol w:w="2986"/>
        <w:gridCol w:w="6398"/>
      </w:tblGrid>
      <w:tr>
        <w:trPr>
          <w:trHeight w:val="3763"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务、网络接入业务（具体业务种类、覆盖范围以许可证为准）；国内甚小口径 终端地球站</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VSAT</w:t>
            </w:r>
            <w:r>
              <w:rPr>
                <w:color w:val="000000"/>
                <w:spacing w:val="0"/>
                <w:w w:val="100"/>
                <w:position w:val="0"/>
                <w:sz w:val="17"/>
                <w:szCs w:val="17"/>
              </w:rPr>
              <w:t>）</w:t>
            </w:r>
            <w:r>
              <w:rPr>
                <w:color w:val="000000"/>
                <w:spacing w:val="0"/>
                <w:w w:val="100"/>
                <w:position w:val="0"/>
                <w:sz w:val="17"/>
                <w:szCs w:val="17"/>
              </w:rPr>
              <w:t>通信业务、固定网国内数据传送业务、无线数据传送业务、 用户驻地网业务和网络托管业务、增值电信业务中的在线数据处理与交易处理 业务、国内因特网虚拟专用网业务、因特网数据中心业务、语音信箱业务、传 真存储转发业务、</w:t>
            </w:r>
            <w:r>
              <w:rPr>
                <w:rFonts w:ascii="Times New Roman" w:eastAsia="Times New Roman" w:hAnsi="Times New Roman" w:cs="Times New Roman"/>
                <w:color w:val="000000"/>
                <w:spacing w:val="0"/>
                <w:w w:val="100"/>
                <w:position w:val="0"/>
                <w:sz w:val="18"/>
                <w:szCs w:val="18"/>
              </w:rPr>
              <w:t>X.400</w:t>
            </w:r>
            <w:r>
              <w:rPr>
                <w:color w:val="000000"/>
                <w:spacing w:val="0"/>
                <w:w w:val="100"/>
                <w:position w:val="0"/>
                <w:sz w:val="17"/>
                <w:szCs w:val="17"/>
              </w:rPr>
              <w:t>电子邮件业务、呼叫中心业务、因特网接入服务业务和 信息服务业务（含固定网电话信息服务业务、互联网信息服务业务和移动网信 息服务业务）；《信息通信技术》期刊出版；利用信息网络经营音乐娱乐产品、 演出剧（节）目、表演，动漫产品，游戏产品（含网络游戏虚拟货币发行）。 经营与通信及信息业务相关的系统集成、技术开发、技术服务、设备生产、销 售、设计施工业务；招标代理；自有房屋出租；电子通信器材的销售；承办展 览；专业人员培训；物业管理；技术交流和信息咨询；广告业务；编制、发行 电话号码簿。</w:t>
            </w:r>
          </w:p>
        </w:tc>
      </w:tr>
      <w:tr>
        <w:trPr>
          <w:trHeight w:val="1258" w:hRule="exact"/>
        </w:trPr>
        <w:tc>
          <w:tcPr>
            <w:tcBorders>
              <w:top w:val="single" w:sz="4"/>
              <w:left w:val="single" w:sz="4"/>
            </w:tcBorders>
            <w:shd w:val="clear" w:color="auto" w:fill="D9D9D9"/>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 内外上市公司的股权情况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联通集团持有中国通信服务股份有限公司</w:t>
            </w:r>
            <w:r>
              <w:rPr>
                <w:rFonts w:ascii="Times New Roman" w:eastAsia="Times New Roman" w:hAnsi="Times New Roman" w:cs="Times New Roman"/>
                <w:color w:val="000000"/>
                <w:spacing w:val="0"/>
                <w:w w:val="100"/>
                <w:position w:val="0"/>
                <w:sz w:val="18"/>
                <w:szCs w:val="18"/>
              </w:rPr>
              <w:t>3.41%</w:t>
            </w:r>
            <w:r>
              <w:rPr>
                <w:color w:val="000000"/>
                <w:spacing w:val="0"/>
                <w:w w:val="100"/>
                <w:position w:val="0"/>
                <w:sz w:val="17"/>
                <w:szCs w:val="17"/>
              </w:rPr>
              <w:t>股权，持有中国出版传媒股份 有限公司、中国建筑股份有限公司、中国电影股份有限公司、交通银行股份有 限公司、人民网股份有限公司、招商银行股份有限公司、新华网股份有限公司、 王府井集团股份有限公司股票，占比极小。</w:t>
            </w:r>
          </w:p>
        </w:tc>
      </w:tr>
      <w:tr>
        <w:trPr>
          <w:trHeight w:val="331" w:hRule="exact"/>
        </w:trPr>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79" w:line="1" w:lineRule="exact"/>
      </w:pPr>
    </w:p>
    <w:p>
      <w:pPr>
        <w:pStyle w:val="Style16"/>
        <w:keepNext/>
        <w:keepLines/>
        <w:widowControl w:val="0"/>
        <w:shd w:val="clear" w:color="auto" w:fill="auto"/>
        <w:tabs>
          <w:tab w:pos="1543" w:val="left"/>
        </w:tabs>
        <w:bidi w:val="0"/>
        <w:spacing w:before="0" w:after="380" w:line="240" w:lineRule="auto"/>
        <w:ind w:left="1140" w:right="0" w:firstLine="0"/>
        <w:jc w:val="left"/>
      </w:pPr>
      <w:bookmarkStart w:id="583" w:name="bookmark583"/>
      <w:bookmarkStart w:id="584" w:name="bookmark584"/>
      <w:bookmarkStart w:id="585" w:name="bookmark585"/>
      <w:r>
        <w:rPr>
          <w:color w:val="000000"/>
          <w:spacing w:val="0"/>
          <w:w w:val="100"/>
          <w:position w:val="0"/>
        </w:rPr>
        <w:t>2</w:t>
        <w:tab/>
        <w:t>公司与控股股东之间的产权及控制关系的方框图</w:t>
      </w:r>
      <w:bookmarkEnd w:id="583"/>
      <w:bookmarkEnd w:id="584"/>
      <w:bookmarkEnd w:id="585"/>
    </w:p>
    <w:p>
      <w:pPr>
        <w:widowControl w:val="0"/>
        <w:jc w:val="center"/>
        <w:rPr>
          <w:sz w:val="2"/>
          <w:szCs w:val="2"/>
        </w:rPr>
      </w:pPr>
      <w:r>
        <w:drawing>
          <wp:inline>
            <wp:extent cx="5449570" cy="291401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5449570" cy="2914015"/>
                    </a:xfrm>
                    <a:prstGeom prst="rect"/>
                  </pic:spPr>
                </pic:pic>
              </a:graphicData>
            </a:graphic>
          </wp:inline>
        </w:drawing>
      </w:r>
    </w:p>
    <w:p>
      <w:pPr>
        <w:pStyle w:val="Style5"/>
        <w:keepNext w:val="0"/>
        <w:keepLines w:val="0"/>
        <w:widowControl w:val="0"/>
        <w:shd w:val="clear" w:color="auto" w:fill="auto"/>
        <w:bidi w:val="0"/>
        <w:spacing w:before="0" w:after="0" w:line="363" w:lineRule="exact"/>
        <w:ind w:left="1140" w:right="0" w:firstLine="0"/>
        <w:jc w:val="left"/>
      </w:pPr>
      <w:r>
        <w:rPr>
          <w:color w:val="000000"/>
          <w:spacing w:val="0"/>
          <w:w w:val="100"/>
          <w:position w:val="0"/>
        </w:rPr>
        <w:t>注</w:t>
      </w:r>
      <w:r>
        <w:rPr>
          <w:color w:val="000000"/>
          <w:spacing w:val="0"/>
          <w:w w:val="100"/>
          <w:position w:val="0"/>
        </w:rPr>
        <w:t>：</w:t>
      </w:r>
    </w:p>
    <w:p>
      <w:pPr>
        <w:pStyle w:val="Style5"/>
        <w:keepNext w:val="0"/>
        <w:keepLines w:val="0"/>
        <w:widowControl w:val="0"/>
        <w:shd w:val="clear" w:color="auto" w:fill="auto"/>
        <w:bidi w:val="0"/>
        <w:spacing w:before="0" w:after="0" w:line="363" w:lineRule="exact"/>
        <w:ind w:left="1140" w:right="0" w:firstLine="0"/>
        <w:jc w:val="left"/>
      </w:pPr>
      <w:r>
        <w:rPr>
          <w:color w:val="000000"/>
          <w:spacing w:val="0"/>
          <w:w w:val="100"/>
          <w:position w:val="0"/>
        </w:rPr>
        <w:t>数据截至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0" w:line="363" w:lineRule="exact"/>
        <w:ind w:left="1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：公司混合所有制改革引入的战略投资者</w:t>
      </w:r>
      <w:r>
        <w:rPr>
          <w:rFonts w:ascii="Times New Roman" w:eastAsia="Times New Roman" w:hAnsi="Times New Roman" w:cs="Times New Roman"/>
          <w:color w:val="000000"/>
          <w:spacing w:val="0"/>
          <w:w w:val="100"/>
          <w:position w:val="0"/>
        </w:rPr>
        <w:t>2017</w:t>
      </w:r>
      <w:r>
        <w:rPr>
          <w:color w:val="000000"/>
          <w:spacing w:val="0"/>
          <w:w w:val="100"/>
          <w:position w:val="0"/>
        </w:rPr>
        <w:t>年通过非公开发行及老股转让取得股份共约</w:t>
      </w:r>
      <w:r>
        <w:rPr>
          <w:rFonts w:ascii="Times New Roman" w:eastAsia="Times New Roman" w:hAnsi="Times New Roman" w:cs="Times New Roman"/>
          <w:color w:val="000000"/>
          <w:spacing w:val="0"/>
          <w:w w:val="100"/>
          <w:position w:val="0"/>
        </w:rPr>
        <w:t>109</w:t>
      </w:r>
      <w:r>
        <w:rPr>
          <w:color w:val="000000"/>
          <w:spacing w:val="0"/>
          <w:w w:val="100"/>
          <w:position w:val="0"/>
        </w:rPr>
        <w:t>亿 股，该股份已于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月解除限售</w:t>
      </w:r>
    </w:p>
    <w:p>
      <w:pPr>
        <w:pStyle w:val="Style5"/>
        <w:keepNext w:val="0"/>
        <w:keepLines w:val="0"/>
        <w:widowControl w:val="0"/>
        <w:shd w:val="clear" w:color="auto" w:fill="auto"/>
        <w:bidi w:val="0"/>
        <w:spacing w:before="0" w:after="0" w:line="363" w:lineRule="exact"/>
        <w:ind w:left="114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：公司根据限制性股票激励计划首期授予方案向核心员工共授予约</w:t>
      </w:r>
      <w:r>
        <w:rPr>
          <w:rFonts w:ascii="Times New Roman" w:eastAsia="Times New Roman" w:hAnsi="Times New Roman" w:cs="Times New Roman"/>
          <w:color w:val="000000"/>
          <w:spacing w:val="0"/>
          <w:w w:val="100"/>
          <w:position w:val="0"/>
        </w:rPr>
        <w:t>8</w:t>
      </w:r>
      <w:r>
        <w:rPr>
          <w:color w:val="000000"/>
          <w:spacing w:val="0"/>
          <w:w w:val="100"/>
          <w:position w:val="0"/>
        </w:rPr>
        <w:t>亿股限制性股票，截至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月，其中约</w:t>
      </w:r>
      <w:r>
        <w:rPr>
          <w:rFonts w:ascii="Times New Roman" w:eastAsia="Times New Roman" w:hAnsi="Times New Roman" w:cs="Times New Roman"/>
          <w:color w:val="000000"/>
          <w:spacing w:val="0"/>
          <w:w w:val="100"/>
          <w:position w:val="0"/>
        </w:rPr>
        <w:t>5</w:t>
      </w:r>
      <w:r>
        <w:rPr>
          <w:color w:val="000000"/>
          <w:spacing w:val="0"/>
          <w:w w:val="100"/>
          <w:position w:val="0"/>
        </w:rPr>
        <w:t>亿股已解锁。</w:t>
      </w:r>
    </w:p>
    <w:p>
      <w:pPr>
        <w:pStyle w:val="Style5"/>
        <w:keepNext w:val="0"/>
        <w:keepLines w:val="0"/>
        <w:widowControl w:val="0"/>
        <w:shd w:val="clear" w:color="auto" w:fill="auto"/>
        <w:bidi w:val="0"/>
        <w:spacing w:before="0" w:after="200" w:line="363" w:lineRule="exact"/>
        <w:ind w:left="114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：中国联通集团</w:t>
      </w:r>
      <w:r>
        <w:rPr>
          <w:color w:val="000000"/>
          <w:spacing w:val="0"/>
          <w:w w:val="100"/>
          <w:position w:val="0"/>
        </w:rPr>
        <w:t>（</w:t>
      </w:r>
      <w:r>
        <w:rPr>
          <w:rFonts w:ascii="Times New Roman" w:eastAsia="Times New Roman" w:hAnsi="Times New Roman" w:cs="Times New Roman"/>
          <w:color w:val="000000"/>
          <w:spacing w:val="0"/>
          <w:w w:val="100"/>
          <w:position w:val="0"/>
        </w:rPr>
        <w:t>BVI</w:t>
      </w:r>
      <w:r>
        <w:rPr>
          <w:color w:val="000000"/>
          <w:spacing w:val="0"/>
          <w:w w:val="100"/>
          <w:position w:val="0"/>
        </w:rPr>
        <w:t>）</w:t>
      </w:r>
      <w:r>
        <w:rPr>
          <w:color w:val="000000"/>
          <w:spacing w:val="0"/>
          <w:w w:val="100"/>
          <w:position w:val="0"/>
        </w:rPr>
        <w:t>有限公司持有股份中不包含其拥有的</w:t>
      </w:r>
      <w:r>
        <w:rPr>
          <w:rFonts w:ascii="Times New Roman" w:eastAsia="Times New Roman" w:hAnsi="Times New Roman" w:cs="Times New Roman"/>
          <w:color w:val="000000"/>
          <w:spacing w:val="0"/>
          <w:w w:val="100"/>
          <w:position w:val="0"/>
        </w:rPr>
        <w:t>225,722,791</w:t>
      </w:r>
      <w:r>
        <w:rPr>
          <w:color w:val="000000"/>
          <w:spacing w:val="0"/>
          <w:w w:val="100"/>
          <w:position w:val="0"/>
        </w:rPr>
        <w:t>股中国联合网络通信（香 港）股份有限公司股份的优先购买权权益。</w:t>
      </w:r>
      <w:r>
        <w:br w:type="page"/>
      </w:r>
    </w:p>
    <w:p>
      <w:pPr>
        <w:widowControl w:val="0"/>
        <w:spacing w:line="1" w:lineRule="exact"/>
      </w:pPr>
      <w:r>
        <mc:AlternateContent>
          <mc:Choice Requires="wps">
            <w:drawing>
              <wp:anchor distT="0" distB="12700" distL="0" distR="0" simplePos="0" relativeHeight="125829380" behindDoc="0" locked="0" layoutInCell="1" allowOverlap="1">
                <wp:simplePos x="0" y="0"/>
                <wp:positionH relativeFrom="page">
                  <wp:posOffset>948055</wp:posOffset>
                </wp:positionH>
                <wp:positionV relativeFrom="paragraph">
                  <wp:posOffset>0</wp:posOffset>
                </wp:positionV>
                <wp:extent cx="1231265" cy="417830"/>
                <wp:wrapTopAndBottom/>
                <wp:docPr id="6" name="Shape 6"/>
                <a:graphic xmlns:a="http://schemas.openxmlformats.org/drawingml/2006/main">
                  <a:graphicData uri="http://schemas.microsoft.com/office/word/2010/wordprocessingShape">
                    <wps:wsp>
                      <wps:cNvSpPr txBox="1"/>
                      <wps:spPr>
                        <a:xfrm>
                          <a:ext cx="1231265" cy="417830"/>
                        </a:xfrm>
                        <a:prstGeom prst="rect"/>
                        <a:noFill/>
                      </wps:spPr>
                      <wps:txbx>
                        <w:txbxContent>
                          <w:p>
                            <w:pPr>
                              <w:pStyle w:val="Style16"/>
                              <w:keepNext/>
                              <w:keepLines/>
                              <w:widowControl w:val="0"/>
                              <w:shd w:val="clear" w:color="auto" w:fill="auto"/>
                              <w:bidi w:val="0"/>
                              <w:spacing w:before="0" w:after="120" w:line="240" w:lineRule="auto"/>
                              <w:ind w:left="0" w:right="0" w:firstLine="0"/>
                              <w:jc w:val="left"/>
                            </w:pPr>
                            <w:bookmarkStart w:id="543" w:name="bookmark543"/>
                            <w:bookmarkStart w:id="544" w:name="bookmark544"/>
                            <w:bookmarkStart w:id="545" w:name="bookmark545"/>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实际控制人情况</w:t>
                            </w:r>
                            <w:bookmarkEnd w:id="543"/>
                            <w:bookmarkEnd w:id="544"/>
                            <w:bookmarkEnd w:id="545"/>
                          </w:p>
                          <w:p>
                            <w:pPr>
                              <w:pStyle w:val="Style16"/>
                              <w:keepNext/>
                              <w:keepLines/>
                              <w:widowControl w:val="0"/>
                              <w:shd w:val="clear" w:color="auto" w:fill="auto"/>
                              <w:bidi w:val="0"/>
                              <w:spacing w:before="0" w:after="0" w:line="240" w:lineRule="auto"/>
                              <w:ind w:left="0" w:right="0" w:firstLine="0"/>
                              <w:jc w:val="left"/>
                            </w:pPr>
                            <w:bookmarkStart w:id="543" w:name="bookmark543"/>
                            <w:bookmarkStart w:id="544" w:name="bookmark544"/>
                            <w:bookmarkStart w:id="546" w:name="bookmark546"/>
                            <w:r>
                              <w:rPr>
                                <w:color w:val="000000"/>
                                <w:spacing w:val="0"/>
                                <w:w w:val="100"/>
                                <w:position w:val="0"/>
                              </w:rPr>
                              <w:t>1 法人</w:t>
                            </w:r>
                            <w:bookmarkEnd w:id="543"/>
                            <w:bookmarkEnd w:id="544"/>
                            <w:bookmarkEnd w:id="546"/>
                          </w:p>
                        </w:txbxContent>
                      </wps:txbx>
                      <wps:bodyPr lIns="0" tIns="0" rIns="0" bIns="0">
                        <a:noAutoFit/>
                      </wps:bodyPr>
                    </wps:wsp>
                  </a:graphicData>
                </a:graphic>
              </wp:anchor>
            </w:drawing>
          </mc:Choice>
          <mc:Fallback>
            <w:pict>
              <v:shape id="_x0000_s1032" type="#_x0000_t202" style="position:absolute;margin-left:74.650000000000006pt;margin-top:0;width:96.950000000000003pt;height:32.899999999999999pt;z-index:-125829373;mso-wrap-distance-left:0;mso-wrap-distance-right:0;mso-wrap-distance-bottom:1.pt;mso-position-horizontal-relative:page" filled="f" stroked="f">
                <v:textbox inset="0,0,0,0">
                  <w:txbxContent>
                    <w:p>
                      <w:pPr>
                        <w:pStyle w:val="Style16"/>
                        <w:keepNext/>
                        <w:keepLines/>
                        <w:widowControl w:val="0"/>
                        <w:shd w:val="clear" w:color="auto" w:fill="auto"/>
                        <w:bidi w:val="0"/>
                        <w:spacing w:before="0" w:after="120" w:line="240" w:lineRule="auto"/>
                        <w:ind w:left="0" w:right="0" w:firstLine="0"/>
                        <w:jc w:val="left"/>
                      </w:pPr>
                      <w:bookmarkStart w:id="543" w:name="bookmark543"/>
                      <w:bookmarkStart w:id="544" w:name="bookmark544"/>
                      <w:bookmarkStart w:id="545" w:name="bookmark545"/>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实际控制人情况</w:t>
                      </w:r>
                      <w:bookmarkEnd w:id="543"/>
                      <w:bookmarkEnd w:id="544"/>
                      <w:bookmarkEnd w:id="545"/>
                    </w:p>
                    <w:p>
                      <w:pPr>
                        <w:pStyle w:val="Style16"/>
                        <w:keepNext/>
                        <w:keepLines/>
                        <w:widowControl w:val="0"/>
                        <w:shd w:val="clear" w:color="auto" w:fill="auto"/>
                        <w:bidi w:val="0"/>
                        <w:spacing w:before="0" w:after="0" w:line="240" w:lineRule="auto"/>
                        <w:ind w:left="0" w:right="0" w:firstLine="0"/>
                        <w:jc w:val="left"/>
                      </w:pPr>
                      <w:bookmarkStart w:id="543" w:name="bookmark543"/>
                      <w:bookmarkStart w:id="544" w:name="bookmark544"/>
                      <w:bookmarkStart w:id="546" w:name="bookmark546"/>
                      <w:r>
                        <w:rPr>
                          <w:color w:val="000000"/>
                          <w:spacing w:val="0"/>
                          <w:w w:val="100"/>
                          <w:position w:val="0"/>
                        </w:rPr>
                        <w:t>1 法人</w:t>
                      </w:r>
                      <w:bookmarkEnd w:id="543"/>
                      <w:bookmarkEnd w:id="544"/>
                      <w:bookmarkEnd w:id="546"/>
                    </w:p>
                  </w:txbxContent>
                </v:textbox>
                <w10:wrap type="topAndBottom" anchorx="page"/>
              </v:shape>
            </w:pict>
          </mc:Fallback>
        </mc:AlternateConten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240" w:lineRule="auto"/>
        <w:ind w:left="0" w:right="0" w:firstLine="0"/>
        <w:jc w:val="center"/>
      </w:pPr>
      <w:r>
        <mc:AlternateContent>
          <mc:Choice Requires="wps">
            <w:drawing>
              <wp:anchor distT="0" distB="0" distL="114300" distR="114300" simplePos="0" relativeHeight="125829382" behindDoc="0" locked="0" layoutInCell="1" allowOverlap="1">
                <wp:simplePos x="0" y="0"/>
                <wp:positionH relativeFrom="page">
                  <wp:posOffset>951230</wp:posOffset>
                </wp:positionH>
                <wp:positionV relativeFrom="paragraph">
                  <wp:posOffset>12700</wp:posOffset>
                </wp:positionV>
                <wp:extent cx="289560" cy="167640"/>
                <wp:wrapSquare wrapText="right"/>
                <wp:docPr id="8" name="Shape 8"/>
                <a:graphic xmlns:a="http://schemas.openxmlformats.org/drawingml/2006/main">
                  <a:graphicData uri="http://schemas.microsoft.com/office/word/2010/wordprocessingShape">
                    <wps:wsp>
                      <wps:cNvSpPr txBox="1"/>
                      <wps:spPr>
                        <a:xfrm>
                          <a:ext cx="28956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xbxContent>
                      </wps:txbx>
                      <wps:bodyPr wrap="none" lIns="0" tIns="0" rIns="0" bIns="0">
                        <a:noAutoFit/>
                      </wps:bodyPr>
                    </wps:wsp>
                  </a:graphicData>
                </a:graphic>
              </wp:anchor>
            </w:drawing>
          </mc:Choice>
          <mc:Fallback>
            <w:pict>
              <v:shape id="_x0000_s1034" type="#_x0000_t202" style="position:absolute;margin-left:74.900000000000006pt;margin-top:1.pt;width:22.800000000000001pt;height:13.200000000000001pt;z-index:-125829371;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xbxContent>
                </v:textbox>
                <w10:wrap type="square" side="right" anchorx="page"/>
              </v:shape>
            </w:pict>
          </mc:Fallback>
        </mc:AlternateContent>
      </w:r>
      <w:r>
        <w:rPr>
          <w:color w:val="000000"/>
          <w:spacing w:val="0"/>
          <w:w w:val="100"/>
          <w:position w:val="0"/>
        </w:rPr>
        <w:t>国务院国有资产监督管理委员会</w:t>
      </w:r>
    </w:p>
    <w:p>
      <w:pPr>
        <w:pStyle w:val="Style16"/>
        <w:keepNext/>
        <w:keepLines/>
        <w:widowControl w:val="0"/>
        <w:shd w:val="clear" w:color="auto" w:fill="auto"/>
        <w:bidi w:val="0"/>
        <w:spacing w:before="0" w:after="0" w:line="240" w:lineRule="auto"/>
        <w:ind w:left="0" w:right="0" w:firstLine="980"/>
        <w:jc w:val="left"/>
      </w:pPr>
      <w:bookmarkStart w:id="586" w:name="bookmark586"/>
      <w:bookmarkStart w:id="587" w:name="bookmark587"/>
      <w:bookmarkStart w:id="588" w:name="bookmark588"/>
      <w:r>
        <w:rPr>
          <w:color w:val="000000"/>
          <w:spacing w:val="0"/>
          <w:w w:val="100"/>
          <w:position w:val="0"/>
        </w:rPr>
        <w:t>2 公司与实际控制人之间的产权及控制关系的方框图</w:t>
      </w:r>
      <w:bookmarkEnd w:id="586"/>
      <w:bookmarkEnd w:id="587"/>
      <w:bookmarkEnd w:id="588"/>
    </w:p>
    <w:p>
      <w:pPr>
        <w:widowControl w:val="0"/>
        <w:spacing w:line="1" w:lineRule="exact"/>
      </w:pPr>
      <w:r>
        <w:drawing>
          <wp:anchor distT="25400" distB="384175" distL="0" distR="0" simplePos="0" relativeHeight="125829384" behindDoc="0" locked="0" layoutInCell="1" allowOverlap="1">
            <wp:simplePos x="0" y="0"/>
            <wp:positionH relativeFrom="page">
              <wp:posOffset>1661160</wp:posOffset>
            </wp:positionH>
            <wp:positionV relativeFrom="paragraph">
              <wp:posOffset>25400</wp:posOffset>
            </wp:positionV>
            <wp:extent cx="4602480" cy="1017905"/>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9"/>
                    <a:stretch/>
                  </pic:blipFill>
                  <pic:spPr>
                    <a:xfrm>
                      <a:ext cx="4602480" cy="10179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3862070</wp:posOffset>
                </wp:positionH>
                <wp:positionV relativeFrom="paragraph">
                  <wp:posOffset>1085850</wp:posOffset>
                </wp:positionV>
                <wp:extent cx="1905000" cy="341630"/>
                <wp:wrapNone/>
                <wp:docPr id="12" name="Shape 12"/>
                <a:graphic xmlns:a="http://schemas.openxmlformats.org/drawingml/2006/main">
                  <a:graphicData uri="http://schemas.microsoft.com/office/word/2010/wordprocessingShape">
                    <wps:wsp>
                      <wps:cNvSpPr txBox="1"/>
                      <wps:spPr>
                        <a:xfrm>
                          <a:ext cx="1905000" cy="341630"/>
                        </a:xfrm>
                        <a:prstGeom prst="rect"/>
                        <a:noFill/>
                      </wps:spPr>
                      <wps:txbx>
                        <w:txbxContent>
                          <w:p>
                            <w:pPr>
                              <w:pStyle w:val="Style73"/>
                              <w:keepNext w:val="0"/>
                              <w:keepLines w:val="0"/>
                              <w:widowControl w:val="0"/>
                              <w:pBdr>
                                <w:top w:val="single" w:sz="0" w:space="0" w:color="C00000"/>
                                <w:left w:val="single" w:sz="0" w:space="0" w:color="C00000"/>
                                <w:bottom w:val="single" w:sz="0" w:space="0" w:color="C00000"/>
                                <w:right w:val="single" w:sz="0" w:space="0" w:color="C00000"/>
                              </w:pBdr>
                              <w:shd w:val="clear" w:color="auto" w:fill="C00000"/>
                              <w:bidi w:val="0"/>
                              <w:spacing w:before="0" w:after="0"/>
                              <w:ind w:left="0" w:right="0" w:firstLine="0"/>
                              <w:jc w:val="center"/>
                            </w:pPr>
                            <w:r>
                              <w:rPr>
                                <w:color w:val="FFFFFF"/>
                                <w:spacing w:val="0"/>
                                <w:w w:val="100"/>
                                <w:position w:val="0"/>
                              </w:rPr>
                              <w:t>中国联合网络通信股份有限公司 （已发行股份：约</w:t>
                            </w:r>
                            <w:r>
                              <w:rPr>
                                <w:rFonts w:ascii="Arial" w:eastAsia="Arial" w:hAnsi="Arial" w:cs="Arial"/>
                                <w:b/>
                                <w:bCs/>
                                <w:color w:val="FFFFFF"/>
                                <w:spacing w:val="0"/>
                                <w:w w:val="100"/>
                                <w:position w:val="0"/>
                              </w:rPr>
                              <w:t>310</w:t>
                            </w:r>
                            <w:r>
                              <w:rPr>
                                <w:color w:val="FFFFFF"/>
                                <w:spacing w:val="0"/>
                                <w:w w:val="100"/>
                                <w:position w:val="0"/>
                              </w:rPr>
                              <w:t>亿股）</w:t>
                            </w:r>
                          </w:p>
                        </w:txbxContent>
                      </wps:txbx>
                      <wps:bodyPr lIns="0" tIns="0" rIns="0" bIns="0">
                        <a:noAutoFit/>
                      </wps:bodyPr>
                    </wps:wsp>
                  </a:graphicData>
                </a:graphic>
              </wp:anchor>
            </w:drawing>
          </mc:Choice>
          <mc:Fallback>
            <w:pict>
              <v:shape id="_x0000_s1038" type="#_x0000_t202" style="position:absolute;margin-left:304.10000000000002pt;margin-top:85.5pt;width:150.pt;height:26.900000000000002pt;z-index:251657729;mso-wrap-distance-left:0;mso-wrap-distance-right:0;mso-position-horizontal-relative:page" filled="f" stroked="f">
                <v:textbox inset="0,0,0,0">
                  <w:txbxContent>
                    <w:p>
                      <w:pPr>
                        <w:pStyle w:val="Style73"/>
                        <w:keepNext w:val="0"/>
                        <w:keepLines w:val="0"/>
                        <w:widowControl w:val="0"/>
                        <w:pBdr>
                          <w:top w:val="single" w:sz="0" w:space="0" w:color="C00000"/>
                          <w:left w:val="single" w:sz="0" w:space="0" w:color="C00000"/>
                          <w:bottom w:val="single" w:sz="0" w:space="0" w:color="C00000"/>
                          <w:right w:val="single" w:sz="0" w:space="0" w:color="C00000"/>
                        </w:pBdr>
                        <w:shd w:val="clear" w:color="auto" w:fill="C00000"/>
                        <w:bidi w:val="0"/>
                        <w:spacing w:before="0" w:after="0"/>
                        <w:ind w:left="0" w:right="0" w:firstLine="0"/>
                        <w:jc w:val="center"/>
                      </w:pPr>
                      <w:r>
                        <w:rPr>
                          <w:color w:val="FFFFFF"/>
                          <w:spacing w:val="0"/>
                          <w:w w:val="100"/>
                          <w:position w:val="0"/>
                        </w:rPr>
                        <w:t>中国联合网络通信股份有限公司 （已发行股份：约</w:t>
                      </w:r>
                      <w:r>
                        <w:rPr>
                          <w:rFonts w:ascii="Arial" w:eastAsia="Arial" w:hAnsi="Arial" w:cs="Arial"/>
                          <w:b/>
                          <w:bCs/>
                          <w:color w:val="FFFFFF"/>
                          <w:spacing w:val="0"/>
                          <w:w w:val="100"/>
                          <w:position w:val="0"/>
                        </w:rPr>
                        <w:t>310</w:t>
                      </w:r>
                      <w:r>
                        <w:rPr>
                          <w:color w:val="FFFFFF"/>
                          <w:spacing w:val="0"/>
                          <w:w w:val="100"/>
                          <w:position w:val="0"/>
                        </w:rPr>
                        <w:t>亿股）</w:t>
                      </w:r>
                    </w:p>
                  </w:txbxContent>
                </v:textbox>
                <w10:wrap anchorx="page"/>
              </v:shape>
            </w:pict>
          </mc:Fallback>
        </mc:AlternateContent>
      </w:r>
    </w:p>
    <w:p>
      <w:pPr>
        <w:pStyle w:val="Style76"/>
        <w:keepNext w:val="0"/>
        <w:framePr w:dropCap="drop" w:hAnchor="text" w:lines="2" w:vAnchor="text" w:hSpace="1570" w:vSpace="1570"/>
        <w:widowControl w:val="0"/>
        <w:shd w:val="clear" w:color="auto" w:fill="auto"/>
        <w:tabs>
          <w:tab w:pos="3993" w:val="left"/>
          <w:tab w:pos="5198" w:val="left"/>
        </w:tabs>
        <w:spacing w:before="0" w:line="124" w:lineRule="exact"/>
        <w:ind w:left="0" w:firstLine="0"/>
      </w:pPr>
      <w:r>
        <w:rPr>
          <w:color w:val="000000"/>
          <w:spacing w:val="0"/>
          <w:w w:val="100"/>
          <w:position w:val="-3"/>
          <w:sz w:val="14"/>
          <w:szCs w:val="14"/>
        </w:rPr>
        <w:t>1</w:t>
      </w:r>
    </w:p>
    <w:p>
      <w:pPr>
        <w:pStyle w:val="Style76"/>
        <w:keepNext w:val="0"/>
        <w:keepLines w:val="0"/>
        <w:widowControl w:val="0"/>
        <w:shd w:val="clear" w:color="auto" w:fill="auto"/>
        <w:tabs>
          <w:tab w:pos="3993" w:val="left"/>
          <w:tab w:pos="5198" w:val="left"/>
        </w:tabs>
        <w:bidi w:val="0"/>
        <w:spacing w:before="0" w:line="240" w:lineRule="auto"/>
        <w:ind w:left="1180" w:right="0" w:firstLine="0"/>
        <w:jc w:val="left"/>
      </w:pPr>
      <w:r>
        <w:rPr>
          <w:spacing w:val="0"/>
          <w:w w:val="100"/>
          <w:position w:val="0"/>
        </w:rPr>
        <w:t>100%</w:t>
        <w:tab/>
        <w:t>17.9%</w:t>
        <w:tab/>
        <w:t>32.1%</w:t>
      </w:r>
    </w:p>
    <w:p>
      <w:pPr>
        <w:pStyle w:val="Style5"/>
        <w:keepNext w:val="0"/>
        <w:keepLines w:val="0"/>
        <w:widowControl w:val="0"/>
        <w:shd w:val="clear" w:color="auto" w:fill="auto"/>
        <w:tabs>
          <w:tab w:pos="4228" w:val="left"/>
          <w:tab w:pos="6858" w:val="left"/>
        </w:tabs>
        <w:bidi w:val="0"/>
        <w:spacing w:before="0" w:after="0" w:line="240" w:lineRule="auto"/>
        <w:ind w:left="1180" w:right="0" w:firstLine="0"/>
        <w:jc w:val="left"/>
      </w:pPr>
      <w:r>
        <w:rPr>
          <w:b/>
          <w:bCs/>
          <w:color w:val="222222"/>
          <w:spacing w:val="0"/>
          <w:w w:val="100"/>
          <w:position w:val="0"/>
        </w:rPr>
        <w:t>中国联通集团</w:t>
      </w:r>
      <w:r>
        <w:rPr>
          <w:b/>
          <w:bCs/>
          <w:color w:val="222222"/>
          <w:spacing w:val="0"/>
          <w:w w:val="100"/>
          <w:position w:val="0"/>
        </w:rPr>
        <w:t>（BVI</w:t>
      </w:r>
      <w:r>
        <w:rPr>
          <w:b/>
          <w:bCs/>
          <w:color w:val="222222"/>
          <w:spacing w:val="0"/>
          <w:w w:val="100"/>
          <w:position w:val="0"/>
        </w:rPr>
        <w:t>有限公司</w:t>
        <w:tab/>
        <w:t>中国联通</w:t>
      </w:r>
      <w:r>
        <w:rPr>
          <w:b/>
          <w:bCs/>
          <w:color w:val="222222"/>
          <w:spacing w:val="0"/>
          <w:w w:val="100"/>
          <w:position w:val="0"/>
        </w:rPr>
        <w:t>（BVI）</w:t>
      </w:r>
      <w:r>
        <w:rPr>
          <w:b/>
          <w:bCs/>
          <w:color w:val="222222"/>
          <w:spacing w:val="0"/>
          <w:w w:val="100"/>
          <w:position w:val="0"/>
        </w:rPr>
        <w:t>有限公司</w:t>
        <w:tab/>
        <w:t>其他公众股东</w:t>
      </w:r>
    </w:p>
    <w:p>
      <w:pPr>
        <w:pStyle w:val="Style76"/>
        <w:keepNext w:val="0"/>
        <w:keepLines w:val="0"/>
        <w:widowControl w:val="0"/>
        <w:shd w:val="clear" w:color="auto" w:fill="auto"/>
        <w:tabs>
          <w:tab w:pos="1810" w:val="left"/>
          <w:tab w:pos="3993" w:val="left"/>
        </w:tabs>
        <w:bidi w:val="0"/>
        <w:spacing w:before="0" w:after="50" w:line="240" w:lineRule="auto"/>
        <w:ind w:left="0" w:right="0" w:firstLine="0"/>
        <w:jc w:val="center"/>
      </w:pPr>
      <w:r>
        <w:rPr>
          <w:color w:val="000000"/>
          <w:spacing w:val="0"/>
          <w:w w:val="100"/>
          <w:position w:val="0"/>
        </w:rPr>
        <w:t>26.4%</w:t>
        <w:tab/>
      </w:r>
      <w:r>
        <w:rPr>
          <w:spacing w:val="0"/>
          <w:w w:val="100"/>
          <w:position w:val="0"/>
        </w:rPr>
        <w:t>53.5%</w:t>
        <w:tab/>
        <w:t>120.1%</w:t>
      </w:r>
    </w:p>
    <w:p>
      <w:pPr>
        <w:pStyle w:val="Style81"/>
        <w:keepNext w:val="0"/>
        <w:keepLines w:val="0"/>
        <w:widowControl w:val="0"/>
        <w:pBdr>
          <w:top w:val="single" w:sz="0" w:space="7" w:color="C00000"/>
          <w:left w:val="single" w:sz="0" w:space="0" w:color="C00000"/>
          <w:bottom w:val="single" w:sz="0" w:space="9" w:color="C00000"/>
          <w:right w:val="single" w:sz="0" w:space="0" w:color="C00000"/>
        </w:pBdr>
        <w:shd w:val="clear" w:color="auto" w:fill="C00000"/>
        <w:bidi w:val="0"/>
        <w:spacing w:before="0" w:after="7"/>
        <w:ind w:left="0" w:right="0" w:firstLine="0"/>
        <w:jc w:val="center"/>
      </w:pPr>
      <w:r>
        <w:rPr>
          <w:color w:val="FFFFFF"/>
          <w:spacing w:val="0"/>
          <w:w w:val="100"/>
          <w:position w:val="0"/>
        </w:rPr>
        <w:t>中国联合网络通信（香港）股份有限公司</w:t>
        <w:br/>
        <w:t>（已发行股份：约</w:t>
      </w:r>
      <w:r>
        <w:rPr>
          <w:rFonts w:ascii="Arial" w:eastAsia="Arial" w:hAnsi="Arial" w:cs="Arial"/>
          <w:b/>
          <w:bCs/>
          <w:color w:val="FFFFFF"/>
          <w:spacing w:val="0"/>
          <w:w w:val="100"/>
          <w:position w:val="0"/>
        </w:rPr>
        <w:t>306</w:t>
      </w:r>
      <w:r>
        <w:rPr>
          <w:color w:val="FFFFFF"/>
          <w:spacing w:val="0"/>
          <w:w w:val="100"/>
          <w:position w:val="0"/>
        </w:rPr>
        <w:t>亿股）</w:t>
      </w:r>
    </w:p>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p>
      <w:pPr>
        <w:pStyle w:val="Style16"/>
        <w:keepNext/>
        <w:keepLines/>
        <w:widowControl w:val="0"/>
        <w:pBdr>
          <w:top w:val="single" w:sz="0" w:space="8" w:color="FFE181"/>
          <w:left w:val="single" w:sz="0" w:space="0" w:color="FFE181"/>
          <w:bottom w:val="single" w:sz="0" w:space="9" w:color="FFE181"/>
          <w:right w:val="single" w:sz="0" w:space="0" w:color="FFE181"/>
        </w:pBdr>
        <w:shd w:val="clear" w:color="auto" w:fill="FFE181"/>
        <w:bidi w:val="0"/>
        <w:spacing w:before="0" w:after="142" w:line="240" w:lineRule="auto"/>
        <w:ind w:left="0" w:right="0" w:firstLine="0"/>
        <w:jc w:val="center"/>
        <w:rPr>
          <w:sz w:val="22"/>
          <w:szCs w:val="22"/>
        </w:rPr>
      </w:pPr>
      <w:bookmarkStart w:id="589" w:name="bookmark589"/>
      <w:bookmarkStart w:id="590" w:name="bookmark590"/>
      <w:bookmarkStart w:id="591" w:name="bookmark591"/>
      <w:r>
        <w:rPr>
          <w:color w:val="000000"/>
          <w:spacing w:val="0"/>
          <w:w w:val="100"/>
          <w:position w:val="0"/>
          <w:sz w:val="22"/>
          <w:szCs w:val="22"/>
        </w:rPr>
        <w:t>中国联合网络通信有限公司</w:t>
      </w:r>
      <w:bookmarkEnd w:id="589"/>
      <w:bookmarkEnd w:id="590"/>
      <w:bookmarkEnd w:id="591"/>
    </w:p>
    <w:p>
      <w:pPr>
        <w:pStyle w:val="Style5"/>
        <w:keepNext w:val="0"/>
        <w:keepLines w:val="0"/>
        <w:widowControl w:val="0"/>
        <w:shd w:val="clear" w:color="auto" w:fill="auto"/>
        <w:bidi w:val="0"/>
        <w:spacing w:before="0" w:after="0" w:line="315" w:lineRule="exact"/>
        <w:ind w:left="0" w:right="0" w:firstLine="980"/>
        <w:jc w:val="left"/>
      </w:pPr>
      <w:r>
        <w:rPr>
          <w:color w:val="000000"/>
          <w:spacing w:val="0"/>
          <w:w w:val="100"/>
          <w:position w:val="0"/>
        </w:rPr>
        <w:t>注</w:t>
      </w:r>
      <w:r>
        <w:rPr>
          <w:color w:val="000000"/>
          <w:spacing w:val="0"/>
          <w:w w:val="100"/>
          <w:position w:val="0"/>
        </w:rPr>
        <w:t>：</w:t>
      </w:r>
    </w:p>
    <w:p>
      <w:pPr>
        <w:pStyle w:val="Style5"/>
        <w:keepNext w:val="0"/>
        <w:keepLines w:val="0"/>
        <w:widowControl w:val="0"/>
        <w:shd w:val="clear" w:color="auto" w:fill="auto"/>
        <w:bidi w:val="0"/>
        <w:spacing w:before="0" w:after="0" w:line="315" w:lineRule="exact"/>
        <w:ind w:left="0" w:right="0" w:firstLine="980"/>
        <w:jc w:val="both"/>
      </w:pPr>
      <w:r>
        <w:rPr>
          <w:color w:val="000000"/>
          <w:spacing w:val="0"/>
          <w:w w:val="100"/>
          <w:position w:val="0"/>
        </w:rPr>
        <w:t>数据截至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0" w:line="315" w:lineRule="exact"/>
        <w:ind w:left="9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：公司混合所有制改革引入的战略投资者</w:t>
      </w:r>
      <w:r>
        <w:rPr>
          <w:rFonts w:ascii="Times New Roman" w:eastAsia="Times New Roman" w:hAnsi="Times New Roman" w:cs="Times New Roman"/>
          <w:color w:val="000000"/>
          <w:spacing w:val="0"/>
          <w:w w:val="100"/>
          <w:position w:val="0"/>
        </w:rPr>
        <w:t>2017</w:t>
      </w:r>
      <w:r>
        <w:rPr>
          <w:color w:val="000000"/>
          <w:spacing w:val="0"/>
          <w:w w:val="100"/>
          <w:position w:val="0"/>
        </w:rPr>
        <w:t>年通过非公开发行及老股转让取得股份共约</w:t>
      </w:r>
      <w:r>
        <w:rPr>
          <w:rFonts w:ascii="Times New Roman" w:eastAsia="Times New Roman" w:hAnsi="Times New Roman" w:cs="Times New Roman"/>
          <w:color w:val="000000"/>
          <w:spacing w:val="0"/>
          <w:w w:val="100"/>
          <w:position w:val="0"/>
        </w:rPr>
        <w:t>109</w:t>
      </w:r>
      <w:r>
        <w:rPr>
          <w:color w:val="000000"/>
          <w:spacing w:val="0"/>
          <w:w w:val="100"/>
          <w:position w:val="0"/>
        </w:rPr>
        <w:t>亿 股，该股份已于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月解除限售</w:t>
      </w:r>
    </w:p>
    <w:p>
      <w:pPr>
        <w:pStyle w:val="Style5"/>
        <w:keepNext w:val="0"/>
        <w:keepLines w:val="0"/>
        <w:widowControl w:val="0"/>
        <w:shd w:val="clear" w:color="auto" w:fill="auto"/>
        <w:bidi w:val="0"/>
        <w:spacing w:before="0" w:after="0" w:line="315" w:lineRule="exact"/>
        <w:ind w:left="9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：公司根据限制性股票激励计划首期授予方案向核心员工共授予约</w:t>
      </w:r>
      <w:r>
        <w:rPr>
          <w:rFonts w:ascii="Times New Roman" w:eastAsia="Times New Roman" w:hAnsi="Times New Roman" w:cs="Times New Roman"/>
          <w:color w:val="000000"/>
          <w:spacing w:val="0"/>
          <w:w w:val="100"/>
          <w:position w:val="0"/>
        </w:rPr>
        <w:t>8</w:t>
      </w:r>
      <w:r>
        <w:rPr>
          <w:color w:val="000000"/>
          <w:spacing w:val="0"/>
          <w:w w:val="100"/>
          <w:position w:val="0"/>
        </w:rPr>
        <w:t>亿股限制性股票，截至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月，其中约</w:t>
      </w:r>
      <w:r>
        <w:rPr>
          <w:rFonts w:ascii="Times New Roman" w:eastAsia="Times New Roman" w:hAnsi="Times New Roman" w:cs="Times New Roman"/>
          <w:color w:val="000000"/>
          <w:spacing w:val="0"/>
          <w:w w:val="100"/>
          <w:position w:val="0"/>
        </w:rPr>
        <w:t>5</w:t>
      </w:r>
      <w:r>
        <w:rPr>
          <w:color w:val="000000"/>
          <w:spacing w:val="0"/>
          <w:w w:val="100"/>
          <w:position w:val="0"/>
        </w:rPr>
        <w:t>亿股已解锁。</w:t>
      </w:r>
    </w:p>
    <w:p>
      <w:pPr>
        <w:pStyle w:val="Style5"/>
        <w:keepNext w:val="0"/>
        <w:keepLines w:val="0"/>
        <w:widowControl w:val="0"/>
        <w:shd w:val="clear" w:color="auto" w:fill="auto"/>
        <w:bidi w:val="0"/>
        <w:spacing w:before="0" w:after="360" w:line="315" w:lineRule="exact"/>
        <w:ind w:left="98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：中国联通集团</w:t>
      </w:r>
      <w:r>
        <w:rPr>
          <w:color w:val="000000"/>
          <w:spacing w:val="0"/>
          <w:w w:val="100"/>
          <w:position w:val="0"/>
        </w:rPr>
        <w:t>（</w:t>
      </w:r>
      <w:r>
        <w:rPr>
          <w:rFonts w:ascii="Times New Roman" w:eastAsia="Times New Roman" w:hAnsi="Times New Roman" w:cs="Times New Roman"/>
          <w:color w:val="000000"/>
          <w:spacing w:val="0"/>
          <w:w w:val="100"/>
          <w:position w:val="0"/>
        </w:rPr>
        <w:t>BVI</w:t>
      </w:r>
      <w:r>
        <w:rPr>
          <w:color w:val="000000"/>
          <w:spacing w:val="0"/>
          <w:w w:val="100"/>
          <w:position w:val="0"/>
        </w:rPr>
        <w:t>）</w:t>
      </w:r>
      <w:r>
        <w:rPr>
          <w:color w:val="000000"/>
          <w:spacing w:val="0"/>
          <w:w w:val="100"/>
          <w:position w:val="0"/>
        </w:rPr>
        <w:t>有限公司持有股份中不包含其拥有的</w:t>
      </w:r>
      <w:r>
        <w:rPr>
          <w:rFonts w:ascii="Times New Roman" w:eastAsia="Times New Roman" w:hAnsi="Times New Roman" w:cs="Times New Roman"/>
          <w:color w:val="000000"/>
          <w:spacing w:val="0"/>
          <w:w w:val="100"/>
          <w:position w:val="0"/>
        </w:rPr>
        <w:t>225,722,791</w:t>
      </w:r>
      <w:r>
        <w:rPr>
          <w:color w:val="000000"/>
          <w:spacing w:val="0"/>
          <w:w w:val="100"/>
          <w:position w:val="0"/>
        </w:rPr>
        <w:t>股中国联合网络通信（香 港）股份有限公司股份的优先购买权权益。</w:t>
      </w:r>
    </w:p>
    <w:p>
      <w:pPr>
        <w:pStyle w:val="Style16"/>
        <w:keepNext/>
        <w:keepLines/>
        <w:widowControl w:val="0"/>
        <w:shd w:val="clear" w:color="auto" w:fill="auto"/>
        <w:tabs>
          <w:tab w:pos="1458" w:val="left"/>
        </w:tabs>
        <w:bidi w:val="0"/>
        <w:spacing w:before="0" w:after="80" w:line="302" w:lineRule="exact"/>
        <w:ind w:left="1440" w:right="0" w:hanging="460"/>
        <w:jc w:val="left"/>
      </w:pPr>
      <w:bookmarkStart w:id="592" w:name="bookmark592"/>
      <w:bookmarkStart w:id="593" w:name="bookmark593"/>
      <w:bookmarkStart w:id="594" w:name="bookmark594"/>
      <w:bookmarkStart w:id="595" w:name="bookmark595"/>
      <w:r>
        <w:rPr>
          <w:color w:val="000000"/>
          <w:spacing w:val="0"/>
          <w:w w:val="100"/>
          <w:position w:val="0"/>
        </w:rPr>
        <w:t>五</w:t>
      </w:r>
      <w:bookmarkEnd w:id="594"/>
      <w:r>
        <w:rPr>
          <w:color w:val="000000"/>
          <w:spacing w:val="0"/>
          <w:w w:val="100"/>
          <w:position w:val="0"/>
        </w:rPr>
        <w:t>、</w:t>
        <w:tab/>
        <w:t>公司控股股东或第一大股东及其一致行动人累计质押股份数量占其所持公司股份数量比例达 到</w:t>
      </w:r>
      <w:r>
        <w:rPr>
          <w:rFonts w:ascii="Arial" w:eastAsia="Arial" w:hAnsi="Arial" w:cs="Arial"/>
          <w:color w:val="000000"/>
          <w:spacing w:val="0"/>
          <w:w w:val="100"/>
          <w:position w:val="0"/>
        </w:rPr>
        <w:t>80%</w:t>
      </w:r>
      <w:r>
        <w:rPr>
          <w:color w:val="000000"/>
          <w:spacing w:val="0"/>
          <w:w w:val="100"/>
          <w:position w:val="0"/>
        </w:rPr>
        <w:t>以上</w:t>
      </w:r>
      <w:bookmarkEnd w:id="592"/>
      <w:bookmarkEnd w:id="593"/>
      <w:bookmarkEnd w:id="595"/>
    </w:p>
    <w:p>
      <w:pPr>
        <w:pStyle w:val="Style5"/>
        <w:keepNext w:val="0"/>
        <w:keepLines w:val="0"/>
        <w:widowControl w:val="0"/>
        <w:shd w:val="clear" w:color="auto" w:fill="auto"/>
        <w:bidi w:val="0"/>
        <w:spacing w:before="0" w:after="320" w:line="302" w:lineRule="exact"/>
        <w:ind w:left="0" w:right="0" w:firstLine="98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6"/>
        <w:keepNext/>
        <w:keepLines/>
        <w:widowControl w:val="0"/>
        <w:shd w:val="clear" w:color="auto" w:fill="auto"/>
        <w:tabs>
          <w:tab w:pos="1458" w:val="left"/>
        </w:tabs>
        <w:bidi w:val="0"/>
        <w:spacing w:before="0" w:after="320" w:line="302" w:lineRule="exact"/>
        <w:ind w:left="0" w:right="0" w:firstLine="980"/>
        <w:jc w:val="both"/>
      </w:pPr>
      <w:bookmarkStart w:id="596" w:name="bookmark596"/>
      <w:bookmarkStart w:id="597" w:name="bookmark597"/>
      <w:bookmarkStart w:id="598" w:name="bookmark598"/>
      <w:bookmarkStart w:id="599" w:name="bookmark599"/>
      <w:r>
        <w:rPr>
          <w:color w:val="000000"/>
          <w:spacing w:val="0"/>
          <w:w w:val="100"/>
          <w:position w:val="0"/>
        </w:rPr>
        <w:t>六</w:t>
      </w:r>
      <w:bookmarkEnd w:id="598"/>
      <w:r>
        <w:rPr>
          <w:color w:val="000000"/>
          <w:spacing w:val="0"/>
          <w:w w:val="100"/>
          <w:position w:val="0"/>
        </w:rPr>
        <w:t>、</w:t>
        <w:tab/>
        <w:t>其他持股在百分之十以上的法人股东</w:t>
      </w:r>
      <w:bookmarkEnd w:id="596"/>
      <w:bookmarkEnd w:id="597"/>
      <w:bookmarkEnd w:id="599"/>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1"/>
        <w:gridCol w:w="1248"/>
        <w:gridCol w:w="1430"/>
        <w:gridCol w:w="1512"/>
        <w:gridCol w:w="1354"/>
        <w:gridCol w:w="4066"/>
      </w:tblGrid>
      <w:tr>
        <w:trPr>
          <w:trHeight w:val="950"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法人股东 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单位负责</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人或法定 代表人</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组织机构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主要经营业务或管理活动等情况</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中国人寿保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袁长清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911000007109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2,826,470.50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人寿保险、健康保险、意外伤害保险等各类人身</w:t>
            </w:r>
          </w:p>
        </w:tc>
      </w:tr>
    </w:tbl>
    <w:p>
      <w:pPr>
        <w:widowControl w:val="0"/>
        <w:spacing w:line="1" w:lineRule="exact"/>
      </w:pPr>
      <w:r>
        <w:br w:type="page"/>
      </w:r>
    </w:p>
    <w:tbl>
      <w:tblPr>
        <w:tblOverlap w:val="never"/>
        <w:jc w:val="center"/>
        <w:tblLayout w:type="fixed"/>
      </w:tblPr>
      <w:tblGrid>
        <w:gridCol w:w="1171"/>
        <w:gridCol w:w="1248"/>
        <w:gridCol w:w="1430"/>
        <w:gridCol w:w="1512"/>
        <w:gridCol w:w="1354"/>
        <w:gridCol w:w="4066"/>
      </w:tblGrid>
      <w:tr>
        <w:trPr>
          <w:trHeight w:val="189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险股份有限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2841XX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保险业务；人身保险的再保险业务；国家法律、 法规允许或国务院批准的资金运用业务；各类人 身保险服务、咨询和代理业务；证券投资基金销 售业务；国家保险监督管理部门批准的其他业务。</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（依法须经批准的项目，经相关部门批准后方可 开展经营活动）</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59" w:line="1" w:lineRule="exact"/>
      </w:pPr>
    </w:p>
    <w:p>
      <w:pPr>
        <w:pStyle w:val="Style16"/>
        <w:keepNext/>
        <w:keepLines/>
        <w:widowControl w:val="0"/>
        <w:shd w:val="clear" w:color="auto" w:fill="auto"/>
        <w:bidi w:val="0"/>
        <w:spacing w:before="0" w:after="340" w:line="240" w:lineRule="auto"/>
        <w:ind w:left="1280" w:right="0" w:firstLine="0"/>
        <w:jc w:val="both"/>
      </w:pPr>
      <w:bookmarkStart w:id="600" w:name="bookmark600"/>
      <w:bookmarkStart w:id="601" w:name="bookmark601"/>
      <w:bookmarkStart w:id="602" w:name="bookmark602"/>
      <w:bookmarkStart w:id="603" w:name="bookmark603"/>
      <w:r>
        <w:rPr>
          <w:color w:val="000000"/>
          <w:spacing w:val="0"/>
          <w:w w:val="100"/>
          <w:position w:val="0"/>
        </w:rPr>
        <w:t>七</w:t>
      </w:r>
      <w:bookmarkEnd w:id="602"/>
      <w:r>
        <w:rPr>
          <w:color w:val="000000"/>
          <w:spacing w:val="0"/>
          <w:w w:val="100"/>
          <w:position w:val="0"/>
        </w:rPr>
        <w:t>、股份回购在报告期的具体实施情况</w:t>
      </w:r>
      <w:bookmarkEnd w:id="600"/>
      <w:bookmarkEnd w:id="601"/>
      <w:bookmarkEnd w:id="603"/>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31"/>
        <w:gridCol w:w="5683"/>
      </w:tblGrid>
      <w:tr>
        <w:trPr>
          <w:trHeight w:val="326"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关于以集中竞价交易方式回购公司股份的议案</w:t>
            </w:r>
          </w:p>
        </w:tc>
      </w:tr>
      <w:tr>
        <w:trPr>
          <w:trHeight w:val="322"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1570"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拟回购股份数量及占总股本的比例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以公司公告披露日的总股本</w:t>
            </w:r>
            <w:r>
              <w:rPr>
                <w:rFonts w:ascii="Times New Roman" w:eastAsia="Times New Roman" w:hAnsi="Times New Roman" w:cs="Times New Roman"/>
                <w:color w:val="000000"/>
                <w:spacing w:val="0"/>
                <w:w w:val="100"/>
                <w:position w:val="0"/>
              </w:rPr>
              <w:t>3,101,185.3287</w:t>
            </w:r>
            <w:r>
              <w:rPr>
                <w:color w:val="000000"/>
                <w:spacing w:val="0"/>
                <w:w w:val="100"/>
                <w:position w:val="0"/>
              </w:rPr>
              <w:t>万股为基础，按 回购资金总额上限</w:t>
            </w:r>
            <w:r>
              <w:rPr>
                <w:rFonts w:ascii="Times New Roman" w:eastAsia="Times New Roman" w:hAnsi="Times New Roman" w:cs="Times New Roman"/>
                <w:color w:val="000000"/>
                <w:spacing w:val="0"/>
                <w:w w:val="100"/>
                <w:position w:val="0"/>
              </w:rPr>
              <w:t>25</w:t>
            </w:r>
            <w:r>
              <w:rPr>
                <w:color w:val="000000"/>
                <w:spacing w:val="0"/>
                <w:w w:val="100"/>
                <w:position w:val="0"/>
              </w:rPr>
              <w:t>亿元、回购股份价格上限</w:t>
            </w:r>
            <w:r>
              <w:rPr>
                <w:rFonts w:ascii="Times New Roman" w:eastAsia="Times New Roman" w:hAnsi="Times New Roman" w:cs="Times New Roman"/>
                <w:color w:val="000000"/>
                <w:spacing w:val="0"/>
                <w:w w:val="100"/>
                <w:position w:val="0"/>
              </w:rPr>
              <w:t>6.5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股进 行测算，拟回购股份数量为</w:t>
            </w:r>
            <w:r>
              <w:rPr>
                <w:rFonts w:ascii="Times New Roman" w:eastAsia="Times New Roman" w:hAnsi="Times New Roman" w:cs="Times New Roman"/>
                <w:color w:val="000000"/>
                <w:spacing w:val="0"/>
                <w:w w:val="100"/>
                <w:position w:val="0"/>
              </w:rPr>
              <w:t>38,461.54</w:t>
            </w:r>
            <w:r>
              <w:rPr>
                <w:color w:val="000000"/>
                <w:spacing w:val="0"/>
                <w:w w:val="100"/>
                <w:position w:val="0"/>
              </w:rPr>
              <w:t>万股，约占公司目前 总股本的比例为</w:t>
            </w:r>
            <w:r>
              <w:rPr>
                <w:rFonts w:ascii="Times New Roman" w:eastAsia="Times New Roman" w:hAnsi="Times New Roman" w:cs="Times New Roman"/>
                <w:color w:val="000000"/>
                <w:spacing w:val="0"/>
                <w:w w:val="100"/>
                <w:position w:val="0"/>
              </w:rPr>
              <w:t>1.2</w:t>
            </w:r>
            <w:r>
              <w:rPr>
                <w:color w:val="000000"/>
                <w:spacing w:val="0"/>
                <w:w w:val="100"/>
                <w:position w:val="0"/>
              </w:rPr>
              <w:t>。具体回购股份的数量和回购金额以回 购期限届满时实际回购的股份数量和回购金额为准。</w:t>
            </w:r>
          </w:p>
        </w:tc>
      </w:tr>
      <w:tr>
        <w:trPr>
          <w:trHeight w:val="322"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不低于人民币</w:t>
            </w:r>
            <w:r>
              <w:rPr>
                <w:rFonts w:ascii="Times New Roman" w:eastAsia="Times New Roman" w:hAnsi="Times New Roman" w:cs="Times New Roman"/>
                <w:color w:val="000000"/>
                <w:spacing w:val="0"/>
                <w:w w:val="100"/>
                <w:position w:val="0"/>
              </w:rPr>
              <w:t>12.5</w:t>
            </w:r>
            <w:r>
              <w:rPr>
                <w:color w:val="000000"/>
                <w:spacing w:val="0"/>
                <w:w w:val="100"/>
                <w:position w:val="0"/>
              </w:rPr>
              <w:t>亿元，不超过人民币</w:t>
            </w:r>
            <w:r>
              <w:rPr>
                <w:rFonts w:ascii="Times New Roman" w:eastAsia="Times New Roman" w:hAnsi="Times New Roman" w:cs="Times New Roman"/>
                <w:color w:val="000000"/>
                <w:spacing w:val="0"/>
                <w:w w:val="100"/>
                <w:position w:val="0"/>
              </w:rPr>
              <w:t>25</w:t>
            </w:r>
            <w:r>
              <w:rPr>
                <w:color w:val="000000"/>
                <w:spacing w:val="0"/>
                <w:w w:val="100"/>
                <w:position w:val="0"/>
              </w:rPr>
              <w:t>亿元</w:t>
            </w:r>
          </w:p>
        </w:tc>
      </w:tr>
      <w:tr>
        <w:trPr>
          <w:trHeight w:val="322"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日至不超过</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326"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用于实施公司股权激励计划</w:t>
            </w:r>
          </w:p>
        </w:tc>
      </w:tr>
      <w:tr>
        <w:trPr>
          <w:trHeight w:val="634"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已回购数量</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日，公司已累计回购股份</w:t>
            </w:r>
            <w:r>
              <w:rPr>
                <w:rFonts w:ascii="Times New Roman" w:eastAsia="Times New Roman" w:hAnsi="Times New Roman" w:cs="Times New Roman"/>
                <w:color w:val="000000"/>
                <w:spacing w:val="0"/>
                <w:w w:val="100"/>
                <w:position w:val="0"/>
              </w:rPr>
              <w:t xml:space="preserve">513,314,385 </w:t>
            </w:r>
            <w:r>
              <w:rPr>
                <w:color w:val="000000"/>
                <w:spacing w:val="0"/>
                <w:w w:val="100"/>
                <w:position w:val="0"/>
              </w:rPr>
              <w:t>股，已回购股份占公司总股本的比例约为</w:t>
            </w:r>
            <w:r>
              <w:rPr>
                <w:rFonts w:ascii="Times New Roman" w:eastAsia="Times New Roman" w:hAnsi="Times New Roman" w:cs="Times New Roman"/>
                <w:color w:val="000000"/>
                <w:spacing w:val="0"/>
                <w:w w:val="100"/>
                <w:position w:val="0"/>
              </w:rPr>
              <w:t>1.66%</w:t>
            </w:r>
            <w:r>
              <w:rPr>
                <w:color w:val="000000"/>
                <w:spacing w:val="0"/>
                <w:w w:val="100"/>
                <w:position w:val="0"/>
              </w:rPr>
              <w:t>。</w:t>
            </w:r>
          </w:p>
        </w:tc>
      </w:tr>
      <w:tr>
        <w:trPr>
          <w:trHeight w:val="634"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已回购数量占股权激励计划所涉及的标 的股票的比例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43" w:hRule="exact"/>
        </w:trPr>
        <w:tc>
          <w:tcPr>
            <w:tcBorders>
              <w:top w:val="single" w:sz="4"/>
              <w:left w:val="single" w:sz="4"/>
              <w:bottom w:val="single" w:sz="4"/>
            </w:tcBorders>
            <w:shd w:val="clear" w:color="auto" w:fill="D9D9D9"/>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公司采用集中竞价交易方式减持回购股 份的进展情况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5"/>
        <w:keepNext w:val="0"/>
        <w:keepLines w:val="0"/>
        <w:widowControl w:val="0"/>
        <w:shd w:val="clear" w:color="auto" w:fill="auto"/>
        <w:bidi w:val="0"/>
        <w:spacing w:before="0" w:after="1200" w:line="312" w:lineRule="exact"/>
        <w:ind w:left="1280" w:right="0" w:firstLine="420"/>
        <w:jc w:val="both"/>
      </w:pPr>
      <w:r>
        <w:rPr>
          <w:color w:val="000000"/>
          <w:spacing w:val="0"/>
          <w:w w:val="100"/>
          <w:position w:val="0"/>
        </w:rPr>
        <w:t>详情请见公司在《中国证券报》《上海证券报》《证券时报》、上海证券交易所网站及本公司网站 发布的《关于以集中竞价交易方式回购公司股份的回购报告书》（公告编号：</w:t>
      </w:r>
      <w:r>
        <w:rPr>
          <w:color w:val="000000"/>
          <w:spacing w:val="0"/>
          <w:w w:val="100"/>
          <w:position w:val="0"/>
        </w:rPr>
        <w:t>2021-033）</w:t>
      </w:r>
      <w:r>
        <w:rPr>
          <w:color w:val="000000"/>
          <w:spacing w:val="0"/>
          <w:w w:val="100"/>
          <w:position w:val="0"/>
        </w:rPr>
        <w:t>。</w:t>
      </w:r>
    </w:p>
    <w:p>
      <w:pPr>
        <w:pStyle w:val="Style13"/>
        <w:keepNext/>
        <w:keepLines/>
        <w:widowControl w:val="0"/>
        <w:shd w:val="clear" w:color="auto" w:fill="auto"/>
        <w:bidi w:val="0"/>
        <w:spacing w:before="0" w:after="240" w:line="240" w:lineRule="auto"/>
        <w:ind w:left="0" w:right="0" w:firstLine="0"/>
        <w:jc w:val="center"/>
      </w:pPr>
      <w:bookmarkStart w:id="604" w:name="bookmark604"/>
      <w:bookmarkStart w:id="605" w:name="bookmark605"/>
      <w:bookmarkStart w:id="606" w:name="bookmark606"/>
      <w:r>
        <w:rPr>
          <w:color w:val="000000"/>
          <w:spacing w:val="0"/>
          <w:w w:val="100"/>
          <w:position w:val="0"/>
        </w:rPr>
        <w:t>第八节优先股相关情况</w:t>
      </w:r>
      <w:bookmarkEnd w:id="604"/>
      <w:bookmarkEnd w:id="605"/>
      <w:bookmarkEnd w:id="606"/>
    </w:p>
    <w:p>
      <w:pPr>
        <w:pStyle w:val="Style5"/>
        <w:keepNext w:val="0"/>
        <w:keepLines w:val="0"/>
        <w:widowControl w:val="0"/>
        <w:shd w:val="clear" w:color="auto" w:fill="auto"/>
        <w:bidi w:val="0"/>
        <w:spacing w:before="0" w:after="500" w:line="240" w:lineRule="auto"/>
        <w:ind w:left="1280" w:right="0" w:firstLine="0"/>
        <w:jc w:val="both"/>
      </w:pPr>
      <w:bookmarkStart w:id="607" w:name="bookmark607"/>
      <w:r>
        <w:rPr>
          <w:color w:val="000000"/>
          <w:spacing w:val="0"/>
          <w:w w:val="100"/>
          <w:position w:val="0"/>
        </w:rPr>
        <w:t>口适用</w:t>
      </w:r>
      <w:r>
        <w:rPr>
          <w:color w:val="000000"/>
          <w:spacing w:val="0"/>
          <w:w w:val="100"/>
          <w:position w:val="0"/>
        </w:rPr>
        <w:t>J</w:t>
      </w:r>
      <w:r>
        <w:rPr>
          <w:color w:val="000000"/>
          <w:spacing w:val="0"/>
          <w:w w:val="100"/>
          <w:position w:val="0"/>
        </w:rPr>
        <w:t>不适用</w:t>
      </w:r>
      <w:bookmarkEnd w:id="607"/>
    </w:p>
    <w:p>
      <w:pPr>
        <w:pStyle w:val="Style13"/>
        <w:keepNext/>
        <w:keepLines/>
        <w:widowControl w:val="0"/>
        <w:shd w:val="clear" w:color="auto" w:fill="auto"/>
        <w:bidi w:val="0"/>
        <w:spacing w:before="0" w:after="280" w:line="240" w:lineRule="auto"/>
        <w:ind w:left="0" w:right="0" w:firstLine="0"/>
        <w:jc w:val="center"/>
      </w:pPr>
      <w:bookmarkStart w:id="608" w:name="bookmark608"/>
      <w:bookmarkStart w:id="609" w:name="bookmark609"/>
      <w:bookmarkStart w:id="610" w:name="bookmark610"/>
      <w:r>
        <w:rPr>
          <w:color w:val="000000"/>
          <w:spacing w:val="0"/>
          <w:w w:val="100"/>
          <w:position w:val="0"/>
        </w:rPr>
        <w:t>第九节债券相关情况</w:t>
      </w:r>
      <w:bookmarkEnd w:id="608"/>
      <w:bookmarkEnd w:id="609"/>
      <w:bookmarkEnd w:id="610"/>
    </w:p>
    <w:p>
      <w:pPr>
        <w:pStyle w:val="Style16"/>
        <w:keepNext/>
        <w:keepLines/>
        <w:widowControl w:val="0"/>
        <w:shd w:val="clear" w:color="auto" w:fill="auto"/>
        <w:bidi w:val="0"/>
        <w:spacing w:before="0" w:after="80" w:line="240" w:lineRule="auto"/>
        <w:ind w:left="1140" w:right="0" w:firstLine="0"/>
        <w:jc w:val="left"/>
      </w:pPr>
      <w:bookmarkStart w:id="611" w:name="bookmark611"/>
      <w:bookmarkStart w:id="612" w:name="bookmark612"/>
      <w:bookmarkStart w:id="613" w:name="bookmark613"/>
      <w:bookmarkStart w:id="614" w:name="bookmark614"/>
      <w:r>
        <w:rPr>
          <w:color w:val="000000"/>
          <w:spacing w:val="0"/>
          <w:w w:val="100"/>
          <w:position w:val="0"/>
        </w:rPr>
        <w:t>一、企业债券、公司债券和非金融企业债务融资工具</w:t>
      </w:r>
      <w:bookmarkEnd w:id="612"/>
      <w:bookmarkEnd w:id="613"/>
      <w:bookmarkEnd w:id="614"/>
      <w:bookmarkEnd w:id="611"/>
    </w:p>
    <w:p>
      <w:pPr>
        <w:pStyle w:val="Style5"/>
        <w:keepNext w:val="0"/>
        <w:keepLines w:val="0"/>
        <w:widowControl w:val="0"/>
        <w:shd w:val="clear" w:color="auto" w:fill="auto"/>
        <w:bidi w:val="0"/>
        <w:spacing w:before="0" w:after="280" w:line="240" w:lineRule="auto"/>
        <w:ind w:left="11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keepLines/>
        <w:widowControl w:val="0"/>
        <w:shd w:val="clear" w:color="auto" w:fill="auto"/>
        <w:tabs>
          <w:tab w:pos="1681" w:val="left"/>
        </w:tabs>
        <w:bidi w:val="0"/>
        <w:spacing w:before="0" w:after="80" w:line="240" w:lineRule="auto"/>
        <w:ind w:left="1140" w:right="0" w:firstLine="0"/>
        <w:jc w:val="left"/>
      </w:pPr>
      <w:bookmarkStart w:id="615" w:name="bookmark615"/>
      <w:bookmarkStart w:id="616" w:name="bookmark616"/>
      <w:bookmarkStart w:id="617" w:name="bookmark617"/>
      <w:bookmarkStart w:id="618" w:name="bookmark618"/>
      <w:r>
        <w:rPr>
          <w:color w:val="000000"/>
          <w:spacing w:val="0"/>
          <w:w w:val="100"/>
          <w:position w:val="0"/>
        </w:rPr>
        <w:t>（</w:t>
      </w:r>
      <w:bookmarkEnd w:id="617"/>
      <w:r>
        <w:rPr>
          <w:color w:val="000000"/>
          <w:spacing w:val="0"/>
          <w:w w:val="100"/>
          <w:position w:val="0"/>
        </w:rPr>
        <w:t>一）</w:t>
        <w:tab/>
        <w:t>企业债券</w:t>
      </w:r>
      <w:bookmarkEnd w:id="615"/>
      <w:bookmarkEnd w:id="616"/>
      <w:bookmarkEnd w:id="618"/>
    </w:p>
    <w:p>
      <w:pPr>
        <w:pStyle w:val="Style5"/>
        <w:keepNext w:val="0"/>
        <w:keepLines w:val="0"/>
        <w:widowControl w:val="0"/>
        <w:shd w:val="clear" w:color="auto" w:fill="auto"/>
        <w:bidi w:val="0"/>
        <w:spacing w:before="0" w:after="280" w:line="240" w:lineRule="auto"/>
        <w:ind w:left="114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1681" w:val="left"/>
        </w:tabs>
        <w:bidi w:val="0"/>
        <w:spacing w:before="0" w:after="80" w:line="240" w:lineRule="auto"/>
        <w:ind w:left="1140" w:right="0" w:firstLine="0"/>
        <w:jc w:val="left"/>
      </w:pPr>
      <w:bookmarkStart w:id="619" w:name="bookmark619"/>
      <w:r>
        <w:rPr>
          <w:b/>
          <w:bCs/>
          <w:color w:val="000000"/>
          <w:spacing w:val="0"/>
          <w:w w:val="100"/>
          <w:position w:val="0"/>
        </w:rPr>
        <w:t>（</w:t>
      </w:r>
      <w:bookmarkEnd w:id="619"/>
      <w:r>
        <w:rPr>
          <w:b/>
          <w:bCs/>
          <w:color w:val="000000"/>
          <w:spacing w:val="0"/>
          <w:w w:val="100"/>
          <w:position w:val="0"/>
        </w:rPr>
        <w:t>二）</w:t>
        <w:tab/>
        <w:t>公司债券</w:t>
      </w:r>
    </w:p>
    <w:p>
      <w:pPr>
        <w:pStyle w:val="Style5"/>
        <w:keepNext w:val="0"/>
        <w:keepLines w:val="0"/>
        <w:widowControl w:val="0"/>
        <w:shd w:val="clear" w:color="auto" w:fill="auto"/>
        <w:bidi w:val="0"/>
        <w:spacing w:before="0" w:after="280" w:line="240" w:lineRule="auto"/>
        <w:ind w:left="1140" w:right="0" w:firstLine="0"/>
        <w:jc w:val="left"/>
      </w:pPr>
      <w:r>
        <w:rPr>
          <w:b/>
          <w:bCs/>
          <w:color w:val="000000"/>
          <w:spacing w:val="0"/>
          <w:w w:val="100"/>
          <w:position w:val="0"/>
        </w:rPr>
        <w:t>1.</w:t>
      </w:r>
      <w:r>
        <w:rPr>
          <w:b/>
          <w:bCs/>
          <w:color w:val="000000"/>
          <w:spacing w:val="0"/>
          <w:w w:val="100"/>
          <w:position w:val="0"/>
        </w:rPr>
        <w:t>公司债券基本情况</w:t>
      </w:r>
    </w:p>
    <w:tbl>
      <w:tblPr>
        <w:tblOverlap w:val="never"/>
        <w:jc w:val="center"/>
        <w:tblLayout w:type="fixed"/>
      </w:tblPr>
      <w:tblGrid>
        <w:gridCol w:w="1334"/>
        <w:gridCol w:w="1186"/>
        <w:gridCol w:w="1334"/>
        <w:gridCol w:w="835"/>
        <w:gridCol w:w="840"/>
        <w:gridCol w:w="840"/>
        <w:gridCol w:w="874"/>
        <w:gridCol w:w="893"/>
        <w:gridCol w:w="1315"/>
        <w:gridCol w:w="763"/>
        <w:gridCol w:w="1320"/>
      </w:tblGrid>
      <w:tr>
        <w:trPr>
          <w:trHeight w:val="264" w:hRule="exact"/>
        </w:trPr>
        <w:tc>
          <w:tcPr>
            <w:gridSpan w:val="8"/>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IM</w:t>
            </w:r>
            <w:r>
              <w:rPr>
                <w:color w:val="000000"/>
                <w:spacing w:val="0"/>
                <w:w w:val="100"/>
                <w:position w:val="0"/>
              </w:rPr>
              <w:t>位元币种</w:t>
            </w:r>
          </w:p>
        </w:tc>
        <w:tc>
          <w:tcPr>
            <w:gridSpan w:val="2"/>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826"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 日</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起息 日</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到期 日</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债券余 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利率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还本付息方 式</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场所</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是否存在终</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止上市交易</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的风险</w:t>
            </w:r>
          </w:p>
        </w:tc>
      </w:tr>
      <w:tr>
        <w:trPr>
          <w:trHeight w:val="19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中国联合网 络通信有限 公司</w:t>
            </w:r>
            <w:r>
              <w:rPr>
                <w:rFonts w:ascii="Times New Roman" w:eastAsia="Times New Roman" w:hAnsi="Times New Roman" w:cs="Times New Roman"/>
                <w:color w:val="000000"/>
                <w:spacing w:val="0"/>
                <w:w w:val="100"/>
                <w:position w:val="0"/>
              </w:rPr>
              <w:t>2019</w:t>
            </w:r>
            <w:r>
              <w:rPr>
                <w:color w:val="000000"/>
                <w:spacing w:val="0"/>
                <w:w w:val="100"/>
                <w:position w:val="0"/>
              </w:rPr>
              <w:t>年 公司债券</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（第一期）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联通</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155478.SH</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单利按计 息，不计复 利。每年付 息一次，最 后一期利息 随本金的兑 付一起支付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62" w:lineRule="exact"/>
              <w:ind w:left="0" w:right="0" w:firstLine="0"/>
              <w:jc w:val="left"/>
            </w:pPr>
            <w:r>
              <w:rPr>
                <w:color w:val="000000"/>
                <w:spacing w:val="0"/>
                <w:w w:val="100"/>
                <w:position w:val="0"/>
              </w:rPr>
              <w:t>上海</w:t>
            </w:r>
          </w:p>
          <w:p>
            <w:pPr>
              <w:pStyle w:val="Style22"/>
              <w:keepNext w:val="0"/>
              <w:keepLines w:val="0"/>
              <w:widowControl w:val="0"/>
              <w:shd w:val="clear" w:color="auto" w:fill="auto"/>
              <w:bidi w:val="0"/>
              <w:spacing w:before="0" w:after="0" w:line="262" w:lineRule="exact"/>
              <w:ind w:left="0" w:right="0" w:firstLine="0"/>
              <w:jc w:val="left"/>
            </w:pPr>
            <w:r>
              <w:rPr>
                <w:color w:val="000000"/>
                <w:spacing w:val="0"/>
                <w:w w:val="100"/>
                <w:position w:val="0"/>
              </w:rPr>
              <w:t>证券 交易 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报告期内债券付息兑付情况</w:t>
      </w:r>
    </w:p>
    <w:tbl>
      <w:tblPr>
        <w:tblOverlap w:val="never"/>
        <w:jc w:val="center"/>
        <w:tblLayout w:type="fixed"/>
      </w:tblPr>
      <w:tblGrid>
        <w:gridCol w:w="6173"/>
        <w:gridCol w:w="3269"/>
      </w:tblGrid>
      <w:tr>
        <w:trPr>
          <w:trHeight w:val="283"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付息兑付情况的说明</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r>
              <w:rPr>
                <w:rFonts w:ascii="Times New Roman" w:eastAsia="Times New Roman" w:hAnsi="Times New Roman" w:cs="Times New Roman"/>
                <w:color w:val="000000"/>
                <w:spacing w:val="0"/>
                <w:w w:val="100"/>
                <w:position w:val="0"/>
              </w:rPr>
              <w:t>2016</w:t>
            </w:r>
            <w:r>
              <w:rPr>
                <w:color w:val="000000"/>
                <w:spacing w:val="0"/>
                <w:w w:val="100"/>
                <w:position w:val="0"/>
              </w:rPr>
              <w:t>年公司债券</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rFonts w:ascii="Times New Roman" w:eastAsia="Times New Roman" w:hAnsi="Times New Roman" w:cs="Times New Roman"/>
                <w:color w:val="000000"/>
                <w:spacing w:val="0"/>
                <w:w w:val="100"/>
                <w:position w:val="0"/>
              </w:rPr>
              <w:t>）（</w:t>
            </w:r>
            <w:r>
              <w:rPr>
                <w:color w:val="000000"/>
                <w:spacing w:val="0"/>
                <w:w w:val="100"/>
                <w:position w:val="0"/>
              </w:rPr>
              <w:t>品种二</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已按期还本付息</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r>
              <w:rPr>
                <w:rFonts w:ascii="Times New Roman" w:eastAsia="Times New Roman" w:hAnsi="Times New Roman" w:cs="Times New Roman"/>
                <w:color w:val="000000"/>
                <w:spacing w:val="0"/>
                <w:w w:val="100"/>
                <w:position w:val="0"/>
              </w:rPr>
              <w:t>2019</w:t>
            </w:r>
            <w:r>
              <w:rPr>
                <w:color w:val="000000"/>
                <w:spacing w:val="0"/>
                <w:w w:val="100"/>
                <w:position w:val="0"/>
              </w:rPr>
              <w:t>年公司债券（第一期）</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已按期付息</w:t>
            </w:r>
          </w:p>
        </w:tc>
      </w:tr>
    </w:tbl>
    <w:p>
      <w:pPr>
        <w:widowControl w:val="0"/>
        <w:spacing w:after="139" w:line="1" w:lineRule="exact"/>
      </w:pPr>
    </w:p>
    <w:p>
      <w:pPr>
        <w:pStyle w:val="Style5"/>
        <w:keepNext w:val="0"/>
        <w:keepLines w:val="0"/>
        <w:widowControl w:val="0"/>
        <w:numPr>
          <w:ilvl w:val="0"/>
          <w:numId w:val="47"/>
        </w:numPr>
        <w:shd w:val="clear" w:color="auto" w:fill="auto"/>
        <w:bidi w:val="0"/>
        <w:spacing w:before="0" w:after="280" w:line="341" w:lineRule="exact"/>
        <w:ind w:left="1140" w:right="0" w:firstLine="0"/>
        <w:jc w:val="left"/>
      </w:pPr>
      <w:bookmarkStart w:id="620" w:name="bookmark620"/>
      <w:bookmarkEnd w:id="620"/>
      <w:r>
        <w:rPr>
          <w:b/>
          <w:bCs/>
          <w:color w:val="000000"/>
          <w:spacing w:val="0"/>
          <w:w w:val="100"/>
          <w:position w:val="0"/>
        </w:rPr>
        <w:t xml:space="preserve">发行人或投资者选择权条款、投资者保护条款的触发和执行情况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701" w:right="0" w:firstLine="0"/>
        <w:jc w:val="left"/>
      </w:pPr>
      <w:r>
        <w:rPr>
          <w:b/>
          <w:bCs/>
          <w:color w:val="000000"/>
          <w:spacing w:val="0"/>
          <w:w w:val="100"/>
          <w:position w:val="0"/>
        </w:rPr>
        <w:t>3.</w:t>
      </w:r>
      <w:r>
        <w:rPr>
          <w:b/>
          <w:bCs/>
          <w:color w:val="000000"/>
          <w:spacing w:val="0"/>
          <w:w w:val="100"/>
          <w:position w:val="0"/>
        </w:rPr>
        <w:t>为债券发行及存续期业务提供服务的中介机构</w:t>
      </w:r>
    </w:p>
    <w:tbl>
      <w:tblPr>
        <w:tblOverlap w:val="never"/>
        <w:jc w:val="center"/>
        <w:tblLayout w:type="fixed"/>
      </w:tblPr>
      <w:tblGrid>
        <w:gridCol w:w="2770"/>
        <w:gridCol w:w="2918"/>
        <w:gridCol w:w="2827"/>
        <w:gridCol w:w="1982"/>
      </w:tblGrid>
      <w:tr>
        <w:trPr>
          <w:trHeight w:val="365"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中国国际金融股份有限公司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北京市建国门外大街</w:t>
            </w:r>
            <w:r>
              <w:rPr>
                <w:rFonts w:ascii="Times New Roman" w:eastAsia="Times New Roman" w:hAnsi="Times New Roman" w:cs="Times New Roman"/>
                <w:color w:val="000000"/>
                <w:spacing w:val="0"/>
                <w:w w:val="100"/>
                <w:position w:val="0"/>
              </w:rPr>
              <w:t>1</w:t>
            </w:r>
            <w:r>
              <w:rPr>
                <w:color w:val="000000"/>
                <w:spacing w:val="0"/>
                <w:w w:val="100"/>
                <w:position w:val="0"/>
              </w:rPr>
              <w:t>号国贸 大厦</w:t>
            </w:r>
            <w:r>
              <w:rPr>
                <w:rFonts w:ascii="Times New Roman" w:eastAsia="Times New Roman" w:hAnsi="Times New Roman" w:cs="Times New Roman"/>
                <w:color w:val="000000"/>
                <w:spacing w:val="0"/>
                <w:w w:val="100"/>
                <w:position w:val="0"/>
              </w:rPr>
              <w:t>2</w:t>
            </w:r>
            <w:r>
              <w:rPr>
                <w:color w:val="000000"/>
                <w:spacing w:val="0"/>
                <w:w w:val="100"/>
                <w:position w:val="0"/>
              </w:rPr>
              <w:t>座</w:t>
            </w:r>
            <w:r>
              <w:rPr>
                <w:rFonts w:ascii="Times New Roman" w:eastAsia="Times New Roman" w:hAnsi="Times New Roman" w:cs="Times New Roman"/>
                <w:color w:val="000000"/>
                <w:spacing w:val="0"/>
                <w:w w:val="100"/>
                <w:position w:val="0"/>
              </w:rPr>
              <w:t>27</w:t>
            </w:r>
            <w:r>
              <w:rPr>
                <w:color w:val="000000"/>
                <w:spacing w:val="0"/>
                <w:w w:val="100"/>
                <w:position w:val="0"/>
              </w:rPr>
              <w:t>层及</w:t>
            </w:r>
            <w:r>
              <w:rPr>
                <w:rFonts w:ascii="Times New Roman" w:eastAsia="Times New Roman" w:hAnsi="Times New Roman" w:cs="Times New Roman"/>
                <w:color w:val="000000"/>
                <w:spacing w:val="0"/>
                <w:w w:val="100"/>
                <w:position w:val="0"/>
              </w:rPr>
              <w:t>28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潘念欧、雷仁光、樊靖然</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010-65051166</w:t>
            </w:r>
          </w:p>
        </w:tc>
      </w:tr>
    </w:tbl>
    <w:p>
      <w:pPr>
        <w:pStyle w:val="Style25"/>
        <w:keepNext w:val="0"/>
        <w:keepLines w:val="0"/>
        <w:widowControl w:val="0"/>
        <w:shd w:val="clear" w:color="auto" w:fill="auto"/>
        <w:bidi w:val="0"/>
        <w:spacing w:before="0" w:after="0" w:line="240" w:lineRule="auto"/>
        <w:ind w:left="696" w:right="0" w:firstLine="0"/>
        <w:jc w:val="left"/>
      </w:pPr>
      <w:r>
        <w:rPr>
          <w:b/>
          <w:bCs/>
          <w:color w:val="000000"/>
          <w:spacing w:val="0"/>
          <w:w w:val="100"/>
          <w:position w:val="0"/>
        </w:rPr>
        <w:t>4.</w:t>
      </w:r>
      <w:r>
        <w:rPr>
          <w:b/>
          <w:bCs/>
          <w:color w:val="000000"/>
          <w:spacing w:val="0"/>
          <w:w w:val="100"/>
          <w:position w:val="0"/>
        </w:rPr>
        <w:t>报告期末募集资金使用情况</w:t>
      </w:r>
    </w:p>
    <w:p>
      <w:pPr>
        <w:widowControl w:val="0"/>
        <w:spacing w:after="2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074"/>
        <w:gridCol w:w="1853"/>
        <w:gridCol w:w="1848"/>
        <w:gridCol w:w="1027"/>
        <w:gridCol w:w="1262"/>
        <w:gridCol w:w="1104"/>
        <w:gridCol w:w="1781"/>
      </w:tblGrid>
      <w:tr>
        <w:trPr>
          <w:trHeight w:val="1104"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募集资金总金额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已使用金额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未使用 金额</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募集资金</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专项账户</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运作情况</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（如有）</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72" w:lineRule="exact"/>
              <w:ind w:left="0" w:right="0" w:firstLine="0"/>
              <w:jc w:val="left"/>
            </w:pPr>
            <w:r>
              <w:rPr>
                <w:color w:val="000000"/>
                <w:spacing w:val="0"/>
                <w:w w:val="100"/>
                <w:position w:val="0"/>
              </w:rPr>
              <w:t>募集资金 违规使用 的整改情 况（如有）</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是否与募集说明 书承诺的用途、 使用计划及其他 约定一致</w:t>
            </w:r>
          </w:p>
        </w:tc>
      </w:tr>
      <w:tr>
        <w:trPr>
          <w:trHeight w:val="110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left"/>
            </w:pPr>
            <w:r>
              <w:rPr>
                <w:color w:val="000000"/>
                <w:spacing w:val="0"/>
                <w:w w:val="100"/>
                <w:position w:val="0"/>
              </w:rPr>
              <w:t>中国联合网络通信 有限公司</w:t>
            </w:r>
            <w:r>
              <w:rPr>
                <w:rFonts w:ascii="Times New Roman" w:eastAsia="Times New Roman" w:hAnsi="Times New Roman" w:cs="Times New Roman"/>
                <w:color w:val="000000"/>
                <w:spacing w:val="0"/>
                <w:w w:val="100"/>
                <w:position w:val="0"/>
              </w:rPr>
              <w:t>2019</w:t>
            </w:r>
            <w:r>
              <w:rPr>
                <w:color w:val="000000"/>
                <w:spacing w:val="0"/>
                <w:w w:val="100"/>
                <w:position w:val="0"/>
              </w:rPr>
              <w:t>年公 司债券（第一期中期 票据）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募集资金用于建设项目的进展情况及运营效益</w:t>
      </w:r>
    </w:p>
    <w:p>
      <w:pPr>
        <w:pStyle w:val="Style5"/>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报告期内变更上述债券募集资金用途的说明</w:t>
      </w:r>
    </w:p>
    <w:p>
      <w:pPr>
        <w:pStyle w:val="Style5"/>
        <w:keepNext w:val="0"/>
        <w:keepLines w:val="0"/>
        <w:widowControl w:val="0"/>
        <w:shd w:val="clear" w:color="auto" w:fill="auto"/>
        <w:bidi w:val="0"/>
        <w:spacing w:before="0" w:after="160" w:line="240" w:lineRule="auto"/>
        <w:ind w:left="114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line="362" w:lineRule="exact"/>
        <w:ind w:left="11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60" w:line="362" w:lineRule="exact"/>
        <w:ind w:left="1140" w:right="0" w:firstLine="0"/>
        <w:jc w:val="both"/>
      </w:pPr>
      <w:r>
        <w:rPr>
          <w:color w:val="000000"/>
          <w:spacing w:val="0"/>
          <w:w w:val="100"/>
          <w:position w:val="0"/>
        </w:rPr>
        <w:t>联通运营公司严格遵循公司的资金管理制度及相关法律法规，履行募集资金使用的相关程序，遵照募 集说明书承诺的用途、使用计划及其他约定。募集资金全部用于偿还到期债务融资工具和补充本公司 在业务运营过程中对营运资金的需求。</w:t>
      </w:r>
    </w:p>
    <w:p>
      <w:pPr>
        <w:pStyle w:val="Style16"/>
        <w:keepNext/>
        <w:keepLines/>
        <w:widowControl w:val="0"/>
        <w:numPr>
          <w:ilvl w:val="0"/>
          <w:numId w:val="49"/>
        </w:numPr>
        <w:shd w:val="clear" w:color="auto" w:fill="auto"/>
        <w:tabs>
          <w:tab w:pos="1555" w:val="left"/>
        </w:tabs>
        <w:bidi w:val="0"/>
        <w:spacing w:before="0" w:after="0" w:line="362" w:lineRule="exact"/>
        <w:ind w:left="1140" w:right="0" w:firstLine="0"/>
        <w:jc w:val="both"/>
      </w:pPr>
      <w:bookmarkStart w:id="621" w:name="bookmark621"/>
      <w:bookmarkStart w:id="622" w:name="bookmark622"/>
      <w:bookmarkStart w:id="623" w:name="bookmark623"/>
      <w:bookmarkStart w:id="624" w:name="bookmark624"/>
      <w:bookmarkEnd w:id="623"/>
      <w:r>
        <w:rPr>
          <w:color w:val="000000"/>
          <w:spacing w:val="0"/>
          <w:w w:val="100"/>
          <w:position w:val="0"/>
        </w:rPr>
        <w:t>信用评级结果调整情况</w:t>
      </w:r>
      <w:bookmarkEnd w:id="621"/>
      <w:bookmarkEnd w:id="622"/>
      <w:bookmarkEnd w:id="624"/>
    </w:p>
    <w:p>
      <w:pPr>
        <w:pStyle w:val="Style5"/>
        <w:keepNext w:val="0"/>
        <w:keepLines w:val="0"/>
        <w:widowControl w:val="0"/>
        <w:shd w:val="clear" w:color="auto" w:fill="auto"/>
        <w:bidi w:val="0"/>
        <w:spacing w:before="0" w:after="160" w:line="362" w:lineRule="exact"/>
        <w:ind w:left="114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line="362" w:lineRule="exact"/>
        <w:ind w:left="11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60" w:line="365" w:lineRule="exact"/>
        <w:ind w:left="1140" w:right="0" w:firstLine="0"/>
        <w:jc w:val="both"/>
      </w:pPr>
      <w:r>
        <w:rPr>
          <w:color w:val="000000"/>
          <w:spacing w:val="0"/>
          <w:w w:val="100"/>
          <w:position w:val="0"/>
        </w:rPr>
        <w:t>联合信用评级有限公司将在每年联通运营公司审计报告出具后两个月内进行一次定期跟踪评级，并在 债券存续期内根据有关情况进行不定期跟踪评级。</w:t>
      </w:r>
    </w:p>
    <w:p>
      <w:pPr>
        <w:pStyle w:val="Style16"/>
        <w:keepNext/>
        <w:keepLines/>
        <w:widowControl w:val="0"/>
        <w:numPr>
          <w:ilvl w:val="0"/>
          <w:numId w:val="49"/>
        </w:numPr>
        <w:shd w:val="clear" w:color="auto" w:fill="auto"/>
        <w:tabs>
          <w:tab w:pos="1555" w:val="left"/>
        </w:tabs>
        <w:bidi w:val="0"/>
        <w:spacing w:before="0" w:line="362" w:lineRule="exact"/>
        <w:ind w:left="1140" w:right="0" w:firstLine="0"/>
        <w:jc w:val="both"/>
      </w:pPr>
      <w:bookmarkStart w:id="625" w:name="bookmark625"/>
      <w:bookmarkStart w:id="626" w:name="bookmark626"/>
      <w:bookmarkStart w:id="627" w:name="bookmark627"/>
      <w:bookmarkStart w:id="628" w:name="bookmark628"/>
      <w:bookmarkEnd w:id="627"/>
      <w:r>
        <w:rPr>
          <w:color w:val="000000"/>
          <w:spacing w:val="0"/>
          <w:w w:val="100"/>
          <w:position w:val="0"/>
        </w:rPr>
        <w:t>担保情况、偿债计划及其他偿债保障措施在报告期内的执行和变化情况及其影响</w:t>
      </w:r>
      <w:bookmarkEnd w:id="625"/>
      <w:bookmarkEnd w:id="626"/>
      <w:bookmarkEnd w:id="628"/>
    </w:p>
    <w:p>
      <w:pPr>
        <w:pStyle w:val="Style5"/>
        <w:keepNext w:val="0"/>
        <w:keepLines w:val="0"/>
        <w:widowControl w:val="0"/>
        <w:shd w:val="clear" w:color="auto" w:fill="auto"/>
        <w:bidi w:val="0"/>
        <w:spacing w:before="0" w:after="240" w:line="360" w:lineRule="exact"/>
        <w:ind w:left="1140" w:right="0" w:firstLine="0"/>
        <w:jc w:val="both"/>
      </w:pPr>
      <w:r>
        <w:rPr>
          <w:color w:val="000000"/>
          <w:spacing w:val="0"/>
          <w:w w:val="100"/>
          <w:position w:val="0"/>
        </w:rPr>
        <w:t>报告期内，联通运营公司公司债担保情况、偿债计划及偿债保障措施未发生变更，公司严格按照募集 说明书约定的还本付息安排向债券持有人支付债券利息及兑付债券本金。</w:t>
      </w:r>
    </w:p>
    <w:p>
      <w:pPr>
        <w:pStyle w:val="Style16"/>
        <w:keepNext/>
        <w:keepLines/>
        <w:widowControl w:val="0"/>
        <w:numPr>
          <w:ilvl w:val="0"/>
          <w:numId w:val="51"/>
        </w:numPr>
        <w:shd w:val="clear" w:color="auto" w:fill="auto"/>
        <w:bidi w:val="0"/>
        <w:spacing w:before="0" w:after="0" w:line="362" w:lineRule="exact"/>
        <w:ind w:left="1140" w:right="0" w:firstLine="0"/>
        <w:jc w:val="both"/>
      </w:pPr>
      <w:bookmarkStart w:id="629" w:name="bookmark629"/>
      <w:bookmarkStart w:id="630" w:name="bookmark630"/>
      <w:bookmarkStart w:id="631" w:name="bookmark631"/>
      <w:bookmarkStart w:id="632" w:name="bookmark632"/>
      <w:bookmarkEnd w:id="631"/>
      <w:r>
        <w:rPr>
          <w:color w:val="000000"/>
          <w:spacing w:val="0"/>
          <w:w w:val="100"/>
          <w:position w:val="0"/>
        </w:rPr>
        <w:t>银行间债券市场非金融企业债务融资工具</w:t>
      </w:r>
      <w:bookmarkEnd w:id="629"/>
      <w:bookmarkEnd w:id="630"/>
      <w:bookmarkEnd w:id="632"/>
    </w:p>
    <w:p>
      <w:pPr>
        <w:pStyle w:val="Style16"/>
        <w:keepNext/>
        <w:keepLines/>
        <w:widowControl w:val="0"/>
        <w:shd w:val="clear" w:color="auto" w:fill="auto"/>
        <w:bidi w:val="0"/>
        <w:spacing w:before="0" w:after="300" w:line="362" w:lineRule="exact"/>
        <w:ind w:left="1140" w:right="0" w:firstLine="0"/>
        <w:jc w:val="both"/>
      </w:pPr>
      <w:bookmarkStart w:id="629" w:name="bookmark629"/>
      <w:bookmarkStart w:id="630" w:name="bookmark630"/>
      <w:bookmarkStart w:id="633" w:name="bookmark633"/>
      <w:r>
        <w:rPr>
          <w:color w:val="000000"/>
          <w:spacing w:val="0"/>
          <w:w w:val="100"/>
          <w:position w:val="0"/>
        </w:rPr>
        <w:t>1.</w:t>
      </w:r>
      <w:r>
        <w:rPr>
          <w:color w:val="000000"/>
          <w:spacing w:val="0"/>
          <w:w w:val="100"/>
          <w:position w:val="0"/>
        </w:rPr>
        <w:t>非金融企业债务融资工具基本情况</w:t>
      </w:r>
      <w:bookmarkEnd w:id="629"/>
      <w:bookmarkEnd w:id="630"/>
      <w:bookmarkEnd w:id="633"/>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21"/>
        <w:gridCol w:w="1133"/>
        <w:gridCol w:w="979"/>
        <w:gridCol w:w="979"/>
        <w:gridCol w:w="979"/>
        <w:gridCol w:w="974"/>
        <w:gridCol w:w="1070"/>
        <w:gridCol w:w="586"/>
        <w:gridCol w:w="893"/>
        <w:gridCol w:w="730"/>
        <w:gridCol w:w="898"/>
      </w:tblGrid>
      <w:tr>
        <w:trPr>
          <w:trHeight w:val="946"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代码</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到期日</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债券余额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 xml:space="preserve">利率 </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还本付</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息方式</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交易</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场所</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是否存在</w:t>
            </w:r>
          </w:p>
          <w:p>
            <w:pPr>
              <w:pStyle w:val="Style2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终止上市</w:t>
            </w:r>
          </w:p>
          <w:p>
            <w:pPr>
              <w:pStyle w:val="Style2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交易的风</w:t>
            </w:r>
          </w:p>
          <w:p>
            <w:pPr>
              <w:pStyle w:val="Style22"/>
              <w:keepNext w:val="0"/>
              <w:keepLines w:val="0"/>
              <w:widowControl w:val="0"/>
              <w:shd w:val="clear" w:color="auto" w:fill="auto"/>
              <w:bidi w:val="0"/>
              <w:spacing w:before="0" w:after="40" w:line="240" w:lineRule="auto"/>
              <w:ind w:left="0" w:right="300" w:firstLine="0"/>
              <w:jc w:val="right"/>
              <w:rPr>
                <w:sz w:val="17"/>
                <w:szCs w:val="17"/>
              </w:rPr>
            </w:pPr>
            <w:r>
              <w:rPr>
                <w:color w:val="000000"/>
                <w:spacing w:val="0"/>
                <w:w w:val="100"/>
                <w:position w:val="0"/>
                <w:sz w:val="17"/>
                <w:szCs w:val="17"/>
              </w:rPr>
              <w:t>险</w:t>
            </w:r>
          </w:p>
        </w:tc>
      </w:tr>
      <w:tr>
        <w:trPr>
          <w:trHeight w:val="109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中国联合网络通信 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 第一期超短期融资 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联通</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SCP001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0121023</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w:t>
            </w:r>
            <w:r>
              <w:rPr>
                <w:rFonts w:ascii="Times New Roman" w:eastAsia="Times New Roman" w:hAnsi="Times New Roman" w:cs="Times New Roman"/>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2022-3</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到期一</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次还本</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付息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0" w:lineRule="exact"/>
              <w:ind w:left="0" w:right="0" w:firstLine="0"/>
              <w:jc w:val="left"/>
            </w:pPr>
            <w:r>
              <w:rPr>
                <w:color w:val="000000"/>
                <w:spacing w:val="0"/>
                <w:w w:val="100"/>
                <w:position w:val="0"/>
              </w:rPr>
              <w:t>银行 间债 券市 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中国联合网络通信 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 第二期超短期融资 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联通</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SCP002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0121027</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到期一</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次还本</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付息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0" w:lineRule="exact"/>
              <w:ind w:left="0" w:right="0" w:firstLine="0"/>
              <w:jc w:val="left"/>
            </w:pPr>
            <w:r>
              <w:rPr>
                <w:color w:val="000000"/>
                <w:spacing w:val="0"/>
                <w:w w:val="100"/>
                <w:position w:val="0"/>
              </w:rPr>
              <w:t>银行 间债 券市 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1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6" w:lineRule="exact"/>
              <w:ind w:left="0" w:right="0" w:firstLine="0"/>
              <w:jc w:val="both"/>
            </w:pPr>
            <w:r>
              <w:rPr>
                <w:color w:val="000000"/>
                <w:spacing w:val="0"/>
                <w:w w:val="100"/>
                <w:position w:val="0"/>
              </w:rPr>
              <w:t>中国联合网络通信 有限公司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 度第三期超短期融 资券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联通</w:t>
            </w:r>
          </w:p>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SCP003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012102</w:t>
            </w:r>
          </w:p>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2021-7</w:t>
            </w:r>
            <w:r>
              <w:rPr>
                <w:rFonts w:ascii="Times New Roman" w:eastAsia="Times New Roman" w:hAnsi="Times New Roman" w:cs="Times New Roman"/>
                <w:color w:val="000000"/>
                <w:spacing w:val="0"/>
                <w:w w:val="100"/>
                <w:position w:val="0"/>
                <w:sz w:val="22"/>
                <w:szCs w:val="22"/>
              </w:rPr>
              <w:t>- 27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2021-7</w:t>
              <w:softHyphen/>
            </w:r>
          </w:p>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2022-1</w:t>
              <w:softHyphen/>
            </w:r>
          </w:p>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1,800,00</w:t>
            </w:r>
          </w:p>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到期一 次还本 付息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5" w:lineRule="exact"/>
              <w:ind w:left="0" w:right="0" w:firstLine="0"/>
              <w:jc w:val="left"/>
            </w:pPr>
            <w:r>
              <w:rPr>
                <w:color w:val="000000"/>
                <w:spacing w:val="0"/>
                <w:w w:val="100"/>
                <w:position w:val="0"/>
              </w:rPr>
              <w:t>银行 间债 券市 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16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中国联合网络通信 有限公司</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 度第一期中期票据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19</w:t>
            </w:r>
            <w:r>
              <w:rPr>
                <w:color w:val="000000"/>
                <w:spacing w:val="0"/>
                <w:w w:val="100"/>
                <w:position w:val="0"/>
              </w:rPr>
              <w:t>联通</w:t>
            </w:r>
          </w:p>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MTN001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101901</w:t>
            </w:r>
          </w:p>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1,000,00</w:t>
            </w:r>
          </w:p>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每年付 息，到 期还本 付息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85" w:lineRule="exact"/>
              <w:ind w:left="0" w:right="0" w:firstLine="0"/>
              <w:jc w:val="left"/>
            </w:pPr>
            <w:r>
              <w:rPr>
                <w:color w:val="000000"/>
                <w:spacing w:val="0"/>
                <w:w w:val="100"/>
                <w:position w:val="0"/>
              </w:rPr>
              <w:t>银行 间债 券市 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p>
      <w:pPr>
        <w:pStyle w:val="Style5"/>
        <w:keepNext w:val="0"/>
        <w:keepLines w:val="0"/>
        <w:widowControl w:val="0"/>
        <w:shd w:val="clear" w:color="auto" w:fill="auto"/>
        <w:bidi w:val="0"/>
        <w:spacing w:before="0" w:after="300" w:line="269" w:lineRule="exact"/>
        <w:ind w:left="1140" w:right="0" w:firstLine="0"/>
        <w:jc w:val="both"/>
      </w:pPr>
      <w:r>
        <w:rPr>
          <w:color w:val="000000"/>
          <w:spacing w:val="0"/>
          <w:w w:val="100"/>
          <w:position w:val="0"/>
        </w:rPr>
        <w:t xml:space="preserve">公司对债券终止上市交易风险的应对措施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 xml:space="preserve">不适用 </w:t>
      </w:r>
      <w:r>
        <w:rPr>
          <w:color w:val="000000"/>
          <w:spacing w:val="0"/>
          <w:w w:val="100"/>
          <w:position w:val="0"/>
        </w:rPr>
        <w:t xml:space="preserve">逾期未偿还债券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报告期内债券付息兑付情况</w:t>
      </w:r>
    </w:p>
    <w:tbl>
      <w:tblPr>
        <w:tblOverlap w:val="never"/>
        <w:jc w:val="center"/>
        <w:tblLayout w:type="fixed"/>
      </w:tblPr>
      <w:tblGrid>
        <w:gridCol w:w="6173"/>
        <w:gridCol w:w="3269"/>
      </w:tblGrid>
      <w:tr>
        <w:trPr>
          <w:trHeight w:val="28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付息兑付情况的说明</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年度第一期超短期融资券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已按期还本付息</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年度第一期中期票据</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已按期付息</w:t>
            </w:r>
          </w:p>
        </w:tc>
      </w:tr>
    </w:tbl>
    <w:p>
      <w:pPr>
        <w:widowControl w:val="0"/>
        <w:spacing w:after="479" w:line="1" w:lineRule="exact"/>
      </w:pPr>
    </w:p>
    <w:p>
      <w:pPr>
        <w:pStyle w:val="Style5"/>
        <w:keepNext w:val="0"/>
        <w:keepLines w:val="0"/>
        <w:widowControl w:val="0"/>
        <w:shd w:val="clear" w:color="auto" w:fill="auto"/>
        <w:bidi w:val="0"/>
        <w:spacing w:before="0" w:after="300" w:line="341" w:lineRule="exact"/>
        <w:ind w:left="1140" w:right="0" w:firstLine="0"/>
        <w:jc w:val="both"/>
      </w:pPr>
      <w:r>
        <w:rPr>
          <w:b/>
          <w:bCs/>
          <w:color w:val="000000"/>
          <w:spacing w:val="0"/>
          <w:w w:val="100"/>
          <w:position w:val="0"/>
        </w:rPr>
        <w:t>2.</w:t>
      </w:r>
      <w:r>
        <w:rPr>
          <w:b/>
          <w:bCs/>
          <w:color w:val="000000"/>
          <w:spacing w:val="0"/>
          <w:w w:val="100"/>
          <w:position w:val="0"/>
        </w:rPr>
        <w:t xml:space="preserve">发行人或投资者选择权条款、投资者保护条款的触发和执行情况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w:t>
      </w:r>
      <w:r>
        <w:rPr>
          <w:b/>
          <w:bCs/>
          <w:color w:val="000000"/>
          <w:spacing w:val="0"/>
          <w:w w:val="100"/>
          <w:position w:val="0"/>
        </w:rPr>
        <w:t>为债券发行及存续期业务提供服务的中介机构</w:t>
      </w:r>
    </w:p>
    <w:tbl>
      <w:tblPr>
        <w:tblOverlap w:val="never"/>
        <w:jc w:val="center"/>
        <w:tblLayout w:type="fixed"/>
      </w:tblPr>
      <w:tblGrid>
        <w:gridCol w:w="2362"/>
        <w:gridCol w:w="2357"/>
        <w:gridCol w:w="2357"/>
        <w:gridCol w:w="2366"/>
      </w:tblGrid>
      <w:tr>
        <w:trPr>
          <w:trHeight w:val="365"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w:t>
            </w:r>
          </w:p>
        </w:tc>
        <w:tc>
          <w:tcPr>
            <w:tcBorders>
              <w:top w:val="single" w:sz="4"/>
              <w:left w:val="single" w:sz="4"/>
              <w:righ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r>
        <w:trPr>
          <w:trHeight w:val="84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中国国际金融股份有限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59" w:lineRule="exact"/>
              <w:ind w:left="0" w:right="0" w:firstLine="0"/>
              <w:jc w:val="left"/>
            </w:pPr>
            <w:r>
              <w:rPr>
                <w:color w:val="000000"/>
                <w:spacing w:val="0"/>
                <w:w w:val="100"/>
                <w:position w:val="0"/>
              </w:rPr>
              <w:t>北京市建国门外大街</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号国贸大厦</w:t>
            </w:r>
            <w:r>
              <w:rPr>
                <w:rFonts w:ascii="Times New Roman" w:eastAsia="Times New Roman" w:hAnsi="Times New Roman" w:cs="Times New Roman"/>
                <w:color w:val="000000"/>
                <w:spacing w:val="0"/>
                <w:w w:val="100"/>
                <w:position w:val="0"/>
              </w:rPr>
              <w:t>2</w:t>
            </w:r>
            <w:r>
              <w:rPr>
                <w:color w:val="000000"/>
                <w:spacing w:val="0"/>
                <w:w w:val="100"/>
                <w:position w:val="0"/>
              </w:rPr>
              <w:t>座</w:t>
            </w:r>
            <w:r>
              <w:rPr>
                <w:rFonts w:ascii="Times New Roman" w:eastAsia="Times New Roman" w:hAnsi="Times New Roman" w:cs="Times New Roman"/>
                <w:color w:val="000000"/>
                <w:spacing w:val="0"/>
                <w:w w:val="100"/>
                <w:position w:val="0"/>
              </w:rPr>
              <w:t>27</w:t>
            </w:r>
            <w:r>
              <w:rPr>
                <w:color w:val="000000"/>
                <w:spacing w:val="0"/>
                <w:w w:val="100"/>
                <w:position w:val="0"/>
              </w:rPr>
              <w:t>层及</w:t>
            </w:r>
          </w:p>
          <w:p>
            <w:pPr>
              <w:pStyle w:val="Style22"/>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层</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潘念欧、雷仁光、樊靖 然</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010-65051166</w:t>
            </w:r>
          </w:p>
        </w:tc>
      </w:tr>
    </w:tbl>
    <w:p>
      <w:pPr>
        <w:widowControl w:val="0"/>
        <w:spacing w:after="479" w:line="1" w:lineRule="exact"/>
      </w:pPr>
    </w:p>
    <w:p>
      <w:pPr>
        <w:pStyle w:val="Style5"/>
        <w:keepNext w:val="0"/>
        <w:keepLines w:val="0"/>
        <w:widowControl w:val="0"/>
        <w:shd w:val="clear" w:color="auto" w:fill="auto"/>
        <w:bidi w:val="0"/>
        <w:spacing w:before="0" w:after="240" w:line="269" w:lineRule="exact"/>
        <w:ind w:left="1140" w:right="0" w:firstLine="0"/>
        <w:jc w:val="both"/>
      </w:pPr>
      <w:r>
        <w:rPr>
          <w:color w:val="000000"/>
          <w:spacing w:val="0"/>
          <w:w w:val="100"/>
          <w:position w:val="0"/>
        </w:rPr>
        <w:t xml:space="preserve">上述中介机构发生变更的情况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numPr>
          <w:ilvl w:val="0"/>
          <w:numId w:val="53"/>
        </w:numPr>
        <w:shd w:val="clear" w:color="auto" w:fill="auto"/>
        <w:bidi w:val="0"/>
        <w:spacing w:before="0" w:after="300" w:line="269" w:lineRule="exact"/>
        <w:ind w:left="1140" w:right="0" w:firstLine="0"/>
        <w:jc w:val="both"/>
      </w:pPr>
      <w:bookmarkStart w:id="634" w:name="bookmark634"/>
      <w:bookmarkStart w:id="635" w:name="bookmark635"/>
      <w:bookmarkStart w:id="636" w:name="bookmark636"/>
      <w:bookmarkStart w:id="637" w:name="bookmark637"/>
      <w:bookmarkEnd w:id="636"/>
      <w:r>
        <w:rPr>
          <w:color w:val="000000"/>
          <w:spacing w:val="0"/>
          <w:w w:val="100"/>
          <w:position w:val="0"/>
        </w:rPr>
        <w:t>报告期末募集资金使用情况</w:t>
      </w:r>
      <w:bookmarkEnd w:id="634"/>
      <w:bookmarkEnd w:id="635"/>
      <w:bookmarkEnd w:id="637"/>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87"/>
        <w:gridCol w:w="1430"/>
        <w:gridCol w:w="1517"/>
        <w:gridCol w:w="888"/>
        <w:gridCol w:w="1118"/>
        <w:gridCol w:w="1181"/>
        <w:gridCol w:w="1483"/>
      </w:tblGrid>
      <w:tr>
        <w:trPr>
          <w:trHeight w:val="1378" w:hRule="exact"/>
        </w:trPr>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募集资金总 金额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已使用金额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未使用 金额</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募集资金</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专项账户</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运作情况</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（如有）</w:t>
            </w:r>
          </w:p>
        </w:tc>
        <w:tc>
          <w:tcPr>
            <w:tcBorders>
              <w:top w:val="single" w:sz="4"/>
              <w:left w:val="single" w:sz="4"/>
            </w:tcBorders>
            <w:shd w:val="clear" w:color="auto" w:fill="D9D9D9"/>
            <w:vAlign w:val="center"/>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募集资金 违规使用 的整改情 况（如有）</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是否与募集</w:t>
            </w:r>
          </w:p>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说明书承诺</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的用途、使用</w:t>
            </w:r>
          </w:p>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计划及其他</w:t>
            </w:r>
          </w:p>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约定一致</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中国联合网络通信有限公 司</w:t>
            </w:r>
            <w:r>
              <w:rPr>
                <w:rFonts w:ascii="Times New Roman" w:eastAsia="Times New Roman" w:hAnsi="Times New Roman" w:cs="Times New Roman"/>
                <w:color w:val="000000"/>
                <w:spacing w:val="0"/>
                <w:w w:val="100"/>
                <w:position w:val="0"/>
              </w:rPr>
              <w:t>2021</w:t>
            </w:r>
            <w:r>
              <w:rPr>
                <w:color w:val="000000"/>
                <w:spacing w:val="0"/>
                <w:w w:val="100"/>
                <w:position w:val="0"/>
              </w:rPr>
              <w:t>年度第一期超短期 融资券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中国联合网络通信有限公 司</w:t>
            </w:r>
            <w:r>
              <w:rPr>
                <w:rFonts w:ascii="Times New Roman" w:eastAsia="Times New Roman" w:hAnsi="Times New Roman" w:cs="Times New Roman"/>
                <w:color w:val="000000"/>
                <w:spacing w:val="0"/>
                <w:w w:val="100"/>
                <w:position w:val="0"/>
              </w:rPr>
              <w:t>2021</w:t>
            </w:r>
            <w:r>
              <w:rPr>
                <w:color w:val="000000"/>
                <w:spacing w:val="0"/>
                <w:w w:val="100"/>
                <w:position w:val="0"/>
              </w:rPr>
              <w:t>年度第二期超短期 融资券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8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中国联合网络通信有限公 司</w:t>
            </w:r>
            <w:r>
              <w:rPr>
                <w:rFonts w:ascii="Times New Roman" w:eastAsia="Times New Roman" w:hAnsi="Times New Roman" w:cs="Times New Roman"/>
                <w:color w:val="000000"/>
                <w:spacing w:val="0"/>
                <w:w w:val="100"/>
                <w:position w:val="0"/>
              </w:rPr>
              <w:t>2021</w:t>
            </w:r>
            <w:r>
              <w:rPr>
                <w:color w:val="000000"/>
                <w:spacing w:val="0"/>
                <w:w w:val="100"/>
                <w:position w:val="0"/>
              </w:rPr>
              <w:t>年度第三期超短期 融资券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84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中国联合网络通信有限公 司</w:t>
            </w:r>
            <w:r>
              <w:rPr>
                <w:rFonts w:ascii="Times New Roman" w:eastAsia="Times New Roman" w:hAnsi="Times New Roman" w:cs="Times New Roman"/>
                <w:color w:val="000000"/>
                <w:spacing w:val="0"/>
                <w:w w:val="100"/>
                <w:position w:val="0"/>
              </w:rPr>
              <w:t>2019</w:t>
            </w:r>
            <w:r>
              <w:rPr>
                <w:color w:val="000000"/>
                <w:spacing w:val="0"/>
                <w:w w:val="100"/>
                <w:position w:val="0"/>
              </w:rPr>
              <w:t>年度第一期中期票 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bl>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募集资金用于建设项目的进展情况及运营效益</w:t>
      </w:r>
    </w:p>
    <w:p>
      <w:pPr>
        <w:pStyle w:val="Style5"/>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报告期内变更上述债券募集资金用途的说明</w:t>
      </w:r>
    </w:p>
    <w:p>
      <w:pPr>
        <w:pStyle w:val="Style5"/>
        <w:keepNext w:val="0"/>
        <w:keepLines w:val="0"/>
        <w:widowControl w:val="0"/>
        <w:shd w:val="clear" w:color="auto" w:fill="auto"/>
        <w:bidi w:val="0"/>
        <w:spacing w:before="0" w:after="280" w:line="240" w:lineRule="auto"/>
        <w:ind w:left="114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114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00" w:line="362" w:lineRule="exact"/>
        <w:ind w:left="1140" w:right="0" w:firstLine="0"/>
        <w:jc w:val="both"/>
      </w:pPr>
      <w:r>
        <w:rPr>
          <w:color w:val="000000"/>
          <w:spacing w:val="0"/>
          <w:w w:val="100"/>
          <w:position w:val="0"/>
        </w:rPr>
        <w:t>联通运营公司严格遵循公司的资金管理制度及相关法律法规，履行募集资金使用的相关程序，遵照募 集说明书承诺的用途、使用计划及其他约定。募集资金全部用于偿还到期债务融资工具和补充本公司 在业务运营过程中对营运资金的需求。</w:t>
      </w:r>
    </w:p>
    <w:p>
      <w:pPr>
        <w:pStyle w:val="Style16"/>
        <w:keepNext/>
        <w:keepLines/>
        <w:widowControl w:val="0"/>
        <w:numPr>
          <w:ilvl w:val="0"/>
          <w:numId w:val="53"/>
        </w:numPr>
        <w:shd w:val="clear" w:color="auto" w:fill="auto"/>
        <w:tabs>
          <w:tab w:pos="1584" w:val="left"/>
        </w:tabs>
        <w:bidi w:val="0"/>
        <w:spacing w:before="0" w:after="0" w:line="318" w:lineRule="exact"/>
        <w:ind w:left="1140" w:right="0" w:firstLine="0"/>
        <w:jc w:val="both"/>
      </w:pPr>
      <w:bookmarkStart w:id="638" w:name="bookmark638"/>
      <w:bookmarkStart w:id="639" w:name="bookmark639"/>
      <w:bookmarkStart w:id="640" w:name="bookmark640"/>
      <w:bookmarkStart w:id="641" w:name="bookmark641"/>
      <w:bookmarkEnd w:id="640"/>
      <w:r>
        <w:rPr>
          <w:color w:val="000000"/>
          <w:spacing w:val="0"/>
          <w:w w:val="100"/>
          <w:position w:val="0"/>
        </w:rPr>
        <w:t>信用评级结果调整情况</w:t>
      </w:r>
      <w:bookmarkEnd w:id="638"/>
      <w:bookmarkEnd w:id="639"/>
      <w:bookmarkEnd w:id="641"/>
    </w:p>
    <w:p>
      <w:pPr>
        <w:pStyle w:val="Style5"/>
        <w:keepNext w:val="0"/>
        <w:keepLines w:val="0"/>
        <w:widowControl w:val="0"/>
        <w:shd w:val="clear" w:color="auto" w:fill="auto"/>
        <w:bidi w:val="0"/>
        <w:spacing w:before="0" w:after="200" w:line="318" w:lineRule="exact"/>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318" w:lineRule="exact"/>
        <w:ind w:left="11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200" w:line="274" w:lineRule="exact"/>
        <w:ind w:left="1140" w:right="0" w:firstLine="0"/>
        <w:jc w:val="both"/>
      </w:pPr>
      <w:r>
        <w:rPr>
          <w:color w:val="000000"/>
          <w:spacing w:val="0"/>
          <w:w w:val="100"/>
          <w:position w:val="0"/>
        </w:rPr>
        <w:t>联合信用评级有限公司将在每年联通运营公司审计报告出具后两个月内进行一次定期跟踪评级，并在 债券存续期内根据有关情况进行不定期跟踪评级，目前评级结果无变化。</w:t>
      </w:r>
    </w:p>
    <w:p>
      <w:pPr>
        <w:pStyle w:val="Style16"/>
        <w:keepNext/>
        <w:keepLines/>
        <w:widowControl w:val="0"/>
        <w:numPr>
          <w:ilvl w:val="0"/>
          <w:numId w:val="53"/>
        </w:numPr>
        <w:shd w:val="clear" w:color="auto" w:fill="auto"/>
        <w:tabs>
          <w:tab w:pos="1584" w:val="left"/>
        </w:tabs>
        <w:bidi w:val="0"/>
        <w:spacing w:before="0" w:after="0" w:line="318" w:lineRule="exact"/>
        <w:ind w:left="1140" w:right="0" w:firstLine="0"/>
        <w:jc w:val="both"/>
      </w:pPr>
      <w:bookmarkStart w:id="642" w:name="bookmark642"/>
      <w:bookmarkStart w:id="643" w:name="bookmark643"/>
      <w:bookmarkStart w:id="644" w:name="bookmark644"/>
      <w:bookmarkStart w:id="645" w:name="bookmark645"/>
      <w:bookmarkEnd w:id="644"/>
      <w:r>
        <w:rPr>
          <w:color w:val="000000"/>
          <w:spacing w:val="0"/>
          <w:w w:val="100"/>
          <w:position w:val="0"/>
        </w:rPr>
        <w:t>担保情况、偿债计划及其他偿债保障措施在报告期内的执行和变化情况及其影响</w:t>
      </w:r>
      <w:bookmarkEnd w:id="642"/>
      <w:bookmarkEnd w:id="643"/>
      <w:bookmarkEnd w:id="645"/>
    </w:p>
    <w:p>
      <w:pPr>
        <w:pStyle w:val="Style5"/>
        <w:keepNext w:val="0"/>
        <w:keepLines w:val="0"/>
        <w:widowControl w:val="0"/>
        <w:shd w:val="clear" w:color="auto" w:fill="auto"/>
        <w:bidi w:val="0"/>
        <w:spacing w:before="0" w:after="120" w:line="318" w:lineRule="exact"/>
        <w:ind w:left="114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1140" w:right="0" w:firstLine="0"/>
        <w:jc w:val="both"/>
      </w:pPr>
      <w:r>
        <w:rPr>
          <w:color w:val="000000"/>
          <w:spacing w:val="0"/>
          <w:w w:val="100"/>
          <w:position w:val="0"/>
        </w:rPr>
        <w:t>报告期内，联通运营公司公司债担保情况、偿债计划及偿债保障措施未发生变更，公司严格按照募集 说明书约定的还本付息安排向债券持有人支付债券利息及兑付债券本金。</w:t>
      </w:r>
    </w:p>
    <w:p>
      <w:pPr>
        <w:pStyle w:val="Style16"/>
        <w:keepNext/>
        <w:keepLines/>
        <w:widowControl w:val="0"/>
        <w:numPr>
          <w:ilvl w:val="0"/>
          <w:numId w:val="53"/>
        </w:numPr>
        <w:shd w:val="clear" w:color="auto" w:fill="auto"/>
        <w:tabs>
          <w:tab w:pos="1584" w:val="left"/>
        </w:tabs>
        <w:bidi w:val="0"/>
        <w:spacing w:before="0" w:after="200" w:line="318" w:lineRule="exact"/>
        <w:ind w:left="1140" w:right="0" w:firstLine="0"/>
        <w:jc w:val="both"/>
      </w:pPr>
      <w:bookmarkStart w:id="646" w:name="bookmark646"/>
      <w:bookmarkStart w:id="647" w:name="bookmark647"/>
      <w:bookmarkStart w:id="648" w:name="bookmark648"/>
      <w:bookmarkStart w:id="649" w:name="bookmark649"/>
      <w:bookmarkEnd w:id="648"/>
      <w:r>
        <w:rPr>
          <w:color w:val="000000"/>
          <w:spacing w:val="0"/>
          <w:w w:val="100"/>
          <w:position w:val="0"/>
        </w:rPr>
        <w:t>非金融企业债务融资工具其他情况的说明</w:t>
      </w:r>
      <w:bookmarkEnd w:id="646"/>
      <w:bookmarkEnd w:id="647"/>
      <w:bookmarkEnd w:id="649"/>
    </w:p>
    <w:p>
      <w:pPr>
        <w:pStyle w:val="Style5"/>
        <w:keepNext w:val="0"/>
        <w:keepLines w:val="0"/>
        <w:widowControl w:val="0"/>
        <w:shd w:val="clear" w:color="auto" w:fill="auto"/>
        <w:bidi w:val="0"/>
        <w:spacing w:before="0" w:after="580" w:line="318" w:lineRule="exact"/>
        <w:ind w:left="114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tabs>
          <w:tab w:pos="1681" w:val="left"/>
        </w:tabs>
        <w:bidi w:val="0"/>
        <w:spacing w:before="0" w:after="280" w:line="259" w:lineRule="exact"/>
        <w:ind w:left="1140" w:right="0" w:firstLine="0"/>
        <w:jc w:val="both"/>
      </w:pPr>
      <w:bookmarkStart w:id="650" w:name="bookmark650"/>
      <w:bookmarkStart w:id="651" w:name="bookmark651"/>
      <w:bookmarkStart w:id="652" w:name="bookmark652"/>
      <w:bookmarkStart w:id="653" w:name="bookmark653"/>
      <w:r>
        <w:rPr>
          <w:color w:val="000000"/>
          <w:spacing w:val="0"/>
          <w:w w:val="100"/>
          <w:position w:val="0"/>
        </w:rPr>
        <w:t>（</w:t>
      </w:r>
      <w:bookmarkEnd w:id="652"/>
      <w:r>
        <w:rPr>
          <w:color w:val="000000"/>
          <w:spacing w:val="0"/>
          <w:w w:val="100"/>
          <w:position w:val="0"/>
        </w:rPr>
        <w:t>四）</w:t>
        <w:tab/>
        <w:t>公司报告期内合并报表范围亏损超过上年末净资产10%</w:t>
      </w:r>
      <w:bookmarkEnd w:id="650"/>
      <w:bookmarkEnd w:id="651"/>
      <w:bookmarkEnd w:id="653"/>
    </w:p>
    <w:p>
      <w:pPr>
        <w:pStyle w:val="Style5"/>
        <w:keepNext w:val="0"/>
        <w:keepLines w:val="0"/>
        <w:widowControl w:val="0"/>
        <w:shd w:val="clear" w:color="auto" w:fill="auto"/>
        <w:bidi w:val="0"/>
        <w:spacing w:before="0" w:after="60" w:line="259" w:lineRule="exact"/>
        <w:ind w:left="114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1681" w:val="left"/>
        </w:tabs>
        <w:bidi w:val="0"/>
        <w:spacing w:before="0" w:after="280" w:line="259" w:lineRule="exact"/>
        <w:ind w:left="1140" w:right="0" w:firstLine="0"/>
        <w:jc w:val="both"/>
      </w:pPr>
      <w:bookmarkStart w:id="654" w:name="bookmark654"/>
      <w:r>
        <w:rPr>
          <w:b/>
          <w:bCs/>
          <w:color w:val="000000"/>
          <w:spacing w:val="0"/>
          <w:w w:val="100"/>
          <w:position w:val="0"/>
        </w:rPr>
        <w:t>（</w:t>
      </w:r>
      <w:bookmarkEnd w:id="654"/>
      <w:r>
        <w:rPr>
          <w:b/>
          <w:bCs/>
          <w:color w:val="000000"/>
          <w:spacing w:val="0"/>
          <w:w w:val="100"/>
          <w:position w:val="0"/>
        </w:rPr>
        <w:t>五）</w:t>
        <w:tab/>
        <w:t>报告期末除债券外的有息债务逾期情况</w:t>
      </w:r>
    </w:p>
    <w:p>
      <w:pPr>
        <w:pStyle w:val="Style5"/>
        <w:keepNext w:val="0"/>
        <w:keepLines w:val="0"/>
        <w:widowControl w:val="0"/>
        <w:shd w:val="clear" w:color="auto" w:fill="auto"/>
        <w:bidi w:val="0"/>
        <w:spacing w:before="0" w:after="340" w:line="259" w:lineRule="exact"/>
        <w:ind w:left="114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tabs>
          <w:tab w:pos="1710" w:val="left"/>
        </w:tabs>
        <w:bidi w:val="0"/>
        <w:spacing w:before="0" w:after="280" w:line="259" w:lineRule="exact"/>
        <w:ind w:left="1140" w:right="0" w:firstLine="0"/>
        <w:jc w:val="both"/>
      </w:pPr>
      <w:bookmarkStart w:id="655" w:name="bookmark655"/>
      <w:bookmarkStart w:id="656" w:name="bookmark656"/>
      <w:bookmarkStart w:id="657" w:name="bookmark657"/>
      <w:bookmarkStart w:id="658" w:name="bookmark658"/>
      <w:r>
        <w:rPr>
          <w:color w:val="000000"/>
          <w:spacing w:val="0"/>
          <w:w w:val="100"/>
          <w:position w:val="0"/>
        </w:rPr>
        <w:t>（</w:t>
      </w:r>
      <w:bookmarkEnd w:id="657"/>
      <w:r>
        <w:rPr>
          <w:color w:val="000000"/>
          <w:spacing w:val="0"/>
          <w:w w:val="100"/>
          <w:position w:val="0"/>
        </w:rPr>
        <w:t>六）</w:t>
        <w:tab/>
        <w:t>报告期内违反法律法规、公司章程、信息披露事务管理制度规定的情况以及债券募集说明书约 定或承诺的情况对债券投资者权益的影响</w:t>
      </w:r>
      <w:bookmarkEnd w:id="655"/>
      <w:bookmarkEnd w:id="656"/>
      <w:bookmarkEnd w:id="658"/>
    </w:p>
    <w:p>
      <w:pPr>
        <w:pStyle w:val="Style5"/>
        <w:keepNext w:val="0"/>
        <w:keepLines w:val="0"/>
        <w:widowControl w:val="0"/>
        <w:shd w:val="clear" w:color="auto" w:fill="auto"/>
        <w:bidi w:val="0"/>
        <w:spacing w:before="0" w:after="280" w:line="259" w:lineRule="exact"/>
        <w:ind w:left="114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tabs>
          <w:tab w:pos="1681" w:val="left"/>
        </w:tabs>
        <w:bidi w:val="0"/>
        <w:spacing w:before="0" w:after="280" w:line="252" w:lineRule="auto"/>
        <w:ind w:left="1140" w:right="0" w:firstLine="0"/>
        <w:jc w:val="both"/>
      </w:pPr>
      <w:bookmarkStart w:id="659" w:name="bookmark659"/>
      <w:bookmarkStart w:id="660" w:name="bookmark660"/>
      <w:bookmarkStart w:id="661" w:name="bookmark661"/>
      <w:bookmarkStart w:id="662" w:name="bookmark662"/>
      <w:r>
        <w:rPr>
          <w:rFonts w:ascii="Calibri" w:eastAsia="Calibri" w:hAnsi="Calibri" w:cs="Calibri"/>
          <w:color w:val="000000"/>
          <w:spacing w:val="0"/>
          <w:w w:val="100"/>
          <w:position w:val="0"/>
          <w:sz w:val="20"/>
          <w:szCs w:val="20"/>
        </w:rPr>
        <w:t>（</w:t>
      </w:r>
      <w:bookmarkEnd w:id="661"/>
      <w:r>
        <w:rPr>
          <w:color w:val="000000"/>
          <w:spacing w:val="0"/>
          <w:w w:val="100"/>
          <w:position w:val="0"/>
        </w:rPr>
        <w:t>七</w:t>
      </w:r>
      <w:r>
        <w:rPr>
          <w:rFonts w:ascii="Calibri" w:eastAsia="Calibri" w:hAnsi="Calibri" w:cs="Calibri"/>
          <w:color w:val="000000"/>
          <w:spacing w:val="0"/>
          <w:w w:val="100"/>
          <w:position w:val="0"/>
          <w:sz w:val="20"/>
          <w:szCs w:val="20"/>
        </w:rPr>
        <w:t>）</w:t>
        <w:tab/>
      </w:r>
      <w:r>
        <w:rPr>
          <w:color w:val="000000"/>
          <w:spacing w:val="0"/>
          <w:w w:val="100"/>
          <w:position w:val="0"/>
        </w:rPr>
        <w:t>截至报告期末公司近</w:t>
      </w:r>
      <w:r>
        <w:rPr>
          <w:rFonts w:ascii="Calibri" w:eastAsia="Calibri" w:hAnsi="Calibri" w:cs="Calibri"/>
          <w:color w:val="000000"/>
          <w:spacing w:val="0"/>
          <w:w w:val="100"/>
          <w:position w:val="0"/>
          <w:sz w:val="20"/>
          <w:szCs w:val="20"/>
        </w:rPr>
        <w:t>2</w:t>
      </w:r>
      <w:r>
        <w:rPr>
          <w:color w:val="000000"/>
          <w:spacing w:val="0"/>
          <w:w w:val="100"/>
          <w:position w:val="0"/>
        </w:rPr>
        <w:t>年的会计数据和财务指标</w:t>
      </w:r>
      <w:bookmarkEnd w:id="659"/>
      <w:bookmarkEnd w:id="660"/>
      <w:bookmarkEnd w:id="662"/>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01"/>
        <w:gridCol w:w="1666"/>
        <w:gridCol w:w="1517"/>
        <w:gridCol w:w="2558"/>
      </w:tblGrid>
      <w:tr>
        <w:trPr>
          <w:trHeight w:val="288" w:hRule="exact"/>
        </w:trPr>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9D9D9"/>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本期比上年同期增减（%）</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6,451,519,911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5,450,075,630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r>
              <w:rPr>
                <w:color w:val="000000"/>
                <w:spacing w:val="0"/>
                <w:w w:val="100"/>
                <w:position w:val="0"/>
              </w:rPr>
              <w:t>个百分点</w:t>
            </w:r>
          </w:p>
        </w:tc>
      </w:tr>
    </w:tbl>
    <w:p>
      <w:pPr>
        <w:widowControl w:val="0"/>
        <w:spacing w:line="1" w:lineRule="exact"/>
      </w:pPr>
      <w:r>
        <w:br w:type="page"/>
      </w:r>
    </w:p>
    <w:tbl>
      <w:tblPr>
        <w:tblOverlap w:val="never"/>
        <w:jc w:val="center"/>
        <w:tblLayout w:type="fixed"/>
      </w:tblPr>
      <w:tblGrid>
        <w:gridCol w:w="3701"/>
        <w:gridCol w:w="1666"/>
        <w:gridCol w:w="1517"/>
        <w:gridCol w:w="2558"/>
      </w:tblGrid>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38.1</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32.2</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29.7</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r>
              <w:rPr>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0</w:t>
            </w:r>
          </w:p>
        </w:tc>
      </w:tr>
    </w:tbl>
    <w:p>
      <w:pPr>
        <w:pStyle w:val="Style25"/>
        <w:keepNext w:val="0"/>
        <w:keepLines w:val="0"/>
        <w:widowControl w:val="0"/>
        <w:shd w:val="clear" w:color="auto" w:fill="auto"/>
        <w:bidi w:val="0"/>
        <w:spacing w:before="0" w:after="0" w:line="240" w:lineRule="auto"/>
        <w:ind w:left="96" w:right="0" w:firstLine="0"/>
        <w:jc w:val="left"/>
      </w:pPr>
      <w:bookmarkStart w:id="663" w:name="bookmark663"/>
      <w:r>
        <w:rPr>
          <w:color w:val="000000"/>
          <w:spacing w:val="0"/>
          <w:w w:val="100"/>
          <w:position w:val="0"/>
        </w:rPr>
        <w:t>注：扣除非经营性损益后净利润为归属于上市公司股东的扣除非经营性损益后净利润。</w:t>
      </w:r>
      <w:bookmarkEnd w:id="663"/>
    </w:p>
    <w:p>
      <w:pPr>
        <w:widowControl w:val="0"/>
        <w:spacing w:after="2879" w:line="1" w:lineRule="exact"/>
      </w:pPr>
    </w:p>
    <w:p>
      <w:pPr>
        <w:pStyle w:val="Style22"/>
        <w:keepNext w:val="0"/>
        <w:keepLines w:val="0"/>
        <w:widowControl w:val="0"/>
        <w:shd w:val="clear" w:color="auto" w:fill="auto"/>
        <w:bidi w:val="0"/>
        <w:spacing w:before="0" w:after="0" w:line="240" w:lineRule="auto"/>
        <w:ind w:left="0" w:right="0" w:firstLine="0"/>
        <w:jc w:val="center"/>
        <w:rPr>
          <w:sz w:val="30"/>
          <w:szCs w:val="30"/>
        </w:rPr>
        <w:sectPr>
          <w:footnotePr>
            <w:pos w:val="pageBottom"/>
            <w:numFmt w:val="decimal"/>
            <w:numRestart w:val="continuous"/>
          </w:footnotePr>
          <w:pgSz w:w="11900" w:h="16840"/>
          <w:pgMar w:top="1484" w:right="228" w:bottom="1450" w:left="137" w:header="0" w:footer="3" w:gutter="0"/>
          <w:cols w:space="720"/>
          <w:noEndnote/>
          <w:rtlGutter w:val="0"/>
          <w:docGrid w:linePitch="360"/>
        </w:sectPr>
      </w:pPr>
      <w:r>
        <w:rPr>
          <w:b/>
          <w:bCs/>
          <w:color w:val="000000"/>
          <w:spacing w:val="0"/>
          <w:w w:val="100"/>
          <w:position w:val="0"/>
          <w:sz w:val="30"/>
          <w:szCs w:val="30"/>
        </w:rPr>
        <w:t>第十节财务报告</w:t>
      </w:r>
    </w:p>
    <w:p>
      <w:pPr>
        <w:pStyle w:val="Style5"/>
        <w:keepNext w:val="0"/>
        <w:keepLines w:val="0"/>
        <w:widowControl w:val="0"/>
        <w:shd w:val="clear" w:color="auto" w:fill="auto"/>
        <w:bidi w:val="0"/>
        <w:spacing w:before="0" w:after="340" w:line="240" w:lineRule="auto"/>
        <w:ind w:left="4680" w:right="0" w:firstLine="0"/>
        <w:jc w:val="left"/>
        <w:rPr>
          <w:sz w:val="22"/>
          <w:szCs w:val="22"/>
        </w:rPr>
      </w:pPr>
      <w:r>
        <w:rPr>
          <w:color w:val="000000"/>
          <w:spacing w:val="0"/>
          <w:w w:val="100"/>
          <w:position w:val="0"/>
          <w:sz w:val="22"/>
          <w:szCs w:val="22"/>
          <w:u w:val="single"/>
        </w:rPr>
        <w:t>中国联合网络通信股份有限公司</w:t>
      </w:r>
    </w:p>
    <w:p>
      <w:pPr>
        <w:pStyle w:val="Style5"/>
        <w:keepNext w:val="0"/>
        <w:keepLines w:val="0"/>
        <w:widowControl w:val="0"/>
        <w:shd w:val="clear" w:color="auto" w:fill="auto"/>
        <w:bidi w:val="0"/>
        <w:spacing w:before="0" w:after="0" w:line="240" w:lineRule="auto"/>
        <w:ind w:left="4680" w:right="0" w:firstLine="0"/>
        <w:jc w:val="left"/>
        <w:rPr>
          <w:sz w:val="22"/>
          <w:szCs w:val="22"/>
        </w:rPr>
      </w:pPr>
      <w:r>
        <w:rPr>
          <w:color w:val="000000"/>
          <w:spacing w:val="0"/>
          <w:w w:val="100"/>
          <w:position w:val="0"/>
          <w:sz w:val="22"/>
          <w:szCs w:val="22"/>
        </w:rPr>
        <w:t>财务报表及审计报告</w:t>
      </w:r>
    </w:p>
    <w:p>
      <w:pPr>
        <w:pStyle w:val="Style89"/>
        <w:keepNext w:val="0"/>
        <w:keepLines w:val="0"/>
        <w:widowControl w:val="0"/>
        <w:shd w:val="clear" w:color="auto" w:fill="auto"/>
        <w:bidi w:val="0"/>
        <w:spacing w:before="0" w:after="180" w:line="240" w:lineRule="auto"/>
        <w:ind w:left="4680" w:right="0" w:firstLine="0"/>
        <w:jc w:val="left"/>
        <w:rPr>
          <w:sz w:val="22"/>
          <w:szCs w:val="22"/>
        </w:rPr>
        <w:sectPr>
          <w:footnotePr>
            <w:pos w:val="pageBottom"/>
            <w:numFmt w:val="decimal"/>
            <w:numRestart w:val="continuous"/>
          </w:footnotePr>
          <w:pgSz w:w="11900" w:h="16840"/>
          <w:pgMar w:top="5427" w:right="384" w:bottom="5427" w:left="275" w:header="0" w:footer="3" w:gutter="0"/>
          <w:cols w:space="720"/>
          <w:noEndnote/>
          <w:rtlGutter w:val="0"/>
          <w:docGrid w:linePitch="360"/>
        </w:sectPr>
      </w:pPr>
      <w:r>
        <w:rPr>
          <w:color w:val="000000"/>
          <w:spacing w:val="0"/>
          <w:w w:val="100"/>
          <w:position w:val="0"/>
          <w:sz w:val="24"/>
          <w:szCs w:val="24"/>
          <w:u w:val="none"/>
        </w:rPr>
        <w:t>2021</w:t>
      </w:r>
      <w:r>
        <w:rPr>
          <w:rFonts w:ascii="SimSun" w:eastAsia="SimSun" w:hAnsi="SimSun" w:cs="SimSun"/>
          <w:color w:val="000000"/>
          <w:spacing w:val="0"/>
          <w:w w:val="100"/>
          <w:position w:val="0"/>
          <w:sz w:val="22"/>
          <w:szCs w:val="22"/>
          <w:u w:val="none"/>
        </w:rPr>
        <w:t>年</w:t>
      </w:r>
      <w:r>
        <w:rPr>
          <w:color w:val="000000"/>
          <w:spacing w:val="0"/>
          <w:w w:val="100"/>
          <w:position w:val="0"/>
          <w:sz w:val="24"/>
          <w:szCs w:val="24"/>
          <w:u w:val="none"/>
        </w:rPr>
        <w:t>12</w:t>
      </w:r>
      <w:r>
        <w:rPr>
          <w:rFonts w:ascii="SimSun" w:eastAsia="SimSun" w:hAnsi="SimSun" w:cs="SimSun"/>
          <w:color w:val="000000"/>
          <w:spacing w:val="0"/>
          <w:w w:val="100"/>
          <w:position w:val="0"/>
          <w:sz w:val="22"/>
          <w:szCs w:val="22"/>
          <w:u w:val="none"/>
        </w:rPr>
        <w:t>月</w:t>
      </w:r>
      <w:r>
        <w:rPr>
          <w:color w:val="000000"/>
          <w:spacing w:val="0"/>
          <w:w w:val="100"/>
          <w:position w:val="0"/>
          <w:sz w:val="24"/>
          <w:szCs w:val="24"/>
          <w:u w:val="none"/>
        </w:rPr>
        <w:t>31</w:t>
      </w:r>
      <w:r>
        <w:rPr>
          <w:rFonts w:ascii="SimSun" w:eastAsia="SimSun" w:hAnsi="SimSun" w:cs="SimSun"/>
          <w:color w:val="000000"/>
          <w:spacing w:val="0"/>
          <w:w w:val="100"/>
          <w:position w:val="0"/>
          <w:sz w:val="22"/>
          <w:szCs w:val="22"/>
          <w:u w:val="none"/>
        </w:rPr>
        <w:t>日止年度</w:t>
      </w:r>
    </w:p>
    <w:p>
      <w:pPr>
        <w:pStyle w:val="Style5"/>
        <w:keepNext w:val="0"/>
        <w:keepLines w:val="0"/>
        <w:widowControl w:val="0"/>
        <w:shd w:val="clear" w:color="auto" w:fill="auto"/>
        <w:bidi w:val="0"/>
        <w:spacing w:before="0" w:after="1140" w:line="240" w:lineRule="auto"/>
        <w:ind w:left="0" w:right="0" w:firstLine="0"/>
        <w:jc w:val="center"/>
        <w:rPr>
          <w:sz w:val="22"/>
          <w:szCs w:val="22"/>
        </w:rPr>
      </w:pPr>
      <w:r>
        <w:rPr>
          <w:b/>
          <w:bCs/>
          <w:color w:val="000000"/>
          <w:spacing w:val="0"/>
          <w:w w:val="100"/>
          <w:position w:val="0"/>
          <w:sz w:val="22"/>
          <w:szCs w:val="22"/>
        </w:rPr>
        <w:t>审计报告</w:t>
      </w:r>
    </w:p>
    <w:p>
      <w:pPr>
        <w:pStyle w:val="Style5"/>
        <w:keepNext w:val="0"/>
        <w:keepLines w:val="0"/>
        <w:widowControl w:val="0"/>
        <w:shd w:val="clear" w:color="auto" w:fill="auto"/>
        <w:bidi w:val="0"/>
        <w:spacing w:before="0" w:after="280" w:line="311" w:lineRule="exact"/>
        <w:ind w:left="1080" w:right="0" w:firstLine="0"/>
        <w:jc w:val="both"/>
        <w:rPr>
          <w:sz w:val="22"/>
          <w:szCs w:val="22"/>
        </w:rPr>
      </w:pPr>
      <w:r>
        <w:rPr>
          <w:color w:val="000000"/>
          <w:spacing w:val="0"/>
          <w:w w:val="100"/>
          <w:position w:val="0"/>
          <w:sz w:val="22"/>
          <w:szCs w:val="22"/>
        </w:rPr>
        <w:t>中国联合网络通信股份有限公司全体股东：</w:t>
      </w:r>
    </w:p>
    <w:p>
      <w:pPr>
        <w:pStyle w:val="Style5"/>
        <w:keepNext w:val="0"/>
        <w:keepLines w:val="0"/>
        <w:widowControl w:val="0"/>
        <w:shd w:val="clear" w:color="auto" w:fill="auto"/>
        <w:tabs>
          <w:tab w:pos="1592" w:val="left"/>
        </w:tabs>
        <w:bidi w:val="0"/>
        <w:spacing w:before="0" w:after="280" w:line="311" w:lineRule="exact"/>
        <w:ind w:left="1080" w:right="0" w:firstLine="0"/>
        <w:jc w:val="both"/>
        <w:rPr>
          <w:sz w:val="22"/>
          <w:szCs w:val="22"/>
        </w:rPr>
      </w:pPr>
      <w:bookmarkStart w:id="664" w:name="bookmark664"/>
      <w:r>
        <w:rPr>
          <w:b/>
          <w:bCs/>
          <w:color w:val="000000"/>
          <w:spacing w:val="0"/>
          <w:w w:val="100"/>
          <w:position w:val="0"/>
          <w:sz w:val="22"/>
          <w:szCs w:val="22"/>
        </w:rPr>
        <w:t>一</w:t>
      </w:r>
      <w:bookmarkEnd w:id="664"/>
      <w:r>
        <w:rPr>
          <w:b/>
          <w:bCs/>
          <w:color w:val="000000"/>
          <w:spacing w:val="0"/>
          <w:w w:val="100"/>
          <w:position w:val="0"/>
          <w:sz w:val="22"/>
          <w:szCs w:val="22"/>
        </w:rPr>
        <w:t>、</w:t>
        <w:tab/>
        <w:t>审计意见</w:t>
      </w:r>
    </w:p>
    <w:p>
      <w:pPr>
        <w:pStyle w:val="Style5"/>
        <w:keepNext w:val="0"/>
        <w:keepLines w:val="0"/>
        <w:widowControl w:val="0"/>
        <w:shd w:val="clear" w:color="auto" w:fill="auto"/>
        <w:bidi w:val="0"/>
        <w:spacing w:before="0" w:after="280" w:line="312" w:lineRule="exact"/>
        <w:ind w:left="1080" w:right="0" w:firstLine="480"/>
        <w:jc w:val="both"/>
        <w:rPr>
          <w:sz w:val="22"/>
          <w:szCs w:val="22"/>
        </w:rPr>
      </w:pPr>
      <w:r>
        <w:rPr>
          <w:color w:val="000000"/>
          <w:spacing w:val="0"/>
          <w:w w:val="100"/>
          <w:position w:val="0"/>
          <w:sz w:val="22"/>
          <w:szCs w:val="22"/>
        </w:rPr>
        <w:t>我们审计了后附的中国联合网络通信股份有限公司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中国联通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的财务报表，包 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年度的合并及公司利润表、合并及公司现 金流量表、合并及公司股东权益变动表以及相关财务报表附注。</w:t>
      </w:r>
    </w:p>
    <w:p>
      <w:pPr>
        <w:pStyle w:val="Style5"/>
        <w:keepNext w:val="0"/>
        <w:keepLines w:val="0"/>
        <w:widowControl w:val="0"/>
        <w:shd w:val="clear" w:color="auto" w:fill="auto"/>
        <w:bidi w:val="0"/>
        <w:spacing w:before="0" w:after="280" w:line="314" w:lineRule="exact"/>
        <w:ind w:left="1080" w:right="0" w:firstLine="480"/>
        <w:jc w:val="both"/>
        <w:rPr>
          <w:sz w:val="22"/>
          <w:szCs w:val="22"/>
        </w:rPr>
      </w:pPr>
      <w:r>
        <w:rPr>
          <w:color w:val="000000"/>
          <w:spacing w:val="0"/>
          <w:w w:val="100"/>
          <w:position w:val="0"/>
          <w:sz w:val="22"/>
          <w:szCs w:val="22"/>
        </w:rPr>
        <w:t>我们认为，上述财务报表在所有重大方面按照企业会计准则的规定编制，公允反映了中 国联通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日的合并及公司财务状况以及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年度的合并及公司经营成果和合并及 公司现金流量。</w:t>
      </w:r>
    </w:p>
    <w:p>
      <w:pPr>
        <w:pStyle w:val="Style5"/>
        <w:keepNext w:val="0"/>
        <w:keepLines w:val="0"/>
        <w:widowControl w:val="0"/>
        <w:shd w:val="clear" w:color="auto" w:fill="auto"/>
        <w:tabs>
          <w:tab w:pos="1592" w:val="left"/>
        </w:tabs>
        <w:bidi w:val="0"/>
        <w:spacing w:before="0" w:after="280" w:line="311" w:lineRule="exact"/>
        <w:ind w:left="1080" w:right="0" w:firstLine="0"/>
        <w:jc w:val="both"/>
        <w:rPr>
          <w:sz w:val="22"/>
          <w:szCs w:val="22"/>
        </w:rPr>
      </w:pPr>
      <w:bookmarkStart w:id="665" w:name="bookmark665"/>
      <w:r>
        <w:rPr>
          <w:b/>
          <w:bCs/>
          <w:color w:val="000000"/>
          <w:spacing w:val="0"/>
          <w:w w:val="100"/>
          <w:position w:val="0"/>
          <w:sz w:val="22"/>
          <w:szCs w:val="22"/>
        </w:rPr>
        <w:t>二</w:t>
      </w:r>
      <w:bookmarkEnd w:id="665"/>
      <w:r>
        <w:rPr>
          <w:b/>
          <w:bCs/>
          <w:color w:val="000000"/>
          <w:spacing w:val="0"/>
          <w:w w:val="100"/>
          <w:position w:val="0"/>
          <w:sz w:val="22"/>
          <w:szCs w:val="22"/>
        </w:rPr>
        <w:t>、</w:t>
        <w:tab/>
        <w:t>形成审计意见的基础</w:t>
      </w:r>
    </w:p>
    <w:p>
      <w:pPr>
        <w:pStyle w:val="Style5"/>
        <w:keepNext w:val="0"/>
        <w:keepLines w:val="0"/>
        <w:widowControl w:val="0"/>
        <w:shd w:val="clear" w:color="auto" w:fill="auto"/>
        <w:bidi w:val="0"/>
        <w:spacing w:before="0" w:after="280" w:line="310" w:lineRule="exact"/>
        <w:ind w:left="1080" w:right="0" w:firstLine="480"/>
        <w:jc w:val="left"/>
        <w:rPr>
          <w:sz w:val="22"/>
          <w:szCs w:val="22"/>
        </w:rPr>
      </w:pPr>
      <w:r>
        <w:rPr>
          <w:color w:val="000000"/>
          <w:spacing w:val="0"/>
          <w:w w:val="100"/>
          <w:position w:val="0"/>
          <w:sz w:val="22"/>
          <w:szCs w:val="22"/>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部分进一步阐述了我们在这些准则下的责任。按照中国注册会计师职业道 德守则，我们独立于中国联通，并履行了职业道德方面的其他责任。我们相信，我们获取的 审计证据是充分、适当的，为发表审计意见提供了基础。</w:t>
      </w:r>
    </w:p>
    <w:p>
      <w:pPr>
        <w:pStyle w:val="Style5"/>
        <w:keepNext w:val="0"/>
        <w:keepLines w:val="0"/>
        <w:widowControl w:val="0"/>
        <w:shd w:val="clear" w:color="auto" w:fill="auto"/>
        <w:tabs>
          <w:tab w:pos="1592" w:val="left"/>
        </w:tabs>
        <w:bidi w:val="0"/>
        <w:spacing w:before="0" w:after="280" w:line="311" w:lineRule="exact"/>
        <w:ind w:left="1080" w:right="0" w:firstLine="0"/>
        <w:jc w:val="both"/>
        <w:rPr>
          <w:sz w:val="22"/>
          <w:szCs w:val="22"/>
        </w:rPr>
      </w:pPr>
      <w:bookmarkStart w:id="666" w:name="bookmark666"/>
      <w:r>
        <w:rPr>
          <w:b/>
          <w:bCs/>
          <w:color w:val="000000"/>
          <w:spacing w:val="0"/>
          <w:w w:val="100"/>
          <w:position w:val="0"/>
          <w:sz w:val="22"/>
          <w:szCs w:val="22"/>
        </w:rPr>
        <w:t>三</w:t>
      </w:r>
      <w:bookmarkEnd w:id="666"/>
      <w:r>
        <w:rPr>
          <w:b/>
          <w:bCs/>
          <w:color w:val="000000"/>
          <w:spacing w:val="0"/>
          <w:w w:val="100"/>
          <w:position w:val="0"/>
          <w:sz w:val="22"/>
          <w:szCs w:val="22"/>
        </w:rPr>
        <w:t>、</w:t>
        <w:tab/>
        <w:t>关键审计事项</w:t>
      </w:r>
    </w:p>
    <w:p>
      <w:pPr>
        <w:pStyle w:val="Style5"/>
        <w:keepNext w:val="0"/>
        <w:keepLines w:val="0"/>
        <w:widowControl w:val="0"/>
        <w:shd w:val="clear" w:color="auto" w:fill="auto"/>
        <w:bidi w:val="0"/>
        <w:spacing w:before="0" w:after="320" w:line="310" w:lineRule="exact"/>
        <w:ind w:left="1080" w:right="0" w:firstLine="480"/>
        <w:jc w:val="both"/>
        <w:rPr>
          <w:sz w:val="22"/>
          <w:szCs w:val="22"/>
        </w:rPr>
      </w:pPr>
      <w:r>
        <w:rPr>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见。我们确定下列事项是需要在审计报告中沟通的关键审计事项。</w:t>
      </w:r>
    </w:p>
    <w:p>
      <w:pPr>
        <w:pStyle w:val="Style5"/>
        <w:keepNext w:val="0"/>
        <w:keepLines w:val="0"/>
        <w:widowControl w:val="0"/>
        <w:shd w:val="clear" w:color="auto" w:fill="auto"/>
        <w:bidi w:val="0"/>
        <w:spacing w:before="0" w:after="220" w:line="271" w:lineRule="auto"/>
        <w:ind w:left="1080" w:right="0" w:firstLine="0"/>
        <w:jc w:val="both"/>
        <w:rPr>
          <w:sz w:val="22"/>
          <w:szCs w:val="22"/>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收入确认</w:t>
      </w:r>
    </w:p>
    <w:p>
      <w:pPr>
        <w:pStyle w:val="Style5"/>
        <w:keepNext w:val="0"/>
        <w:keepLines w:val="0"/>
        <w:widowControl w:val="0"/>
        <w:shd w:val="clear" w:color="auto" w:fill="auto"/>
        <w:bidi w:val="0"/>
        <w:spacing w:before="0" w:after="280" w:line="311" w:lineRule="exact"/>
        <w:ind w:left="1560" w:right="0" w:firstLine="0"/>
        <w:jc w:val="both"/>
        <w:rPr>
          <w:sz w:val="22"/>
          <w:szCs w:val="22"/>
        </w:rPr>
      </w:pPr>
      <w:r>
        <w:rPr>
          <w:b/>
          <w:bCs/>
          <w:color w:val="000000"/>
          <w:spacing w:val="0"/>
          <w:w w:val="100"/>
          <w:position w:val="0"/>
          <w:sz w:val="22"/>
          <w:szCs w:val="22"/>
        </w:rPr>
        <w:t>事项描述</w:t>
      </w:r>
    </w:p>
    <w:p>
      <w:pPr>
        <w:pStyle w:val="Style5"/>
        <w:keepNext w:val="0"/>
        <w:keepLines w:val="0"/>
        <w:widowControl w:val="0"/>
        <w:shd w:val="clear" w:color="auto" w:fill="auto"/>
        <w:bidi w:val="0"/>
        <w:spacing w:before="0" w:after="280" w:line="311" w:lineRule="exact"/>
        <w:ind w:left="1080" w:right="0" w:firstLine="480"/>
        <w:jc w:val="both"/>
        <w:rPr>
          <w:sz w:val="22"/>
          <w:szCs w:val="22"/>
        </w:rPr>
        <w:sectPr>
          <w:footnotePr>
            <w:pos w:val="pageBottom"/>
            <w:numFmt w:val="decimal"/>
            <w:numRestart w:val="continuous"/>
          </w:footnotePr>
          <w:pgSz w:w="11900" w:h="16840"/>
          <w:pgMar w:top="2391" w:right="382" w:bottom="2391" w:left="277" w:header="0" w:footer="3" w:gutter="0"/>
          <w:cols w:space="720"/>
          <w:noEndnote/>
          <w:rtlGutter w:val="0"/>
          <w:docGrid w:linePitch="360"/>
        </w:sectPr>
      </w:pPr>
      <w:r>
        <w:rPr>
          <w:color w:val="000000"/>
          <w:spacing w:val="0"/>
          <w:w w:val="100"/>
          <w:position w:val="0"/>
          <w:sz w:val="22"/>
          <w:szCs w:val="22"/>
        </w:rPr>
        <w:t>我们将收入确认识别为关键审计事项，因为电信行业计费系统具有复杂性，且系统需要 对庞大的数据进行处理，在计费系统记录收入准确性方面存在行业固有风险。一般而言，提 供电信服务产生的收入于履行履约义务时确认。电信套餐的服务费收入在套餐中所包含的各 个服务类型中分别确认。数据记录的采集和收入交易的记录由计费系统进行。收入确认的会 计政策详情及收入的分析详见财务报表附注三、</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2"/>
          <w:szCs w:val="22"/>
        </w:rPr>
        <w:t>及附注五、</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2"/>
          <w:szCs w:val="22"/>
        </w:rPr>
        <w:t>。</w:t>
      </w:r>
    </w:p>
    <w:p>
      <w:pPr>
        <w:pStyle w:val="Style5"/>
        <w:keepNext w:val="0"/>
        <w:keepLines w:val="0"/>
        <w:widowControl w:val="0"/>
        <w:shd w:val="clear" w:color="auto" w:fill="auto"/>
        <w:bidi w:val="0"/>
        <w:spacing w:before="0" w:after="260" w:line="314" w:lineRule="exact"/>
        <w:ind w:left="1080" w:right="0" w:firstLine="0"/>
        <w:jc w:val="both"/>
        <w:rPr>
          <w:sz w:val="22"/>
          <w:szCs w:val="22"/>
        </w:rPr>
      </w:pPr>
      <w:bookmarkStart w:id="667" w:name="bookmark667"/>
      <w:r>
        <w:rPr>
          <w:b/>
          <w:bCs/>
          <w:color w:val="000000"/>
          <w:spacing w:val="0"/>
          <w:w w:val="100"/>
          <w:position w:val="0"/>
          <w:sz w:val="22"/>
          <w:szCs w:val="22"/>
        </w:rPr>
        <w:t>三</w:t>
      </w:r>
      <w:bookmarkEnd w:id="667"/>
      <w:r>
        <w:rPr>
          <w:b/>
          <w:bCs/>
          <w:color w:val="000000"/>
          <w:spacing w:val="0"/>
          <w:w w:val="100"/>
          <w:position w:val="0"/>
          <w:sz w:val="22"/>
          <w:szCs w:val="22"/>
        </w:rPr>
        <w:t>、关键审计事项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4" w:lineRule="exact"/>
        <w:ind w:left="1080" w:right="0" w:firstLine="0"/>
        <w:jc w:val="both"/>
        <w:rPr>
          <w:sz w:val="22"/>
          <w:szCs w:val="22"/>
        </w:rPr>
      </w:pPr>
      <w:r>
        <w:rPr>
          <w:b/>
          <w:bCs/>
          <w:color w:val="000000"/>
          <w:spacing w:val="0"/>
          <w:w w:val="100"/>
          <w:position w:val="0"/>
          <w:sz w:val="22"/>
          <w:szCs w:val="22"/>
        </w:rPr>
        <w:t>⑴收入确认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4" w:lineRule="exact"/>
        <w:ind w:left="1560" w:right="0" w:firstLine="0"/>
        <w:jc w:val="left"/>
        <w:rPr>
          <w:sz w:val="22"/>
          <w:szCs w:val="22"/>
        </w:rPr>
      </w:pPr>
      <w:r>
        <w:rPr>
          <w:b/>
          <w:bCs/>
          <w:color w:val="000000"/>
          <w:spacing w:val="0"/>
          <w:w w:val="100"/>
          <w:position w:val="0"/>
          <w:sz w:val="22"/>
          <w:szCs w:val="22"/>
        </w:rPr>
        <w:t>审计应对</w:t>
      </w:r>
    </w:p>
    <w:p>
      <w:pPr>
        <w:pStyle w:val="Style5"/>
        <w:keepNext w:val="0"/>
        <w:keepLines w:val="0"/>
        <w:widowControl w:val="0"/>
        <w:shd w:val="clear" w:color="auto" w:fill="auto"/>
        <w:bidi w:val="0"/>
        <w:spacing w:before="0" w:after="260" w:line="312" w:lineRule="exact"/>
        <w:ind w:left="1080" w:right="0" w:firstLine="480"/>
        <w:jc w:val="left"/>
        <w:rPr>
          <w:sz w:val="22"/>
          <w:szCs w:val="22"/>
        </w:rPr>
      </w:pPr>
      <w:r>
        <w:rPr>
          <w:color w:val="000000"/>
          <w:spacing w:val="0"/>
          <w:w w:val="100"/>
          <w:position w:val="0"/>
          <w:sz w:val="22"/>
          <w:szCs w:val="22"/>
        </w:rPr>
        <w:t>我们关于收入确认的审计程序涵盖了以抽样为基础的控制测试及实质性程序，包括聘请 我们的内部信息技术专家参与协助执行以下程序：</w:t>
      </w:r>
    </w:p>
    <w:p>
      <w:pPr>
        <w:pStyle w:val="Style5"/>
        <w:keepNext w:val="0"/>
        <w:keepLines w:val="0"/>
        <w:widowControl w:val="0"/>
        <w:shd w:val="clear" w:color="auto" w:fill="auto"/>
        <w:bidi w:val="0"/>
        <w:spacing w:before="0" w:after="260" w:line="314" w:lineRule="exact"/>
        <w:ind w:left="1080" w:right="0" w:firstLine="0"/>
        <w:jc w:val="both"/>
        <w:rPr>
          <w:sz w:val="22"/>
          <w:szCs w:val="22"/>
        </w:rPr>
      </w:pPr>
      <w:r>
        <w:rPr>
          <w:color w:val="000000"/>
          <w:spacing w:val="0"/>
          <w:w w:val="100"/>
          <w:position w:val="0"/>
          <w:sz w:val="22"/>
          <w:szCs w:val="22"/>
        </w:rPr>
        <w:t>・</w:t>
      </w:r>
      <w:r>
        <w:rPr>
          <w:color w:val="000000"/>
          <w:spacing w:val="0"/>
          <w:w w:val="100"/>
          <w:position w:val="0"/>
          <w:sz w:val="22"/>
          <w:szCs w:val="22"/>
        </w:rPr>
        <w:t>测试计费系统的信息系统控制环境，包括不同信息系统间的接口控制；</w:t>
      </w:r>
    </w:p>
    <w:p>
      <w:pPr>
        <w:pStyle w:val="Style5"/>
        <w:keepNext w:val="0"/>
        <w:keepLines w:val="0"/>
        <w:widowControl w:val="0"/>
        <w:shd w:val="clear" w:color="auto" w:fill="auto"/>
        <w:bidi w:val="0"/>
        <w:spacing w:before="0" w:after="260" w:line="314" w:lineRule="exact"/>
        <w:ind w:left="1080" w:right="0" w:firstLine="0"/>
        <w:jc w:val="both"/>
        <w:rPr>
          <w:sz w:val="22"/>
          <w:szCs w:val="22"/>
        </w:rPr>
      </w:pPr>
      <w:r>
        <w:rPr>
          <w:color w:val="000000"/>
          <w:spacing w:val="0"/>
          <w:w w:val="100"/>
          <w:position w:val="0"/>
          <w:sz w:val="22"/>
          <w:szCs w:val="22"/>
        </w:rPr>
        <w:t>・</w:t>
      </w:r>
      <w:r>
        <w:rPr>
          <w:color w:val="000000"/>
          <w:spacing w:val="0"/>
          <w:w w:val="100"/>
          <w:position w:val="0"/>
          <w:sz w:val="22"/>
          <w:szCs w:val="22"/>
        </w:rPr>
        <w:t>测试与客户账单计算及收入交易的采集和记录相关的重要内部控制；</w:t>
      </w:r>
    </w:p>
    <w:p>
      <w:pPr>
        <w:pStyle w:val="Style5"/>
        <w:keepNext w:val="0"/>
        <w:keepLines w:val="0"/>
        <w:widowControl w:val="0"/>
        <w:shd w:val="clear" w:color="auto" w:fill="auto"/>
        <w:bidi w:val="0"/>
        <w:spacing w:before="0" w:after="260" w:line="314" w:lineRule="exact"/>
        <w:ind w:left="1080" w:right="0" w:firstLine="0"/>
        <w:jc w:val="both"/>
        <w:rPr>
          <w:sz w:val="22"/>
          <w:szCs w:val="22"/>
        </w:rPr>
      </w:pPr>
      <w:r>
        <w:rPr>
          <w:color w:val="000000"/>
          <w:spacing w:val="0"/>
          <w:w w:val="100"/>
          <w:position w:val="0"/>
          <w:sz w:val="22"/>
          <w:szCs w:val="22"/>
        </w:rPr>
        <w:t>・</w:t>
      </w:r>
      <w:r>
        <w:rPr>
          <w:color w:val="000000"/>
          <w:spacing w:val="0"/>
          <w:w w:val="100"/>
          <w:position w:val="0"/>
          <w:sz w:val="22"/>
          <w:szCs w:val="22"/>
        </w:rPr>
        <w:t>测试与费率变更授权及批准和将费率录入计费系统相关的重要内部控制；</w:t>
      </w:r>
    </w:p>
    <w:p>
      <w:pPr>
        <w:pStyle w:val="Style5"/>
        <w:keepNext w:val="0"/>
        <w:keepLines w:val="0"/>
        <w:widowControl w:val="0"/>
        <w:shd w:val="clear" w:color="auto" w:fill="auto"/>
        <w:bidi w:val="0"/>
        <w:spacing w:before="0" w:after="260" w:line="314" w:lineRule="exact"/>
        <w:ind w:left="1080" w:right="0" w:firstLine="0"/>
        <w:jc w:val="both"/>
        <w:rPr>
          <w:sz w:val="22"/>
          <w:szCs w:val="22"/>
        </w:rPr>
      </w:pPr>
      <w:r>
        <w:rPr>
          <w:color w:val="000000"/>
          <w:spacing w:val="0"/>
          <w:w w:val="100"/>
          <w:position w:val="0"/>
          <w:sz w:val="22"/>
          <w:szCs w:val="22"/>
        </w:rPr>
        <w:t>・</w:t>
      </w:r>
      <w:r>
        <w:rPr>
          <w:color w:val="000000"/>
          <w:spacing w:val="0"/>
          <w:w w:val="100"/>
          <w:position w:val="0"/>
          <w:sz w:val="22"/>
          <w:szCs w:val="22"/>
        </w:rPr>
        <w:t>测试数据记录与计费系统及计费系统与总账之间的端到端对账；</w:t>
      </w:r>
    </w:p>
    <w:p>
      <w:pPr>
        <w:pStyle w:val="Style5"/>
        <w:keepNext w:val="0"/>
        <w:keepLines w:val="0"/>
        <w:widowControl w:val="0"/>
        <w:shd w:val="clear" w:color="auto" w:fill="auto"/>
        <w:bidi w:val="0"/>
        <w:spacing w:before="0" w:after="260" w:line="314" w:lineRule="exact"/>
        <w:ind w:left="1080" w:right="0" w:firstLine="0"/>
        <w:jc w:val="both"/>
        <w:rPr>
          <w:sz w:val="22"/>
          <w:szCs w:val="22"/>
        </w:rPr>
      </w:pPr>
      <w:r>
        <w:rPr>
          <w:color w:val="000000"/>
          <w:spacing w:val="0"/>
          <w:w w:val="100"/>
          <w:position w:val="0"/>
          <w:sz w:val="22"/>
          <w:szCs w:val="22"/>
        </w:rPr>
        <w:t>・</w:t>
      </w:r>
      <w:r>
        <w:rPr>
          <w:color w:val="000000"/>
          <w:spacing w:val="0"/>
          <w:w w:val="100"/>
          <w:position w:val="0"/>
          <w:sz w:val="22"/>
          <w:szCs w:val="22"/>
        </w:rPr>
        <w:t>测试客户账单计算及所记录的相关收入交易的准确性；以及</w:t>
      </w:r>
    </w:p>
    <w:p>
      <w:pPr>
        <w:pStyle w:val="Style5"/>
        <w:keepNext w:val="0"/>
        <w:keepLines w:val="0"/>
        <w:widowControl w:val="0"/>
        <w:shd w:val="clear" w:color="auto" w:fill="auto"/>
        <w:bidi w:val="0"/>
        <w:spacing w:before="0" w:after="260" w:line="317" w:lineRule="exact"/>
        <w:ind w:left="1560" w:right="0" w:hanging="480"/>
        <w:jc w:val="left"/>
        <w:rPr>
          <w:sz w:val="22"/>
          <w:szCs w:val="22"/>
        </w:rPr>
        <w:sectPr>
          <w:footnotePr>
            <w:pos w:val="pageBottom"/>
            <w:numFmt w:val="decimal"/>
            <w:numRestart w:val="continuous"/>
          </w:footnotePr>
          <w:pgSz w:w="11900" w:h="16840"/>
          <w:pgMar w:top="3903" w:right="382" w:bottom="3903" w:left="277" w:header="0" w:footer="3" w:gutter="0"/>
          <w:cols w:space="720"/>
          <w:noEndnote/>
          <w:rtlGutter w:val="0"/>
          <w:docGrid w:linePitch="360"/>
        </w:sectPr>
      </w:pPr>
      <w:r>
        <w:rPr>
          <w:color w:val="000000"/>
          <w:spacing w:val="0"/>
          <w:w w:val="100"/>
          <w:position w:val="0"/>
          <w:sz w:val="22"/>
          <w:szCs w:val="22"/>
        </w:rPr>
        <w:t>・</w:t>
      </w:r>
      <w:r>
        <w:rPr>
          <w:color w:val="000000"/>
          <w:spacing w:val="0"/>
          <w:w w:val="100"/>
          <w:position w:val="0"/>
          <w:sz w:val="22"/>
          <w:szCs w:val="22"/>
        </w:rPr>
        <w:t>通过比较总账中确认的金额和支持性文件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包括客户账单、合同和账单报告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测试收入交 易。</w:t>
      </w:r>
    </w:p>
    <w:p>
      <w:pPr>
        <w:pStyle w:val="Style5"/>
        <w:keepNext w:val="0"/>
        <w:keepLines w:val="0"/>
        <w:widowControl w:val="0"/>
        <w:shd w:val="clear" w:color="auto" w:fill="auto"/>
        <w:bidi w:val="0"/>
        <w:spacing w:before="0" w:after="260" w:line="312" w:lineRule="exact"/>
        <w:ind w:left="1080" w:right="0" w:firstLine="0"/>
        <w:jc w:val="both"/>
        <w:rPr>
          <w:sz w:val="22"/>
          <w:szCs w:val="22"/>
        </w:rPr>
      </w:pPr>
      <w:bookmarkStart w:id="668" w:name="bookmark668"/>
      <w:r>
        <w:rPr>
          <w:b/>
          <w:bCs/>
          <w:color w:val="000000"/>
          <w:spacing w:val="0"/>
          <w:w w:val="100"/>
          <w:position w:val="0"/>
          <w:sz w:val="22"/>
          <w:szCs w:val="22"/>
        </w:rPr>
        <w:t>三</w:t>
      </w:r>
      <w:bookmarkEnd w:id="668"/>
      <w:r>
        <w:rPr>
          <w:b/>
          <w:bCs/>
          <w:color w:val="000000"/>
          <w:spacing w:val="0"/>
          <w:w w:val="100"/>
          <w:position w:val="0"/>
          <w:sz w:val="22"/>
          <w:szCs w:val="22"/>
        </w:rPr>
        <w:t>、关键审计事项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55"/>
        </w:numPr>
        <w:shd w:val="clear" w:color="auto" w:fill="auto"/>
        <w:bidi w:val="0"/>
        <w:spacing w:before="0" w:after="260" w:line="312" w:lineRule="exact"/>
        <w:ind w:left="1080" w:right="0" w:firstLine="0"/>
        <w:jc w:val="both"/>
        <w:rPr>
          <w:sz w:val="22"/>
          <w:szCs w:val="22"/>
        </w:rPr>
      </w:pPr>
      <w:bookmarkStart w:id="669" w:name="bookmark669"/>
      <w:bookmarkEnd w:id="669"/>
      <w:r>
        <w:rPr>
          <w:b/>
          <w:bCs/>
          <w:color w:val="000000"/>
          <w:spacing w:val="0"/>
          <w:w w:val="100"/>
          <w:position w:val="0"/>
          <w:sz w:val="22"/>
          <w:szCs w:val="22"/>
        </w:rPr>
        <w:t>长期资产减值</w:t>
      </w:r>
    </w:p>
    <w:p>
      <w:pPr>
        <w:pStyle w:val="Style5"/>
        <w:keepNext w:val="0"/>
        <w:keepLines w:val="0"/>
        <w:widowControl w:val="0"/>
        <w:shd w:val="clear" w:color="auto" w:fill="auto"/>
        <w:bidi w:val="0"/>
        <w:spacing w:before="0" w:after="260" w:line="312" w:lineRule="exact"/>
        <w:ind w:left="1560" w:right="0" w:firstLine="0"/>
        <w:jc w:val="both"/>
        <w:rPr>
          <w:sz w:val="22"/>
          <w:szCs w:val="22"/>
        </w:rPr>
      </w:pPr>
      <w:r>
        <w:rPr>
          <w:b/>
          <w:bCs/>
          <w:color w:val="000000"/>
          <w:spacing w:val="0"/>
          <w:w w:val="100"/>
          <w:position w:val="0"/>
          <w:sz w:val="22"/>
          <w:szCs w:val="22"/>
        </w:rPr>
        <w:t>事项描述</w:t>
      </w:r>
    </w:p>
    <w:p>
      <w:pPr>
        <w:pStyle w:val="Style5"/>
        <w:keepNext w:val="0"/>
        <w:keepLines w:val="0"/>
        <w:widowControl w:val="0"/>
        <w:shd w:val="clear" w:color="auto" w:fill="auto"/>
        <w:bidi w:val="0"/>
        <w:spacing w:before="0" w:after="260" w:line="307" w:lineRule="exact"/>
        <w:ind w:left="1080" w:right="0" w:firstLine="480"/>
        <w:jc w:val="both"/>
        <w:rPr>
          <w:sz w:val="22"/>
          <w:szCs w:val="22"/>
        </w:rPr>
      </w:pPr>
      <w:r>
        <w:rPr>
          <w:color w:val="000000"/>
          <w:spacing w:val="0"/>
          <w:w w:val="100"/>
          <w:position w:val="0"/>
          <w:sz w:val="22"/>
          <w:szCs w:val="22"/>
        </w:rPr>
        <w:t>我们将长期资产减值识别为关键审计事项，因为长期资产的减值评估需要估计长期资产 所属资产组的收入水平、经营成本金额及适用的折现率，涉及管理层的重大判断。长期资产 减值的会计政策及相关的会计估计详见财务报表附注三、</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及附注三、</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2"/>
          <w:szCs w:val="22"/>
        </w:rPr>
        <w:t>。</w:t>
      </w:r>
    </w:p>
    <w:p>
      <w:pPr>
        <w:pStyle w:val="Style5"/>
        <w:keepNext w:val="0"/>
        <w:keepLines w:val="0"/>
        <w:widowControl w:val="0"/>
        <w:shd w:val="clear" w:color="auto" w:fill="auto"/>
        <w:bidi w:val="0"/>
        <w:spacing w:before="0" w:after="260" w:line="312" w:lineRule="exact"/>
        <w:ind w:left="1560" w:right="0" w:firstLine="0"/>
        <w:jc w:val="left"/>
        <w:rPr>
          <w:sz w:val="22"/>
          <w:szCs w:val="22"/>
        </w:rPr>
      </w:pPr>
      <w:r>
        <w:rPr>
          <w:b/>
          <w:bCs/>
          <w:color w:val="000000"/>
          <w:spacing w:val="0"/>
          <w:w w:val="100"/>
          <w:position w:val="0"/>
          <w:sz w:val="22"/>
          <w:szCs w:val="22"/>
        </w:rPr>
        <w:t>审计应对</w:t>
      </w:r>
    </w:p>
    <w:p>
      <w:pPr>
        <w:pStyle w:val="Style5"/>
        <w:keepNext w:val="0"/>
        <w:keepLines w:val="0"/>
        <w:widowControl w:val="0"/>
        <w:shd w:val="clear" w:color="auto" w:fill="auto"/>
        <w:bidi w:val="0"/>
        <w:spacing w:before="0" w:after="260" w:line="312" w:lineRule="exact"/>
        <w:ind w:left="1560" w:right="0" w:firstLine="0"/>
        <w:jc w:val="left"/>
        <w:rPr>
          <w:sz w:val="22"/>
          <w:szCs w:val="22"/>
        </w:rPr>
      </w:pPr>
      <w:r>
        <w:rPr>
          <w:color w:val="000000"/>
          <w:spacing w:val="0"/>
          <w:w w:val="100"/>
          <w:position w:val="0"/>
          <w:sz w:val="22"/>
          <w:szCs w:val="22"/>
        </w:rPr>
        <w:t>我们关于长期资产减值的审计程序包括：</w:t>
      </w:r>
    </w:p>
    <w:p>
      <w:pPr>
        <w:pStyle w:val="Style5"/>
        <w:keepNext w:val="0"/>
        <w:keepLines w:val="0"/>
        <w:widowControl w:val="0"/>
        <w:shd w:val="clear" w:color="auto" w:fill="auto"/>
        <w:bidi w:val="0"/>
        <w:spacing w:before="0" w:after="260" w:line="312" w:lineRule="exact"/>
        <w:ind w:left="2060" w:right="0" w:hanging="500"/>
        <w:jc w:val="both"/>
        <w:rPr>
          <w:sz w:val="22"/>
          <w:szCs w:val="22"/>
        </w:rPr>
      </w:pPr>
      <w:r>
        <w:rPr>
          <w:color w:val="000000"/>
          <w:spacing w:val="0"/>
          <w:w w:val="100"/>
          <w:position w:val="0"/>
          <w:sz w:val="22"/>
          <w:szCs w:val="22"/>
        </w:rPr>
        <w:t>・</w:t>
      </w:r>
      <w:r>
        <w:rPr>
          <w:color w:val="000000"/>
          <w:spacing w:val="0"/>
          <w:w w:val="100"/>
          <w:position w:val="0"/>
          <w:sz w:val="22"/>
          <w:szCs w:val="22"/>
        </w:rPr>
        <w:t>在我们内部的估值专家的协助下，评估管理层在确定长期资产所属资产组预计未来 现金流量的现值时所使用的折现率和假设，将管理层所使用的折现率与外部信息及 我们对于折现率重要参数的评估结果进行比较；</w:t>
      </w:r>
    </w:p>
    <w:p>
      <w:pPr>
        <w:pStyle w:val="Style5"/>
        <w:keepNext w:val="0"/>
        <w:keepLines w:val="0"/>
        <w:widowControl w:val="0"/>
        <w:shd w:val="clear" w:color="auto" w:fill="auto"/>
        <w:bidi w:val="0"/>
        <w:spacing w:before="0" w:after="260" w:line="312" w:lineRule="exact"/>
        <w:ind w:left="2060" w:right="0" w:hanging="500"/>
        <w:jc w:val="both"/>
        <w:rPr>
          <w:sz w:val="22"/>
          <w:szCs w:val="22"/>
        </w:rPr>
      </w:pPr>
      <w:r>
        <w:rPr>
          <w:color w:val="000000"/>
          <w:spacing w:val="0"/>
          <w:w w:val="100"/>
          <w:position w:val="0"/>
          <w:sz w:val="22"/>
          <w:szCs w:val="22"/>
        </w:rPr>
        <w:t xml:space="preserve">・ </w:t>
      </w:r>
      <w:r>
        <w:rPr>
          <w:color w:val="000000"/>
          <w:spacing w:val="0"/>
          <w:w w:val="100"/>
          <w:position w:val="0"/>
          <w:sz w:val="22"/>
          <w:szCs w:val="22"/>
        </w:rPr>
        <w:t>在我们内部的估值专家的协助下，将预计未来现金流量的重要参数，收入增长率及 经营成本金额等，与相关历史数据进行比较，以评价管理层估计的合理性；以及</w:t>
      </w:r>
    </w:p>
    <w:p>
      <w:pPr>
        <w:pStyle w:val="Style5"/>
        <w:keepNext w:val="0"/>
        <w:keepLines w:val="0"/>
        <w:widowControl w:val="0"/>
        <w:shd w:val="clear" w:color="auto" w:fill="auto"/>
        <w:bidi w:val="0"/>
        <w:spacing w:before="0" w:after="260" w:line="312" w:lineRule="exact"/>
        <w:ind w:left="2060" w:right="0" w:hanging="500"/>
        <w:jc w:val="both"/>
        <w:rPr>
          <w:sz w:val="22"/>
          <w:szCs w:val="22"/>
        </w:rPr>
        <w:sectPr>
          <w:footnotePr>
            <w:pos w:val="pageBottom"/>
            <w:numFmt w:val="decimal"/>
            <w:numRestart w:val="continuous"/>
          </w:footnotePr>
          <w:pgSz w:w="11900" w:h="16840"/>
          <w:pgMar w:top="3903" w:right="382" w:bottom="3903" w:left="277" w:header="0" w:footer="3" w:gutter="0"/>
          <w:cols w:space="720"/>
          <w:noEndnote/>
          <w:rtlGutter w:val="0"/>
          <w:docGrid w:linePitch="360"/>
        </w:sectPr>
      </w:pPr>
      <w:r>
        <w:rPr>
          <w:color w:val="000000"/>
          <w:spacing w:val="0"/>
          <w:w w:val="100"/>
          <w:position w:val="0"/>
          <w:sz w:val="22"/>
          <w:szCs w:val="22"/>
        </w:rPr>
        <w:t>・</w:t>
      </w:r>
      <w:r>
        <w:rPr>
          <w:color w:val="000000"/>
          <w:spacing w:val="0"/>
          <w:w w:val="100"/>
          <w:position w:val="0"/>
          <w:sz w:val="22"/>
          <w:szCs w:val="22"/>
        </w:rPr>
        <w:t>评估和挑战管理层在减值评估中所使用的重大判断及估计，并对管理层实施的敏感 性分析进行评估。</w:t>
      </w:r>
    </w:p>
    <w:p>
      <w:pPr>
        <w:pStyle w:val="Style5"/>
        <w:keepNext w:val="0"/>
        <w:keepLines w:val="0"/>
        <w:widowControl w:val="0"/>
        <w:shd w:val="clear" w:color="auto" w:fill="auto"/>
        <w:tabs>
          <w:tab w:pos="1573" w:val="left"/>
        </w:tabs>
        <w:bidi w:val="0"/>
        <w:spacing w:before="0" w:after="260" w:line="312" w:lineRule="exact"/>
        <w:ind w:left="1080" w:right="0" w:firstLine="0"/>
        <w:jc w:val="both"/>
        <w:rPr>
          <w:sz w:val="22"/>
          <w:szCs w:val="22"/>
        </w:rPr>
      </w:pPr>
      <w:bookmarkStart w:id="670" w:name="bookmark670"/>
      <w:r>
        <w:rPr>
          <w:b/>
          <w:bCs/>
          <w:color w:val="000000"/>
          <w:spacing w:val="0"/>
          <w:w w:val="100"/>
          <w:position w:val="0"/>
          <w:sz w:val="22"/>
          <w:szCs w:val="22"/>
        </w:rPr>
        <w:t>四</w:t>
      </w:r>
      <w:bookmarkEnd w:id="670"/>
      <w:r>
        <w:rPr>
          <w:b/>
          <w:bCs/>
          <w:color w:val="000000"/>
          <w:spacing w:val="0"/>
          <w:w w:val="100"/>
          <w:position w:val="0"/>
          <w:sz w:val="22"/>
          <w:szCs w:val="22"/>
        </w:rPr>
        <w:t>、</w:t>
        <w:tab/>
        <w:t>其他信息</w:t>
      </w:r>
    </w:p>
    <w:p>
      <w:pPr>
        <w:pStyle w:val="Style5"/>
        <w:keepNext w:val="0"/>
        <w:keepLines w:val="0"/>
        <w:widowControl w:val="0"/>
        <w:shd w:val="clear" w:color="auto" w:fill="auto"/>
        <w:bidi w:val="0"/>
        <w:spacing w:before="0" w:after="260" w:line="322" w:lineRule="exact"/>
        <w:ind w:left="1080" w:right="0" w:firstLine="480"/>
        <w:jc w:val="left"/>
        <w:rPr>
          <w:sz w:val="22"/>
          <w:szCs w:val="22"/>
        </w:rPr>
      </w:pPr>
      <w:r>
        <w:rPr>
          <w:color w:val="000000"/>
          <w:spacing w:val="0"/>
          <w:w w:val="100"/>
          <w:position w:val="0"/>
          <w:sz w:val="22"/>
          <w:szCs w:val="22"/>
        </w:rPr>
        <w:t>中国联通管理层对其他信息负责。其他信息包括中国联通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年年度报告中涵盖的信 息，但不包括财务报表和我们的审计报告。</w:t>
      </w:r>
    </w:p>
    <w:p>
      <w:pPr>
        <w:pStyle w:val="Style5"/>
        <w:keepNext w:val="0"/>
        <w:keepLines w:val="0"/>
        <w:widowControl w:val="0"/>
        <w:shd w:val="clear" w:color="auto" w:fill="auto"/>
        <w:bidi w:val="0"/>
        <w:spacing w:before="0" w:after="260" w:line="302" w:lineRule="exact"/>
        <w:ind w:left="1080" w:right="0" w:firstLine="480"/>
        <w:jc w:val="left"/>
        <w:rPr>
          <w:sz w:val="22"/>
          <w:szCs w:val="22"/>
        </w:rPr>
      </w:pPr>
      <w:r>
        <w:rPr>
          <w:color w:val="000000"/>
          <w:spacing w:val="0"/>
          <w:w w:val="100"/>
          <w:position w:val="0"/>
          <w:sz w:val="22"/>
          <w:szCs w:val="22"/>
        </w:rPr>
        <w:t>我们对财务报表发表的审计意见不涵盖其他信息，我们也不对其他信息发表任何形式的 鉴证结论。</w:t>
      </w:r>
    </w:p>
    <w:p>
      <w:pPr>
        <w:pStyle w:val="Style5"/>
        <w:keepNext w:val="0"/>
        <w:keepLines w:val="0"/>
        <w:widowControl w:val="0"/>
        <w:shd w:val="clear" w:color="auto" w:fill="auto"/>
        <w:bidi w:val="0"/>
        <w:spacing w:before="0" w:after="260" w:line="312" w:lineRule="exact"/>
        <w:ind w:left="1080" w:right="0" w:firstLine="480"/>
        <w:jc w:val="left"/>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w:t>
      </w:r>
    </w:p>
    <w:p>
      <w:pPr>
        <w:pStyle w:val="Style5"/>
        <w:keepNext w:val="0"/>
        <w:keepLines w:val="0"/>
        <w:widowControl w:val="0"/>
        <w:shd w:val="clear" w:color="auto" w:fill="auto"/>
        <w:bidi w:val="0"/>
        <w:spacing w:before="0" w:after="260" w:line="322" w:lineRule="exact"/>
        <w:ind w:left="1080" w:right="0" w:firstLine="480"/>
        <w:jc w:val="left"/>
        <w:rPr>
          <w:sz w:val="22"/>
          <w:szCs w:val="22"/>
        </w:rPr>
      </w:pPr>
      <w:r>
        <w:rPr>
          <w:color w:val="000000"/>
          <w:spacing w:val="0"/>
          <w:w w:val="100"/>
          <w:position w:val="0"/>
          <w:sz w:val="22"/>
          <w:szCs w:val="22"/>
        </w:rPr>
        <w:t>基于我们已执行的工作，如果我们确定其他信息存在重大错报，我们应当报告该事实。 在这方面，我们无任何事项需要报告。</w:t>
      </w:r>
    </w:p>
    <w:p>
      <w:pPr>
        <w:pStyle w:val="Style5"/>
        <w:keepNext w:val="0"/>
        <w:keepLines w:val="0"/>
        <w:widowControl w:val="0"/>
        <w:shd w:val="clear" w:color="auto" w:fill="auto"/>
        <w:tabs>
          <w:tab w:pos="1592" w:val="left"/>
        </w:tabs>
        <w:bidi w:val="0"/>
        <w:spacing w:before="0" w:after="260" w:line="312" w:lineRule="exact"/>
        <w:ind w:left="1080" w:right="0" w:firstLine="0"/>
        <w:jc w:val="both"/>
        <w:rPr>
          <w:sz w:val="22"/>
          <w:szCs w:val="22"/>
        </w:rPr>
      </w:pPr>
      <w:bookmarkStart w:id="671" w:name="bookmark671"/>
      <w:r>
        <w:rPr>
          <w:b/>
          <w:bCs/>
          <w:color w:val="000000"/>
          <w:spacing w:val="0"/>
          <w:w w:val="100"/>
          <w:position w:val="0"/>
          <w:sz w:val="22"/>
          <w:szCs w:val="22"/>
        </w:rPr>
        <w:t>五</w:t>
      </w:r>
      <w:bookmarkEnd w:id="671"/>
      <w:r>
        <w:rPr>
          <w:b/>
          <w:bCs/>
          <w:color w:val="000000"/>
          <w:spacing w:val="0"/>
          <w:w w:val="100"/>
          <w:position w:val="0"/>
          <w:sz w:val="22"/>
          <w:szCs w:val="22"/>
        </w:rPr>
        <w:t>、</w:t>
        <w:tab/>
        <w:t>管理层和治理层对财务报表的责任</w:t>
      </w:r>
    </w:p>
    <w:p>
      <w:pPr>
        <w:pStyle w:val="Style5"/>
        <w:keepNext w:val="0"/>
        <w:keepLines w:val="0"/>
        <w:widowControl w:val="0"/>
        <w:shd w:val="clear" w:color="auto" w:fill="auto"/>
        <w:bidi w:val="0"/>
        <w:spacing w:before="0" w:after="260" w:line="312" w:lineRule="exact"/>
        <w:ind w:left="1080" w:right="0" w:firstLine="480"/>
        <w:jc w:val="left"/>
        <w:rPr>
          <w:sz w:val="22"/>
          <w:szCs w:val="22"/>
        </w:rPr>
      </w:pPr>
      <w:r>
        <w:rPr>
          <w:color w:val="000000"/>
          <w:spacing w:val="0"/>
          <w:w w:val="100"/>
          <w:position w:val="0"/>
          <w:sz w:val="22"/>
          <w:szCs w:val="22"/>
        </w:rPr>
        <w:t>中国联通管理层负责按照企业会计准则的规定编制财务报表，使其实现公允反映，并设 计、执行和维护必要的内部控制，以使财务报表不存在由于舞弊或错误导致的重大错报。</w:t>
      </w:r>
    </w:p>
    <w:p>
      <w:pPr>
        <w:pStyle w:val="Style5"/>
        <w:keepNext w:val="0"/>
        <w:keepLines w:val="0"/>
        <w:widowControl w:val="0"/>
        <w:shd w:val="clear" w:color="auto" w:fill="auto"/>
        <w:bidi w:val="0"/>
        <w:spacing w:before="0" w:after="260" w:line="312" w:lineRule="exact"/>
        <w:ind w:left="1080" w:right="0" w:firstLine="480"/>
        <w:jc w:val="left"/>
        <w:rPr>
          <w:sz w:val="22"/>
          <w:szCs w:val="22"/>
        </w:rPr>
      </w:pPr>
      <w:r>
        <w:rPr>
          <w:color w:val="000000"/>
          <w:spacing w:val="0"/>
          <w:w w:val="100"/>
          <w:position w:val="0"/>
          <w:sz w:val="22"/>
          <w:szCs w:val="22"/>
        </w:rPr>
        <w:t>在编制财务报表时，管理层负责评估中国联通的持续经营能力，披露与持续经营相关的 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如适用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，并运用持续经营假设，除非管理层计划清算中国联通、终止运营或别无其他现 实的选择。</w:t>
      </w:r>
    </w:p>
    <w:p>
      <w:pPr>
        <w:pStyle w:val="Style5"/>
        <w:keepNext w:val="0"/>
        <w:keepLines w:val="0"/>
        <w:widowControl w:val="0"/>
        <w:shd w:val="clear" w:color="auto" w:fill="auto"/>
        <w:bidi w:val="0"/>
        <w:spacing w:before="0" w:after="260" w:line="312" w:lineRule="exact"/>
        <w:ind w:left="1560" w:right="0" w:firstLine="0"/>
        <w:jc w:val="left"/>
        <w:rPr>
          <w:sz w:val="22"/>
          <w:szCs w:val="22"/>
        </w:rPr>
        <w:sectPr>
          <w:footnotePr>
            <w:pos w:val="pageBottom"/>
            <w:numFmt w:val="decimal"/>
            <w:numRestart w:val="continuous"/>
          </w:footnotePr>
          <w:pgSz w:w="11900" w:h="16840"/>
          <w:pgMar w:top="3841" w:right="382" w:bottom="3841" w:left="277" w:header="0" w:footer="3" w:gutter="0"/>
          <w:cols w:space="720"/>
          <w:noEndnote/>
          <w:rtlGutter w:val="0"/>
          <w:docGrid w:linePitch="360"/>
        </w:sectPr>
      </w:pPr>
      <w:r>
        <w:rPr>
          <w:color w:val="000000"/>
          <w:spacing w:val="0"/>
          <w:w w:val="100"/>
          <w:position w:val="0"/>
          <w:sz w:val="22"/>
          <w:szCs w:val="22"/>
        </w:rPr>
        <w:t>治理层负责监督中国联通的财务报告过程。</w:t>
      </w:r>
    </w:p>
    <w:p>
      <w:pPr>
        <w:pStyle w:val="Style5"/>
        <w:keepNext w:val="0"/>
        <w:keepLines w:val="0"/>
        <w:widowControl w:val="0"/>
        <w:shd w:val="clear" w:color="auto" w:fill="auto"/>
        <w:bidi w:val="0"/>
        <w:spacing w:before="0" w:after="260" w:line="312" w:lineRule="exact"/>
        <w:ind w:left="1080" w:right="0" w:firstLine="0"/>
        <w:jc w:val="both"/>
        <w:rPr>
          <w:sz w:val="22"/>
          <w:szCs w:val="22"/>
        </w:rPr>
      </w:pPr>
      <w:bookmarkStart w:id="672" w:name="bookmark672"/>
      <w:r>
        <w:rPr>
          <w:b/>
          <w:bCs/>
          <w:color w:val="000000"/>
          <w:spacing w:val="0"/>
          <w:w w:val="100"/>
          <w:position w:val="0"/>
          <w:sz w:val="22"/>
          <w:szCs w:val="22"/>
        </w:rPr>
        <w:t>六</w:t>
      </w:r>
      <w:bookmarkEnd w:id="672"/>
      <w:r>
        <w:rPr>
          <w:b/>
          <w:bCs/>
          <w:color w:val="000000"/>
          <w:spacing w:val="0"/>
          <w:w w:val="100"/>
          <w:position w:val="0"/>
          <w:sz w:val="22"/>
          <w:szCs w:val="22"/>
        </w:rPr>
        <w:t>、注册会计师对财务报表审计的责任</w:t>
      </w:r>
    </w:p>
    <w:p>
      <w:pPr>
        <w:pStyle w:val="Style5"/>
        <w:keepNext w:val="0"/>
        <w:keepLines w:val="0"/>
        <w:widowControl w:val="0"/>
        <w:shd w:val="clear" w:color="auto" w:fill="auto"/>
        <w:bidi w:val="0"/>
        <w:spacing w:before="0" w:after="260" w:line="311" w:lineRule="exact"/>
        <w:ind w:left="1080" w:right="0" w:firstLine="480"/>
        <w:jc w:val="left"/>
        <w:rPr>
          <w:sz w:val="22"/>
          <w:szCs w:val="22"/>
        </w:rPr>
      </w:pPr>
      <w:r>
        <w:rPr>
          <w:color w:val="000000"/>
          <w:spacing w:val="0"/>
          <w:w w:val="100"/>
          <w:position w:val="0"/>
          <w:sz w:val="22"/>
          <w:szCs w:val="22"/>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5"/>
        <w:keepNext w:val="0"/>
        <w:keepLines w:val="0"/>
        <w:widowControl w:val="0"/>
        <w:shd w:val="clear" w:color="auto" w:fill="auto"/>
        <w:bidi w:val="0"/>
        <w:spacing w:before="0" w:after="260" w:line="307" w:lineRule="exact"/>
        <w:ind w:left="1080" w:right="0" w:firstLine="480"/>
        <w:jc w:val="left"/>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5"/>
        <w:keepNext w:val="0"/>
        <w:keepLines w:val="0"/>
        <w:widowControl w:val="0"/>
        <w:numPr>
          <w:ilvl w:val="0"/>
          <w:numId w:val="57"/>
        </w:numPr>
        <w:shd w:val="clear" w:color="auto" w:fill="auto"/>
        <w:tabs>
          <w:tab w:pos="1997" w:val="left"/>
        </w:tabs>
        <w:bidi w:val="0"/>
        <w:spacing w:before="0" w:after="260" w:line="312" w:lineRule="exact"/>
        <w:ind w:left="1080" w:right="0" w:firstLine="480"/>
        <w:jc w:val="left"/>
        <w:rPr>
          <w:sz w:val="22"/>
          <w:szCs w:val="22"/>
        </w:rPr>
      </w:pPr>
      <w:bookmarkStart w:id="673" w:name="bookmark673"/>
      <w:bookmarkEnd w:id="673"/>
      <w:r>
        <w:rPr>
          <w:color w:val="000000"/>
          <w:spacing w:val="0"/>
          <w:w w:val="100"/>
          <w:position w:val="0"/>
          <w:sz w:val="22"/>
          <w:szCs w:val="22"/>
        </w:rPr>
        <w:t>识别和评估由于舞弊或错误导致的财务报表重大错报风险，设计和实施审计程序以应 对这些风险，并获取充分、适当的审计证据，作为发表审计意见的基础。由于舞弊可能涉及 串通、伪造、故意遗漏、虚假陈述或凌驾于内部控制之上，未能发现由于舞弊导致的重大错 报的风险高于未能发现由于错误导致的重大错报的风险。</w:t>
      </w:r>
    </w:p>
    <w:p>
      <w:pPr>
        <w:pStyle w:val="Style5"/>
        <w:keepNext w:val="0"/>
        <w:keepLines w:val="0"/>
        <w:widowControl w:val="0"/>
        <w:numPr>
          <w:ilvl w:val="0"/>
          <w:numId w:val="57"/>
        </w:numPr>
        <w:shd w:val="clear" w:color="auto" w:fill="auto"/>
        <w:tabs>
          <w:tab w:pos="2002" w:val="left"/>
        </w:tabs>
        <w:bidi w:val="0"/>
        <w:spacing w:before="0" w:after="260" w:line="312" w:lineRule="exact"/>
        <w:ind w:left="1080" w:right="0" w:firstLine="480"/>
        <w:jc w:val="both"/>
        <w:rPr>
          <w:sz w:val="22"/>
          <w:szCs w:val="22"/>
        </w:rPr>
      </w:pPr>
      <w:bookmarkStart w:id="674" w:name="bookmark674"/>
      <w:bookmarkEnd w:id="674"/>
      <w:r>
        <w:rPr>
          <w:color w:val="000000"/>
          <w:spacing w:val="0"/>
          <w:w w:val="100"/>
          <w:position w:val="0"/>
          <w:sz w:val="22"/>
          <w:szCs w:val="22"/>
        </w:rPr>
        <w:t>了解与审计相关的内部控制，以设计恰当的审计程序。</w:t>
      </w:r>
    </w:p>
    <w:p>
      <w:pPr>
        <w:pStyle w:val="Style5"/>
        <w:keepNext w:val="0"/>
        <w:keepLines w:val="0"/>
        <w:widowControl w:val="0"/>
        <w:numPr>
          <w:ilvl w:val="0"/>
          <w:numId w:val="57"/>
        </w:numPr>
        <w:shd w:val="clear" w:color="auto" w:fill="auto"/>
        <w:tabs>
          <w:tab w:pos="2002" w:val="left"/>
        </w:tabs>
        <w:bidi w:val="0"/>
        <w:spacing w:before="0" w:after="260" w:line="312" w:lineRule="exact"/>
        <w:ind w:left="1080" w:right="0" w:firstLine="480"/>
        <w:jc w:val="both"/>
        <w:rPr>
          <w:sz w:val="22"/>
          <w:szCs w:val="22"/>
        </w:rPr>
      </w:pPr>
      <w:bookmarkStart w:id="675" w:name="bookmark675"/>
      <w:bookmarkEnd w:id="675"/>
      <w:r>
        <w:rPr>
          <w:color w:val="000000"/>
          <w:spacing w:val="0"/>
          <w:w w:val="100"/>
          <w:position w:val="0"/>
          <w:sz w:val="22"/>
          <w:szCs w:val="22"/>
        </w:rPr>
        <w:t>评价管理层选用会计政策的恰当性和作出会计估计及相关披露的合理性。</w:t>
      </w:r>
    </w:p>
    <w:p>
      <w:pPr>
        <w:pStyle w:val="Style5"/>
        <w:keepNext w:val="0"/>
        <w:keepLines w:val="0"/>
        <w:widowControl w:val="0"/>
        <w:numPr>
          <w:ilvl w:val="0"/>
          <w:numId w:val="57"/>
        </w:numPr>
        <w:shd w:val="clear" w:color="auto" w:fill="auto"/>
        <w:tabs>
          <w:tab w:pos="1997" w:val="left"/>
        </w:tabs>
        <w:bidi w:val="0"/>
        <w:spacing w:before="0" w:after="260" w:line="313" w:lineRule="exact"/>
        <w:ind w:left="1080" w:right="0" w:firstLine="480"/>
        <w:jc w:val="both"/>
        <w:rPr>
          <w:sz w:val="22"/>
          <w:szCs w:val="22"/>
        </w:rPr>
      </w:pPr>
      <w:bookmarkStart w:id="676" w:name="bookmark676"/>
      <w:bookmarkEnd w:id="676"/>
      <w:r>
        <w:rPr>
          <w:color w:val="000000"/>
          <w:spacing w:val="0"/>
          <w:w w:val="100"/>
          <w:position w:val="0"/>
          <w:sz w:val="22"/>
          <w:szCs w:val="22"/>
        </w:rPr>
        <w:t>对管理层使用持续经营假设的恰当性得出结论。同时，根据获取的审计证据，就可能 导致对中国联通持续经营能力产生重大疑虑的事项或情况是否存在重大不确定性得出结论。 如果我们得出结论认为存在重大不确定性，审计准则要求我们在审计报告中提请报表使用者 注意财务报表中的相关披露；如果披露不充分，我们应当发表非无保留意见。我们的结论基 于截至审计报告日可获得的信息。然而，未来的事项或情况可能导致中国联通不能持续经营。</w:t>
      </w:r>
    </w:p>
    <w:p>
      <w:pPr>
        <w:pStyle w:val="Style5"/>
        <w:keepNext w:val="0"/>
        <w:keepLines w:val="0"/>
        <w:widowControl w:val="0"/>
        <w:numPr>
          <w:ilvl w:val="0"/>
          <w:numId w:val="57"/>
        </w:numPr>
        <w:shd w:val="clear" w:color="auto" w:fill="auto"/>
        <w:tabs>
          <w:tab w:pos="1992" w:val="left"/>
        </w:tabs>
        <w:bidi w:val="0"/>
        <w:spacing w:before="0" w:after="260" w:line="322" w:lineRule="exact"/>
        <w:ind w:left="1080" w:right="0" w:firstLine="480"/>
        <w:jc w:val="both"/>
        <w:rPr>
          <w:sz w:val="22"/>
          <w:szCs w:val="22"/>
        </w:rPr>
      </w:pPr>
      <w:bookmarkStart w:id="677" w:name="bookmark677"/>
      <w:bookmarkEnd w:id="677"/>
      <w:r>
        <w:rPr>
          <w:color w:val="000000"/>
          <w:spacing w:val="0"/>
          <w:w w:val="100"/>
          <w:position w:val="0"/>
          <w:sz w:val="22"/>
          <w:szCs w:val="22"/>
        </w:rPr>
        <w:t>评价财务报表的总体列报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包括披露</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、结构和内容，并评价财务报表是否公允反映相关 交易和事项。</w:t>
      </w:r>
    </w:p>
    <w:p>
      <w:pPr>
        <w:pStyle w:val="Style5"/>
        <w:keepNext w:val="0"/>
        <w:keepLines w:val="0"/>
        <w:widowControl w:val="0"/>
        <w:numPr>
          <w:ilvl w:val="0"/>
          <w:numId w:val="57"/>
        </w:numPr>
        <w:shd w:val="clear" w:color="auto" w:fill="auto"/>
        <w:tabs>
          <w:tab w:pos="1992" w:val="left"/>
        </w:tabs>
        <w:bidi w:val="0"/>
        <w:spacing w:before="0" w:after="260" w:line="322" w:lineRule="exact"/>
        <w:ind w:left="1080" w:right="0" w:firstLine="480"/>
        <w:jc w:val="both"/>
        <w:rPr>
          <w:sz w:val="22"/>
          <w:szCs w:val="22"/>
        </w:rPr>
      </w:pPr>
      <w:bookmarkStart w:id="678" w:name="bookmark678"/>
      <w:bookmarkEnd w:id="678"/>
      <w:r>
        <w:rPr>
          <w:color w:val="000000"/>
          <w:spacing w:val="0"/>
          <w:w w:val="100"/>
          <w:position w:val="0"/>
          <w:sz w:val="22"/>
          <w:szCs w:val="22"/>
        </w:rPr>
        <w:t>就中国联通中实体或业务活动的财务信息获取充分、适当的审计证据，以对财务报表 发表审计意见。我们负责指导、监督和执行集团审计，并对审计意见承担全部责任。</w:t>
      </w:r>
    </w:p>
    <w:p>
      <w:pPr>
        <w:pStyle w:val="Style5"/>
        <w:keepNext w:val="0"/>
        <w:keepLines w:val="0"/>
        <w:widowControl w:val="0"/>
        <w:shd w:val="clear" w:color="auto" w:fill="auto"/>
        <w:bidi w:val="0"/>
        <w:spacing w:before="0" w:after="260" w:line="317" w:lineRule="exact"/>
        <w:ind w:left="1080" w:right="0" w:firstLine="480"/>
        <w:jc w:val="both"/>
        <w:rPr>
          <w:sz w:val="22"/>
          <w:szCs w:val="22"/>
        </w:rPr>
      </w:pPr>
      <w:r>
        <w:rPr>
          <w:color w:val="000000"/>
          <w:spacing w:val="0"/>
          <w:w w:val="100"/>
          <w:position w:val="0"/>
          <w:sz w:val="22"/>
          <w:szCs w:val="22"/>
        </w:rPr>
        <w:t>我们与治理层就计划的审计范围、时间安排和重大审计发现等事项进行沟通，包括沟通 我们在审计中识别出的值得关注的内部控制缺陷。</w:t>
      </w:r>
    </w:p>
    <w:p>
      <w:pPr>
        <w:pStyle w:val="Style5"/>
        <w:keepNext w:val="0"/>
        <w:keepLines w:val="0"/>
        <w:widowControl w:val="0"/>
        <w:shd w:val="clear" w:color="auto" w:fill="auto"/>
        <w:bidi w:val="0"/>
        <w:spacing w:before="0" w:after="260" w:line="312" w:lineRule="exact"/>
        <w:ind w:left="1080" w:right="0" w:firstLine="480"/>
        <w:jc w:val="both"/>
        <w:rPr>
          <w:sz w:val="22"/>
          <w:szCs w:val="22"/>
        </w:rPr>
      </w:pPr>
      <w:r>
        <w:rPr>
          <w:color w:val="000000"/>
          <w:spacing w:val="0"/>
          <w:w w:val="100"/>
          <w:position w:val="0"/>
          <w:sz w:val="22"/>
          <w:szCs w:val="22"/>
        </w:rPr>
        <w:t>我们还就已遵守与独立性相关的职业道德要求向治理层提供声明，并与治理层沟通可能 被合理认为影响我们独立性的所有关系和其他事项，以及相关的防范措施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如适用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r>
        <w:br w:type="page"/>
      </w:r>
    </w:p>
    <w:p>
      <w:pPr>
        <w:pStyle w:val="Style5"/>
        <w:keepNext w:val="0"/>
        <w:keepLines w:val="0"/>
        <w:widowControl w:val="0"/>
        <w:shd w:val="clear" w:color="auto" w:fill="auto"/>
        <w:bidi w:val="0"/>
        <w:spacing w:before="0" w:after="280" w:line="240" w:lineRule="auto"/>
        <w:ind w:left="1080" w:right="0" w:firstLine="0"/>
        <w:jc w:val="both"/>
        <w:rPr>
          <w:sz w:val="22"/>
          <w:szCs w:val="22"/>
        </w:rPr>
      </w:pPr>
      <w:bookmarkStart w:id="679" w:name="bookmark679"/>
      <w:r>
        <w:rPr>
          <w:b/>
          <w:bCs/>
          <w:color w:val="000000"/>
          <w:spacing w:val="0"/>
          <w:w w:val="100"/>
          <w:position w:val="0"/>
          <w:sz w:val="22"/>
          <w:szCs w:val="22"/>
        </w:rPr>
        <w:t>六</w:t>
      </w:r>
      <w:bookmarkEnd w:id="679"/>
      <w:r>
        <w:rPr>
          <w:b/>
          <w:bCs/>
          <w:color w:val="000000"/>
          <w:spacing w:val="0"/>
          <w:w w:val="100"/>
          <w:position w:val="0"/>
          <w:sz w:val="22"/>
          <w:szCs w:val="22"/>
        </w:rPr>
        <w:t>、注册会计师对财务报表审计的责任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600" w:line="310" w:lineRule="exact"/>
        <w:ind w:left="1080" w:right="0" w:firstLine="480"/>
        <w:jc w:val="both"/>
        <w:rPr>
          <w:sz w:val="22"/>
          <w:szCs w:val="22"/>
        </w:rPr>
      </w:pPr>
      <w:r>
        <w:rPr>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5"/>
        <w:keepNext w:val="0"/>
        <w:keepLines w:val="0"/>
        <w:widowControl w:val="0"/>
        <w:shd w:val="clear" w:color="auto" w:fill="auto"/>
        <w:bidi w:val="0"/>
        <w:spacing w:before="0" w:after="0" w:line="240" w:lineRule="auto"/>
        <w:ind w:left="1080" w:right="0" w:firstLine="0"/>
        <w:jc w:val="both"/>
        <w:rPr>
          <w:sz w:val="24"/>
          <w:szCs w:val="24"/>
        </w:rPr>
      </w:pPr>
      <w:r>
        <mc:AlternateContent>
          <mc:Choice Requires="wps">
            <w:drawing>
              <wp:anchor distT="0" distB="0" distL="114300" distR="114300" simplePos="0" relativeHeight="125829385" behindDoc="0" locked="0" layoutInCell="1" allowOverlap="1">
                <wp:simplePos x="0" y="0"/>
                <wp:positionH relativeFrom="page">
                  <wp:posOffset>5137785</wp:posOffset>
                </wp:positionH>
                <wp:positionV relativeFrom="paragraph">
                  <wp:posOffset>12700</wp:posOffset>
                </wp:positionV>
                <wp:extent cx="1078865" cy="1164590"/>
                <wp:wrapSquare wrapText="left"/>
                <wp:docPr id="14" name="Shape 14"/>
                <a:graphic xmlns:a="http://schemas.openxmlformats.org/drawingml/2006/main">
                  <a:graphicData uri="http://schemas.microsoft.com/office/word/2010/wordprocessingShape">
                    <wps:wsp>
                      <wps:cNvSpPr txBox="1"/>
                      <wps:spPr>
                        <a:xfrm>
                          <a:ext cx="1078865" cy="1164590"/>
                        </a:xfrm>
                        <a:prstGeom prst="rect"/>
                        <a:noFill/>
                      </wps:spPr>
                      <wps:txbx>
                        <w:txbxContent>
                          <w:p>
                            <w:pPr>
                              <w:pStyle w:val="Style5"/>
                              <w:keepNext w:val="0"/>
                              <w:keepLines w:val="0"/>
                              <w:widowControl w:val="0"/>
                              <w:shd w:val="clear" w:color="auto" w:fill="auto"/>
                              <w:bidi w:val="0"/>
                              <w:spacing w:before="0" w:after="360" w:line="240" w:lineRule="auto"/>
                              <w:ind w:left="0" w:right="0" w:firstLine="0"/>
                              <w:jc w:val="center"/>
                              <w:rPr>
                                <w:sz w:val="22"/>
                                <w:szCs w:val="22"/>
                              </w:rPr>
                            </w:pPr>
                            <w:r>
                              <w:rPr>
                                <w:color w:val="000000"/>
                                <w:spacing w:val="0"/>
                                <w:w w:val="100"/>
                                <w:position w:val="0"/>
                                <w:sz w:val="22"/>
                                <w:szCs w:val="22"/>
                              </w:rPr>
                              <w:t>中国注册会计师</w:t>
                            </w:r>
                          </w:p>
                          <w:p>
                            <w:pPr>
                              <w:pStyle w:val="Style5"/>
                              <w:keepNext w:val="0"/>
                              <w:keepLines w:val="0"/>
                              <w:widowControl w:val="0"/>
                              <w:shd w:val="clear" w:color="auto" w:fill="auto"/>
                              <w:bidi w:val="0"/>
                              <w:spacing w:before="0" w:after="320" w:line="240" w:lineRule="auto"/>
                              <w:ind w:left="0" w:right="0" w:firstLine="0"/>
                              <w:jc w:val="center"/>
                              <w:rPr>
                                <w:sz w:val="22"/>
                                <w:szCs w:val="22"/>
                              </w:rPr>
                            </w:pPr>
                            <w:r>
                              <w:rPr>
                                <w:color w:val="000000"/>
                                <w:spacing w:val="0"/>
                                <w:w w:val="100"/>
                                <w:position w:val="0"/>
                                <w:sz w:val="22"/>
                                <w:szCs w:val="22"/>
                              </w:rPr>
                              <w:t>茆广勤</w:t>
                            </w:r>
                          </w:p>
                          <w:p>
                            <w:pPr>
                              <w:pStyle w:val="Style5"/>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项目合伙人</w:t>
                            </w:r>
                            <w:r>
                              <w:rPr>
                                <w:color w:val="000000"/>
                                <w:spacing w:val="0"/>
                                <w:w w:val="100"/>
                                <w:position w:val="0"/>
                                <w:sz w:val="24"/>
                                <w:szCs w:val="24"/>
                              </w:rPr>
                              <w:t>）</w:t>
                            </w:r>
                          </w:p>
                          <w:p>
                            <w:pPr>
                              <w:pStyle w:val="Style5"/>
                              <w:keepNext w:val="0"/>
                              <w:keepLines w:val="0"/>
                              <w:widowControl w:val="0"/>
                              <w:shd w:val="clear" w:color="auto" w:fill="auto"/>
                              <w:bidi w:val="0"/>
                              <w:spacing w:before="0" w:after="32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签名并盖章</w:t>
                            </w:r>
                            <w:r>
                              <w:rPr>
                                <w:color w:val="000000"/>
                                <w:spacing w:val="0"/>
                                <w:w w:val="100"/>
                                <w:position w:val="0"/>
                                <w:sz w:val="24"/>
                                <w:szCs w:val="24"/>
                              </w:rPr>
                              <w:t>）</w:t>
                            </w:r>
                          </w:p>
                        </w:txbxContent>
                      </wps:txbx>
                      <wps:bodyPr lIns="0" tIns="0" rIns="0" bIns="0">
                        <a:noAutoFit/>
                      </wps:bodyPr>
                    </wps:wsp>
                  </a:graphicData>
                </a:graphic>
              </wp:anchor>
            </w:drawing>
          </mc:Choice>
          <mc:Fallback>
            <w:pict>
              <v:shape id="_x0000_s1040" type="#_x0000_t202" style="position:absolute;margin-left:404.55000000000001pt;margin-top:1.pt;width:84.950000000000003pt;height:91.700000000000003pt;z-index:-125829368;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360" w:line="240" w:lineRule="auto"/>
                        <w:ind w:left="0" w:right="0" w:firstLine="0"/>
                        <w:jc w:val="center"/>
                        <w:rPr>
                          <w:sz w:val="22"/>
                          <w:szCs w:val="22"/>
                        </w:rPr>
                      </w:pPr>
                      <w:r>
                        <w:rPr>
                          <w:color w:val="000000"/>
                          <w:spacing w:val="0"/>
                          <w:w w:val="100"/>
                          <w:position w:val="0"/>
                          <w:sz w:val="22"/>
                          <w:szCs w:val="22"/>
                        </w:rPr>
                        <w:t>中国注册会计师</w:t>
                      </w:r>
                    </w:p>
                    <w:p>
                      <w:pPr>
                        <w:pStyle w:val="Style5"/>
                        <w:keepNext w:val="0"/>
                        <w:keepLines w:val="0"/>
                        <w:widowControl w:val="0"/>
                        <w:shd w:val="clear" w:color="auto" w:fill="auto"/>
                        <w:bidi w:val="0"/>
                        <w:spacing w:before="0" w:after="320" w:line="240" w:lineRule="auto"/>
                        <w:ind w:left="0" w:right="0" w:firstLine="0"/>
                        <w:jc w:val="center"/>
                        <w:rPr>
                          <w:sz w:val="22"/>
                          <w:szCs w:val="22"/>
                        </w:rPr>
                      </w:pPr>
                      <w:r>
                        <w:rPr>
                          <w:color w:val="000000"/>
                          <w:spacing w:val="0"/>
                          <w:w w:val="100"/>
                          <w:position w:val="0"/>
                          <w:sz w:val="22"/>
                          <w:szCs w:val="22"/>
                        </w:rPr>
                        <w:t>茆广勤</w:t>
                      </w:r>
                    </w:p>
                    <w:p>
                      <w:pPr>
                        <w:pStyle w:val="Style5"/>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项目合伙人</w:t>
                      </w:r>
                      <w:r>
                        <w:rPr>
                          <w:color w:val="000000"/>
                          <w:spacing w:val="0"/>
                          <w:w w:val="100"/>
                          <w:position w:val="0"/>
                          <w:sz w:val="24"/>
                          <w:szCs w:val="24"/>
                        </w:rPr>
                        <w:t>）</w:t>
                      </w:r>
                    </w:p>
                    <w:p>
                      <w:pPr>
                        <w:pStyle w:val="Style5"/>
                        <w:keepNext w:val="0"/>
                        <w:keepLines w:val="0"/>
                        <w:widowControl w:val="0"/>
                        <w:shd w:val="clear" w:color="auto" w:fill="auto"/>
                        <w:bidi w:val="0"/>
                        <w:spacing w:before="0" w:after="32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签名并盖章</w:t>
                      </w:r>
                      <w:r>
                        <w:rPr>
                          <w:color w:val="000000"/>
                          <w:spacing w:val="0"/>
                          <w:w w:val="100"/>
                          <w:position w:val="0"/>
                          <w:sz w:val="24"/>
                          <w:szCs w:val="24"/>
                        </w:rPr>
                        <w:t>）</w:t>
                      </w:r>
                    </w:p>
                  </w:txbxContent>
                </v:textbox>
                <w10:wrap type="square" side="left" anchorx="page"/>
              </v:shape>
            </w:pict>
          </mc:Fallback>
        </mc:AlternateContent>
      </w:r>
      <w:r>
        <w:rPr>
          <w:color w:val="000000"/>
          <w:spacing w:val="0"/>
          <w:w w:val="100"/>
          <w:position w:val="0"/>
          <w:sz w:val="22"/>
          <w:szCs w:val="22"/>
        </w:rPr>
        <w:t>德勤华永会计师事务所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特殊普通合伙</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0" w:line="240" w:lineRule="auto"/>
        <w:ind w:left="266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盖章</w:t>
      </w:r>
      <w:r>
        <w:rPr>
          <w:color w:val="000000"/>
          <w:spacing w:val="0"/>
          <w:w w:val="100"/>
          <w:position w:val="0"/>
          <w:sz w:val="24"/>
          <w:szCs w:val="24"/>
        </w:rPr>
        <w:t>）</w:t>
      </w:r>
    </w:p>
    <w:p>
      <w:pPr>
        <w:pStyle w:val="Style5"/>
        <w:keepNext w:val="0"/>
        <w:keepLines w:val="0"/>
        <w:widowControl w:val="0"/>
        <w:shd w:val="clear" w:color="auto" w:fill="auto"/>
        <w:bidi w:val="0"/>
        <w:spacing w:before="0" w:after="2620" w:line="240" w:lineRule="auto"/>
        <w:ind w:left="2460" w:right="0" w:firstLine="0"/>
        <w:jc w:val="left"/>
        <w:rPr>
          <w:sz w:val="22"/>
          <w:szCs w:val="22"/>
        </w:rPr>
      </w:pP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上海</w:t>
      </w:r>
    </w:p>
    <w:p>
      <w:pPr>
        <w:pStyle w:val="Style5"/>
        <w:keepNext w:val="0"/>
        <w:keepLines w:val="0"/>
        <w:widowControl w:val="0"/>
        <w:shd w:val="clear" w:color="auto" w:fill="auto"/>
        <w:bidi w:val="0"/>
        <w:spacing w:before="0" w:after="320" w:line="240" w:lineRule="auto"/>
        <w:ind w:left="7740" w:right="0" w:firstLine="0"/>
        <w:jc w:val="left"/>
        <w:rPr>
          <w:sz w:val="22"/>
          <w:szCs w:val="22"/>
        </w:rPr>
      </w:pPr>
      <w:r>
        <w:rPr>
          <w:color w:val="000000"/>
          <w:spacing w:val="0"/>
          <w:w w:val="100"/>
          <w:position w:val="0"/>
          <w:sz w:val="22"/>
          <w:szCs w:val="22"/>
        </w:rPr>
        <w:t>中国注册会计师</w:t>
      </w:r>
    </w:p>
    <w:p>
      <w:pPr>
        <w:pStyle w:val="Style5"/>
        <w:keepNext w:val="0"/>
        <w:keepLines w:val="0"/>
        <w:widowControl w:val="0"/>
        <w:shd w:val="clear" w:color="auto" w:fill="auto"/>
        <w:bidi w:val="0"/>
        <w:spacing w:before="0" w:after="320" w:line="240" w:lineRule="auto"/>
        <w:ind w:left="8280" w:right="0" w:firstLine="0"/>
        <w:jc w:val="left"/>
        <w:rPr>
          <w:sz w:val="22"/>
          <w:szCs w:val="22"/>
        </w:rPr>
      </w:pPr>
      <w:r>
        <w:rPr>
          <w:color w:val="000000"/>
          <w:spacing w:val="0"/>
          <w:w w:val="100"/>
          <w:position w:val="0"/>
          <w:sz w:val="22"/>
          <w:szCs w:val="22"/>
        </w:rPr>
        <w:t>吴无逸</w:t>
      </w:r>
    </w:p>
    <w:p>
      <w:pPr>
        <w:pStyle w:val="Style5"/>
        <w:keepNext w:val="0"/>
        <w:keepLines w:val="0"/>
        <w:widowControl w:val="0"/>
        <w:shd w:val="clear" w:color="auto" w:fill="auto"/>
        <w:bidi w:val="0"/>
        <w:spacing w:before="0" w:after="1940" w:line="240" w:lineRule="auto"/>
        <w:ind w:left="796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签名并盖章</w:t>
      </w:r>
      <w:r>
        <w:rPr>
          <w:color w:val="000000"/>
          <w:spacing w:val="0"/>
          <w:w w:val="100"/>
          <w:position w:val="0"/>
          <w:sz w:val="24"/>
          <w:szCs w:val="24"/>
        </w:rPr>
        <w:t>）</w:t>
      </w:r>
    </w:p>
    <w:p>
      <w:pPr>
        <w:pStyle w:val="Style89"/>
        <w:keepNext w:val="0"/>
        <w:keepLines w:val="0"/>
        <w:widowControl w:val="0"/>
        <w:shd w:val="clear" w:color="auto" w:fill="auto"/>
        <w:bidi w:val="0"/>
        <w:spacing w:before="0" w:after="320" w:line="240" w:lineRule="auto"/>
        <w:ind w:left="7740" w:right="0" w:firstLine="0"/>
        <w:jc w:val="left"/>
        <w:rPr>
          <w:sz w:val="22"/>
          <w:szCs w:val="22"/>
        </w:rPr>
        <w:sectPr>
          <w:footnotePr>
            <w:pos w:val="pageBottom"/>
            <w:numFmt w:val="decimal"/>
            <w:numRestart w:val="continuous"/>
          </w:footnotePr>
          <w:pgSz w:w="11900" w:h="16840"/>
          <w:pgMar w:top="3831" w:right="382" w:bottom="1801" w:left="277" w:header="0" w:footer="3" w:gutter="0"/>
          <w:cols w:space="720"/>
          <w:noEndnote/>
          <w:rtlGutter w:val="0"/>
          <w:docGrid w:linePitch="360"/>
        </w:sectPr>
      </w:pPr>
      <w:r>
        <w:rPr>
          <w:color w:val="000000"/>
          <w:spacing w:val="0"/>
          <w:w w:val="100"/>
          <w:position w:val="0"/>
          <w:sz w:val="24"/>
          <w:szCs w:val="24"/>
          <w:u w:val="none"/>
        </w:rPr>
        <w:t>2022</w:t>
      </w:r>
      <w:r>
        <w:rPr>
          <w:rFonts w:ascii="SimSun" w:eastAsia="SimSun" w:hAnsi="SimSun" w:cs="SimSun"/>
          <w:color w:val="000000"/>
          <w:spacing w:val="0"/>
          <w:w w:val="100"/>
          <w:position w:val="0"/>
          <w:sz w:val="22"/>
          <w:szCs w:val="22"/>
          <w:u w:val="none"/>
        </w:rPr>
        <w:t>年</w:t>
      </w:r>
      <w:r>
        <w:rPr>
          <w:color w:val="000000"/>
          <w:spacing w:val="0"/>
          <w:w w:val="100"/>
          <w:position w:val="0"/>
          <w:sz w:val="24"/>
          <w:szCs w:val="24"/>
          <w:u w:val="none"/>
        </w:rPr>
        <w:t>3</w:t>
      </w:r>
      <w:r>
        <w:rPr>
          <w:rFonts w:ascii="SimSun" w:eastAsia="SimSun" w:hAnsi="SimSun" w:cs="SimSun"/>
          <w:color w:val="000000"/>
          <w:spacing w:val="0"/>
          <w:w w:val="100"/>
          <w:position w:val="0"/>
          <w:sz w:val="22"/>
          <w:szCs w:val="22"/>
          <w:u w:val="none"/>
        </w:rPr>
        <w:t>月</w:t>
      </w:r>
      <w:r>
        <w:rPr>
          <w:color w:val="000000"/>
          <w:spacing w:val="0"/>
          <w:w w:val="100"/>
          <w:position w:val="0"/>
          <w:sz w:val="24"/>
          <w:szCs w:val="24"/>
          <w:u w:val="none"/>
        </w:rPr>
        <w:t>11</w:t>
      </w:r>
      <w:r>
        <w:rPr>
          <w:rFonts w:ascii="SimSun" w:eastAsia="SimSun" w:hAnsi="SimSun" w:cs="SimSun"/>
          <w:color w:val="000000"/>
          <w:spacing w:val="0"/>
          <w:w w:val="100"/>
          <w:position w:val="0"/>
          <w:sz w:val="22"/>
          <w:szCs w:val="22"/>
          <w:u w:val="none"/>
        </w:rPr>
        <w:t>日</w:t>
      </w:r>
    </w:p>
    <w:p>
      <w:pPr>
        <w:pStyle w:val="Style97"/>
        <w:keepNext/>
        <w:keepLines/>
        <w:widowControl w:val="0"/>
        <w:shd w:val="clear" w:color="auto" w:fill="auto"/>
        <w:bidi w:val="0"/>
        <w:spacing w:before="0" w:after="40" w:line="240" w:lineRule="auto"/>
        <w:ind w:left="0" w:right="0" w:firstLine="720"/>
        <w:jc w:val="left"/>
      </w:pPr>
      <w:bookmarkStart w:id="698" w:name="bookmark698"/>
      <w:bookmarkStart w:id="699" w:name="bookmark699"/>
      <w:bookmarkStart w:id="700" w:name="bookmark700"/>
      <w:r>
        <w:rPr>
          <w:color w:val="000000"/>
          <w:spacing w:val="0"/>
          <w:w w:val="100"/>
          <w:position w:val="0"/>
        </w:rPr>
        <w:t>资产负债表</w:t>
      </w:r>
      <w:bookmarkEnd w:id="698"/>
      <w:bookmarkEnd w:id="699"/>
      <w:bookmarkEnd w:id="700"/>
    </w:p>
    <w:p>
      <w:pPr>
        <w:pStyle w:val="Style89"/>
        <w:keepNext w:val="0"/>
        <w:keepLines w:val="0"/>
        <w:widowControl w:val="0"/>
        <w:pBdr>
          <w:bottom w:val="single" w:sz="4" w:space="0" w:color="auto"/>
        </w:pBdr>
        <w:shd w:val="clear" w:color="auto" w:fill="auto"/>
        <w:bidi w:val="0"/>
        <w:spacing w:before="0" w:line="240" w:lineRule="auto"/>
        <w:ind w:left="0" w:right="0" w:firstLine="72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7"/>
        <w:keepNext/>
        <w:keepLines/>
        <w:widowControl w:val="0"/>
        <w:shd w:val="clear" w:color="auto" w:fill="auto"/>
        <w:bidi w:val="0"/>
        <w:spacing w:before="0" w:after="260" w:line="240" w:lineRule="auto"/>
        <w:ind w:left="0" w:right="0" w:firstLine="720"/>
        <w:jc w:val="both"/>
        <w:rPr>
          <w:sz w:val="24"/>
          <w:szCs w:val="24"/>
        </w:rPr>
      </w:pPr>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701"/>
      <w:bookmarkEnd w:id="702"/>
      <w:bookmarkEnd w:id="703"/>
    </w:p>
    <w:tbl>
      <w:tblPr>
        <w:tblOverlap w:val="never"/>
        <w:jc w:val="center"/>
        <w:tblLayout w:type="fixed"/>
      </w:tblPr>
      <w:tblGrid>
        <w:gridCol w:w="2299"/>
        <w:gridCol w:w="1483"/>
        <w:gridCol w:w="1598"/>
        <w:gridCol w:w="1598"/>
        <w:gridCol w:w="1598"/>
        <w:gridCol w:w="1603"/>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r>
      <w:tr>
        <w:trPr>
          <w:trHeight w:val="22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，十五</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46,273,232,520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35,215,402,475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1,944,193,474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1,596,328,709</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3,286,826,770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1,560,063,669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519,327,657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473,265,790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19,351,822,927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19,460,867,809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7,510,160,500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6,758,909,674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3,244,458,845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3,403,492,348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1,846,262,040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1,951,390,703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合同资产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467,321,379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822,749,051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751,410,094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43,001,037,469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39,007,515,458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126,251,860,201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108,653,656,977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1,944,193,474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1,596,328,709</w:t>
            </w:r>
          </w:p>
        </w:tc>
      </w:tr>
      <w:tr>
        <w:trPr>
          <w:trHeight w:val="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906,275,865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721,083,937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1,400,805,583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546,557,108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5"/>
                <w:szCs w:val="15"/>
              </w:rPr>
              <w:t>，十五</w:t>
            </w: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48,416,397,472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44,458,188,640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101,767,658,479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101,631,578,479</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其他权益工具投资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2,005,602,463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1,838,300,911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802,977,478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933,690,125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债权投资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十五⑶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743,091,713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3,046,096,088</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310,915,659,439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315,331,979,845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3,354,473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3,577,295</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41,191,613,356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47,155,612,294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使用权资产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23,931,984,248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29,052,403,370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27,172,872,329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24,942,470,340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8,267,309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8,515,950</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2,071,221,495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981,162,727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3,049,943,053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2,851,607,849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271,324,700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208,114,399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4,895,942,172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4,800,601,886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467,032,619,653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473,821,773,431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102,522,371,974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104,689,767,812</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593,284,479,854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582,475,430,408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104,466,565,448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106,286,096,521</w:t>
            </w:r>
          </w:p>
        </w:tc>
      </w:tr>
    </w:tbl>
    <w:p>
      <w:pPr>
        <w:spacing w:lineRule="exact" w:line="1"/>
        <w:rPr>
          <w:sz w:val="2"/>
          <w:szCs w:val="2"/>
        </w:rPr>
      </w:pPr>
      <w:r>
        <w:br w:type="page"/>
      </w:r>
    </w:p>
    <w:p>
      <w:pPr>
        <w:pStyle w:val="Style97"/>
        <w:keepNext/>
        <w:keepLines/>
        <w:widowControl w:val="0"/>
        <w:shd w:val="clear" w:color="auto" w:fill="auto"/>
        <w:bidi w:val="0"/>
        <w:spacing w:before="0" w:after="0" w:line="240" w:lineRule="auto"/>
        <w:ind w:left="0" w:right="0" w:firstLine="720"/>
        <w:jc w:val="both"/>
      </w:pPr>
      <w:bookmarkStart w:id="704" w:name="bookmark704"/>
      <w:bookmarkStart w:id="705" w:name="bookmark705"/>
      <w:bookmarkStart w:id="706" w:name="bookmark706"/>
      <w:r>
        <w:rPr>
          <w:color w:val="000000"/>
          <w:spacing w:val="0"/>
          <w:w w:val="100"/>
          <w:position w:val="0"/>
        </w:rPr>
        <w:t>资产负债表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704"/>
      <w:bookmarkEnd w:id="705"/>
      <w:bookmarkEnd w:id="706"/>
    </w:p>
    <w:p>
      <w:pPr>
        <w:pStyle w:val="Style89"/>
        <w:keepNext w:val="0"/>
        <w:keepLines w:val="0"/>
        <w:widowControl w:val="0"/>
        <w:pBdr>
          <w:bottom w:val="single" w:sz="4" w:space="0" w:color="auto"/>
        </w:pBdr>
        <w:shd w:val="clear" w:color="auto" w:fill="auto"/>
        <w:bidi w:val="0"/>
        <w:spacing w:before="0" w:after="0" w:line="240" w:lineRule="auto"/>
        <w:ind w:left="0" w:right="0" w:firstLine="72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97"/>
        <w:keepNext/>
        <w:keepLines/>
        <w:widowControl w:val="0"/>
        <w:shd w:val="clear" w:color="auto" w:fill="auto"/>
        <w:bidi w:val="0"/>
        <w:spacing w:before="0" w:after="280" w:line="240" w:lineRule="auto"/>
        <w:ind w:left="0" w:right="0" w:firstLine="720"/>
        <w:jc w:val="both"/>
        <w:rPr>
          <w:sz w:val="24"/>
          <w:szCs w:val="24"/>
        </w:rPr>
      </w:pPr>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707"/>
      <w:bookmarkEnd w:id="708"/>
      <w:bookmarkEnd w:id="709"/>
    </w:p>
    <w:tbl>
      <w:tblPr>
        <w:tblOverlap w:val="never"/>
        <w:jc w:val="center"/>
        <w:tblLayout w:type="fixed"/>
      </w:tblPr>
      <w:tblGrid>
        <w:gridCol w:w="2347"/>
        <w:gridCol w:w="1440"/>
        <w:gridCol w:w="1594"/>
        <w:gridCol w:w="1598"/>
        <w:gridCol w:w="1598"/>
        <w:gridCol w:w="1608"/>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负债和股东权益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p>
            <w:pPr>
              <w:pStyle w:val="Style2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公司</w:t>
            </w:r>
          </w:p>
        </w:tc>
      </w:tr>
      <w:tr>
        <w:trPr>
          <w:trHeight w:val="22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385,264,597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740,000,000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6,323,255,124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5,481,792,162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123,440,429,958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114,882,554,217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1,861,255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6,503,742</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121,988,827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358,764,131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45,715,630,416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42,956,614,980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15,711,553,418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14,537,236,219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1,438,429,020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2,813,616,614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3,844,170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8,283,857</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15,855,862,482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17,681,860,199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865,408,798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1,782,970,830</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一年内到期的非流动负债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15,561,385,455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12,993,807,451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10,584,037,687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9,795,756,312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235,137,836,984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222,242,002,285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871,114,223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1,797,758,429</w:t>
            </w:r>
          </w:p>
        </w:tc>
      </w:tr>
      <w:tr>
        <w:trPr>
          <w:trHeight w:val="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1,834,976,244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2,482,059,823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2,997,466,647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租赁负债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10,415,025,610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16,458,300,928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12,275,866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22,850,725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长期应付职工薪酬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95,970,000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71,496,306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122,853,239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6,951,018,493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5,926,893,250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1,636,795,301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796,405,653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867,376,217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3,999,217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21,936,290,970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28,759,472,549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257,074,127,954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251,001,474,834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871,114,223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1,797,758,429</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5"/>
                <w:szCs w:val="15"/>
              </w:rPr>
              <w:t>，十五</w:t>
            </w: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30,991,393,212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31,015,595,487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30,991,393,212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31,015,595,487</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，十五</w:t>
            </w: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80,443,139,550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80,390,793,406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73,428,483,148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73,359,927,495</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(32)</w:t>
            </w:r>
            <w:r>
              <w:rPr>
                <w:color w:val="000000"/>
                <w:spacing w:val="0"/>
                <w:w w:val="100"/>
                <w:position w:val="0"/>
                <w:sz w:val="15"/>
                <w:szCs w:val="15"/>
              </w:rPr>
              <w:t>，十五</w:t>
            </w: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3,082,525,543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1,797,153,768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3,082,525,543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1,797,153,768</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(3,485,216,619)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(3,473,294,962)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507,501,616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370,625,101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2,197,772,952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1,810,191,549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2,197,772,952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1,810,191,549</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41,645,083,677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39,391,758,341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60,327,456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99,777,329</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归属于母公司股东权益合计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149,217,148,845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147,708,515,154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103,595,451,225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104,488,338,092</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186,993,203,055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183,765,440,420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336,210,351,900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331,473,955,574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103,595,451,225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104,488,338,092</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593,284,479,854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582,475,430,408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104,466,565,448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106,286,096,521</w:t>
            </w:r>
          </w:p>
        </w:tc>
      </w:tr>
    </w:tbl>
    <w:p>
      <w:pPr>
        <w:widowControl w:val="0"/>
        <w:spacing w:after="279" w:line="1" w:lineRule="exact"/>
      </w:pPr>
    </w:p>
    <w:p>
      <w:pPr>
        <w:pStyle w:val="Style97"/>
        <w:keepNext/>
        <w:keepLines/>
        <w:widowControl w:val="0"/>
        <w:shd w:val="clear" w:color="auto" w:fill="auto"/>
        <w:bidi w:val="0"/>
        <w:spacing w:before="0" w:after="160" w:line="240" w:lineRule="auto"/>
        <w:ind w:left="0" w:right="0" w:firstLine="720"/>
        <w:jc w:val="both"/>
      </w:pPr>
      <w:bookmarkStart w:id="710" w:name="bookmark710"/>
      <w:bookmarkStart w:id="711" w:name="bookmark711"/>
      <w:bookmarkStart w:id="712" w:name="bookmark712"/>
      <w:r>
        <w:rPr>
          <w:color w:val="000000"/>
          <w:spacing w:val="0"/>
          <w:w w:val="100"/>
          <w:position w:val="0"/>
        </w:rPr>
        <w:t>后附财务报表附注为财务报表的组成部分。</w:t>
      </w:r>
      <w:bookmarkEnd w:id="710"/>
      <w:bookmarkEnd w:id="711"/>
      <w:bookmarkEnd w:id="712"/>
    </w:p>
    <w:p>
      <w:pPr>
        <w:widowControl w:val="0"/>
        <w:spacing w:line="1" w:lineRule="exact"/>
      </w:pPr>
      <w:r>
        <mc:AlternateContent>
          <mc:Choice Requires="wps">
            <w:drawing>
              <wp:anchor distT="812800" distB="9525" distL="0" distR="0" simplePos="0" relativeHeight="125829387" behindDoc="0" locked="0" layoutInCell="1" allowOverlap="1">
                <wp:simplePos x="0" y="0"/>
                <wp:positionH relativeFrom="page">
                  <wp:posOffset>694055</wp:posOffset>
                </wp:positionH>
                <wp:positionV relativeFrom="paragraph">
                  <wp:posOffset>812800</wp:posOffset>
                </wp:positionV>
                <wp:extent cx="1088390" cy="179705"/>
                <wp:wrapTopAndBottom/>
                <wp:docPr id="16" name="Shape 16"/>
                <a:graphic xmlns:a="http://schemas.openxmlformats.org/drawingml/2006/main">
                  <a:graphicData uri="http://schemas.microsoft.com/office/word/2010/wordprocessingShape">
                    <wps:wsp>
                      <wps:cNvSpPr txBox="1"/>
                      <wps:spPr>
                        <a:xfrm>
                          <a:ext cx="1088390" cy="179705"/>
                        </a:xfrm>
                        <a:prstGeom prst="rect"/>
                        <a:noFill/>
                      </wps:spPr>
                      <wps:txbx>
                        <w:txbxContent>
                          <w:p>
                            <w:pPr>
                              <w:pStyle w:val="Style97"/>
                              <w:keepNext/>
                              <w:keepLines/>
                              <w:widowControl w:val="0"/>
                              <w:shd w:val="clear" w:color="auto" w:fill="auto"/>
                              <w:bidi w:val="0"/>
                              <w:spacing w:before="0" w:after="0" w:line="240" w:lineRule="auto"/>
                              <w:ind w:left="0" w:right="0" w:firstLine="0"/>
                              <w:jc w:val="left"/>
                            </w:pPr>
                            <w:bookmarkStart w:id="680" w:name="bookmark680"/>
                            <w:bookmarkStart w:id="681" w:name="bookmark681"/>
                            <w:bookmarkStart w:id="682" w:name="bookmark682"/>
                            <w:r>
                              <w:rPr>
                                <w:color w:val="000000"/>
                                <w:spacing w:val="0"/>
                                <w:w w:val="100"/>
                                <w:position w:val="0"/>
                              </w:rPr>
                              <w:t>董事长：刘烈宏</w:t>
                            </w:r>
                            <w:bookmarkEnd w:id="680"/>
                            <w:bookmarkEnd w:id="681"/>
                            <w:bookmarkEnd w:id="682"/>
                          </w:p>
                        </w:txbxContent>
                      </wps:txbx>
                      <wps:bodyPr wrap="none" lIns="0" tIns="0" rIns="0" bIns="0">
                        <a:noAutoFit/>
                      </wps:bodyPr>
                    </wps:wsp>
                  </a:graphicData>
                </a:graphic>
              </wp:anchor>
            </w:drawing>
          </mc:Choice>
          <mc:Fallback>
            <w:pict>
              <v:shape id="_x0000_s1042" type="#_x0000_t202" style="position:absolute;margin-left:54.649999999999999pt;margin-top:64.pt;width:85.700000000000003pt;height:14.15pt;z-index:-125829366;mso-wrap-distance-left:0;mso-wrap-distance-top:64.pt;mso-wrap-distance-right:0;mso-wrap-distance-bottom:0.75pt;mso-position-horizontal-relative:page" filled="f" stroked="f">
                <v:textbox inset="0,0,0,0">
                  <w:txbxContent>
                    <w:p>
                      <w:pPr>
                        <w:pStyle w:val="Style97"/>
                        <w:keepNext/>
                        <w:keepLines/>
                        <w:widowControl w:val="0"/>
                        <w:shd w:val="clear" w:color="auto" w:fill="auto"/>
                        <w:bidi w:val="0"/>
                        <w:spacing w:before="0" w:after="0" w:line="240" w:lineRule="auto"/>
                        <w:ind w:left="0" w:right="0" w:firstLine="0"/>
                        <w:jc w:val="left"/>
                      </w:pPr>
                      <w:bookmarkStart w:id="680" w:name="bookmark680"/>
                      <w:bookmarkStart w:id="681" w:name="bookmark681"/>
                      <w:bookmarkStart w:id="682" w:name="bookmark682"/>
                      <w:r>
                        <w:rPr>
                          <w:color w:val="000000"/>
                          <w:spacing w:val="0"/>
                          <w:w w:val="100"/>
                          <w:position w:val="0"/>
                        </w:rPr>
                        <w:t>董事长：刘烈宏</w:t>
                      </w:r>
                      <w:bookmarkEnd w:id="680"/>
                      <w:bookmarkEnd w:id="681"/>
                      <w:bookmarkEnd w:id="682"/>
                    </w:p>
                  </w:txbxContent>
                </v:textbox>
                <w10:wrap type="topAndBottom" anchorx="page"/>
              </v:shape>
            </w:pict>
          </mc:Fallback>
        </mc:AlternateContent>
      </w:r>
      <w:r>
        <mc:AlternateContent>
          <mc:Choice Requires="wps">
            <w:drawing>
              <wp:anchor distT="812800" distB="0" distL="0" distR="0" simplePos="0" relativeHeight="125829389" behindDoc="0" locked="0" layoutInCell="1" allowOverlap="1">
                <wp:simplePos x="0" y="0"/>
                <wp:positionH relativeFrom="page">
                  <wp:posOffset>2976880</wp:posOffset>
                </wp:positionH>
                <wp:positionV relativeFrom="paragraph">
                  <wp:posOffset>812800</wp:posOffset>
                </wp:positionV>
                <wp:extent cx="1395730" cy="189230"/>
                <wp:wrapTopAndBottom/>
                <wp:docPr id="18" name="Shape 18"/>
                <a:graphic xmlns:a="http://schemas.openxmlformats.org/drawingml/2006/main">
                  <a:graphicData uri="http://schemas.microsoft.com/office/word/2010/wordprocessingShape">
                    <wps:wsp>
                      <wps:cNvSpPr txBox="1"/>
                      <wps:spPr>
                        <a:xfrm>
                          <a:ext cx="1395730" cy="189230"/>
                        </a:xfrm>
                        <a:prstGeom prst="rect"/>
                        <a:noFill/>
                      </wps:spPr>
                      <wps:txbx>
                        <w:txbxContent>
                          <w:p>
                            <w:pPr>
                              <w:pStyle w:val="Style97"/>
                              <w:keepNext/>
                              <w:keepLines/>
                              <w:widowControl w:val="0"/>
                              <w:shd w:val="clear" w:color="auto" w:fill="auto"/>
                              <w:bidi w:val="0"/>
                              <w:spacing w:before="0" w:after="0" w:line="240" w:lineRule="auto"/>
                              <w:ind w:left="0" w:right="0" w:firstLine="0"/>
                              <w:jc w:val="center"/>
                            </w:pPr>
                            <w:bookmarkStart w:id="683" w:name="bookmark683"/>
                            <w:bookmarkStart w:id="684" w:name="bookmark684"/>
                            <w:bookmarkStart w:id="685" w:name="bookmark685"/>
                            <w:r>
                              <w:rPr>
                                <w:color w:val="000000"/>
                                <w:spacing w:val="0"/>
                                <w:w w:val="100"/>
                                <w:position w:val="0"/>
                              </w:rPr>
                              <w:t>财务负责人：李玉焯</w:t>
                            </w:r>
                            <w:bookmarkEnd w:id="683"/>
                            <w:bookmarkEnd w:id="684"/>
                            <w:bookmarkEnd w:id="685"/>
                          </w:p>
                        </w:txbxContent>
                      </wps:txbx>
                      <wps:bodyPr wrap="none" lIns="0" tIns="0" rIns="0" bIns="0">
                        <a:noAutoFit/>
                      </wps:bodyPr>
                    </wps:wsp>
                  </a:graphicData>
                </a:graphic>
              </wp:anchor>
            </w:drawing>
          </mc:Choice>
          <mc:Fallback>
            <w:pict>
              <v:shape id="_x0000_s1044" type="#_x0000_t202" style="position:absolute;margin-left:234.40000000000001pt;margin-top:64.pt;width:109.90000000000001pt;height:14.9pt;z-index:-125829364;mso-wrap-distance-left:0;mso-wrap-distance-top:64.pt;mso-wrap-distance-right:0;mso-position-horizontal-relative:page" filled="f" stroked="f">
                <v:textbox inset="0,0,0,0">
                  <w:txbxContent>
                    <w:p>
                      <w:pPr>
                        <w:pStyle w:val="Style97"/>
                        <w:keepNext/>
                        <w:keepLines/>
                        <w:widowControl w:val="0"/>
                        <w:shd w:val="clear" w:color="auto" w:fill="auto"/>
                        <w:bidi w:val="0"/>
                        <w:spacing w:before="0" w:after="0" w:line="240" w:lineRule="auto"/>
                        <w:ind w:left="0" w:right="0" w:firstLine="0"/>
                        <w:jc w:val="center"/>
                      </w:pPr>
                      <w:bookmarkStart w:id="683" w:name="bookmark683"/>
                      <w:bookmarkStart w:id="684" w:name="bookmark684"/>
                      <w:bookmarkStart w:id="685" w:name="bookmark685"/>
                      <w:r>
                        <w:rPr>
                          <w:color w:val="000000"/>
                          <w:spacing w:val="0"/>
                          <w:w w:val="100"/>
                          <w:position w:val="0"/>
                        </w:rPr>
                        <w:t>财务负责人：李玉焯</w:t>
                      </w:r>
                      <w:bookmarkEnd w:id="683"/>
                      <w:bookmarkEnd w:id="684"/>
                      <w:bookmarkEnd w:id="685"/>
                    </w:p>
                  </w:txbxContent>
                </v:textbox>
                <w10:wrap type="topAndBottom" anchorx="page"/>
              </v:shape>
            </w:pict>
          </mc:Fallback>
        </mc:AlternateContent>
      </w:r>
      <w:r>
        <mc:AlternateContent>
          <mc:Choice Requires="wps">
            <w:drawing>
              <wp:anchor distT="812800" distB="6350" distL="0" distR="0" simplePos="0" relativeHeight="125829391" behindDoc="0" locked="0" layoutInCell="1" allowOverlap="1">
                <wp:simplePos x="0" y="0"/>
                <wp:positionH relativeFrom="page">
                  <wp:posOffset>5400040</wp:posOffset>
                </wp:positionH>
                <wp:positionV relativeFrom="paragraph">
                  <wp:posOffset>812800</wp:posOffset>
                </wp:positionV>
                <wp:extent cx="1395730" cy="182880"/>
                <wp:wrapTopAndBottom/>
                <wp:docPr id="20" name="Shape 20"/>
                <a:graphic xmlns:a="http://schemas.openxmlformats.org/drawingml/2006/main">
                  <a:graphicData uri="http://schemas.microsoft.com/office/word/2010/wordprocessingShape">
                    <wps:wsp>
                      <wps:cNvSpPr txBox="1"/>
                      <wps:spPr>
                        <a:xfrm>
                          <a:ext cx="1395730" cy="182880"/>
                        </a:xfrm>
                        <a:prstGeom prst="rect"/>
                        <a:noFill/>
                      </wps:spPr>
                      <wps:txbx>
                        <w:txbxContent>
                          <w:p>
                            <w:pPr>
                              <w:pStyle w:val="Style97"/>
                              <w:keepNext/>
                              <w:keepLines/>
                              <w:widowControl w:val="0"/>
                              <w:shd w:val="clear" w:color="auto" w:fill="auto"/>
                              <w:bidi w:val="0"/>
                              <w:spacing w:before="0" w:after="0" w:line="240" w:lineRule="auto"/>
                              <w:ind w:left="0" w:right="0" w:firstLine="0"/>
                              <w:jc w:val="left"/>
                            </w:pPr>
                            <w:bookmarkStart w:id="686" w:name="bookmark686"/>
                            <w:bookmarkStart w:id="687" w:name="bookmark687"/>
                            <w:bookmarkStart w:id="688" w:name="bookmark688"/>
                            <w:r>
                              <w:rPr>
                                <w:color w:val="000000"/>
                                <w:spacing w:val="0"/>
                                <w:w w:val="100"/>
                                <w:position w:val="0"/>
                              </w:rPr>
                              <w:t>财务部总经理：王芳</w:t>
                            </w:r>
                            <w:bookmarkEnd w:id="686"/>
                            <w:bookmarkEnd w:id="687"/>
                            <w:bookmarkEnd w:id="688"/>
                          </w:p>
                        </w:txbxContent>
                      </wps:txbx>
                      <wps:bodyPr wrap="none" lIns="0" tIns="0" rIns="0" bIns="0">
                        <a:noAutoFit/>
                      </wps:bodyPr>
                    </wps:wsp>
                  </a:graphicData>
                </a:graphic>
              </wp:anchor>
            </w:drawing>
          </mc:Choice>
          <mc:Fallback>
            <w:pict>
              <v:shape id="_x0000_s1046" type="#_x0000_t202" style="position:absolute;margin-left:425.19999999999999pt;margin-top:64.pt;width:109.90000000000001pt;height:14.4pt;z-index:-125829362;mso-wrap-distance-left:0;mso-wrap-distance-top:64.pt;mso-wrap-distance-right:0;mso-wrap-distance-bottom:0.5pt;mso-position-horizontal-relative:page" filled="f" stroked="f">
                <v:textbox inset="0,0,0,0">
                  <w:txbxContent>
                    <w:p>
                      <w:pPr>
                        <w:pStyle w:val="Style97"/>
                        <w:keepNext/>
                        <w:keepLines/>
                        <w:widowControl w:val="0"/>
                        <w:shd w:val="clear" w:color="auto" w:fill="auto"/>
                        <w:bidi w:val="0"/>
                        <w:spacing w:before="0" w:after="0" w:line="240" w:lineRule="auto"/>
                        <w:ind w:left="0" w:right="0" w:firstLine="0"/>
                        <w:jc w:val="left"/>
                      </w:pPr>
                      <w:bookmarkStart w:id="686" w:name="bookmark686"/>
                      <w:bookmarkStart w:id="687" w:name="bookmark687"/>
                      <w:bookmarkStart w:id="688" w:name="bookmark688"/>
                      <w:r>
                        <w:rPr>
                          <w:color w:val="000000"/>
                          <w:spacing w:val="0"/>
                          <w:w w:val="100"/>
                          <w:position w:val="0"/>
                        </w:rPr>
                        <w:t>财务部总经理：王芳</w:t>
                      </w:r>
                      <w:bookmarkEnd w:id="686"/>
                      <w:bookmarkEnd w:id="687"/>
                      <w:bookmarkEnd w:id="688"/>
                    </w:p>
                  </w:txbxContent>
                </v:textbox>
                <w10:wrap type="topAndBottom" anchorx="page"/>
              </v:shape>
            </w:pict>
          </mc:Fallback>
        </mc:AlternateContent>
      </w:r>
      <w:r>
        <w:br w:type="page"/>
      </w:r>
    </w:p>
    <w:p>
      <w:pPr>
        <w:pStyle w:val="Style97"/>
        <w:keepNext/>
        <w:keepLines/>
        <w:widowControl w:val="0"/>
        <w:shd w:val="clear" w:color="auto" w:fill="auto"/>
        <w:bidi w:val="0"/>
        <w:spacing w:before="0" w:after="40" w:line="240" w:lineRule="auto"/>
        <w:ind w:left="0" w:right="0" w:firstLine="0"/>
        <w:jc w:val="left"/>
      </w:pPr>
      <w:bookmarkStart w:id="713" w:name="bookmark713"/>
      <w:bookmarkStart w:id="714" w:name="bookmark714"/>
      <w:bookmarkStart w:id="715" w:name="bookmark715"/>
      <w:r>
        <w:rPr>
          <w:color w:val="000000"/>
          <w:spacing w:val="0"/>
          <w:w w:val="100"/>
          <w:position w:val="0"/>
        </w:rPr>
        <w:t>利润表</w:t>
      </w:r>
      <w:bookmarkEnd w:id="713"/>
      <w:bookmarkEnd w:id="714"/>
      <w:bookmarkEnd w:id="715"/>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260" w:line="240" w:lineRule="auto"/>
        <w:ind w:left="0" w:right="0" w:firstLine="0"/>
        <w:jc w:val="left"/>
        <w:rPr>
          <w:sz w:val="24"/>
          <w:szCs w:val="24"/>
        </w:rPr>
      </w:pPr>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716"/>
      <w:bookmarkEnd w:id="717"/>
      <w:bookmarkEnd w:id="718"/>
    </w:p>
    <w:tbl>
      <w:tblPr>
        <w:tblOverlap w:val="never"/>
        <w:jc w:val="center"/>
        <w:tblLayout w:type="fixed"/>
      </w:tblPr>
      <w:tblGrid>
        <w:gridCol w:w="3782"/>
        <w:gridCol w:w="806"/>
        <w:gridCol w:w="1406"/>
        <w:gridCol w:w="1402"/>
        <w:gridCol w:w="1406"/>
        <w:gridCol w:w="1411"/>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年度</w:t>
            </w:r>
          </w:p>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年度</w:t>
            </w:r>
          </w:p>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年度</w:t>
            </w:r>
          </w:p>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年度</w:t>
            </w:r>
          </w:p>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公司</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327,854,494,119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303,838,070,591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二、减：营业成本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247,360,584,938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224,539,183,193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税金及附加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1,427,098,636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1,353,836,795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759,992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492,417</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32,212,432,115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30,461,035,396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24,779,618,578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25,759,169,107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7,955,294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8,601,664</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研发费用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4,792,173,304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2,963,703,038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96,713,074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226,721,429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(27,791,745)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(15,323,804)</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1,229,336,920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1,455,970,442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rPr>
                <w:sz w:val="15"/>
                <w:szCs w:val="15"/>
              </w:rPr>
            </w:pPr>
            <w:r>
              <w:rPr>
                <w:color w:val="000000"/>
                <w:spacing w:val="0"/>
                <w:w w:val="100"/>
                <w:position w:val="0"/>
                <w:sz w:val="15"/>
                <w:szCs w:val="15"/>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1,215,525,637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1,366,325,886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30,614,244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19,328,272</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力加其他收益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2,996,563,644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1,909,200,538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1,316,338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313,399</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（43）</w:t>
            </w:r>
            <w:r>
              <w:rPr>
                <w:color w:val="000000"/>
                <w:spacing w:val="0"/>
                <w:w w:val="100"/>
                <w:position w:val="0"/>
                <w:sz w:val="15"/>
                <w:szCs w:val="15"/>
              </w:rPr>
              <w:t>， 十五</w:t>
            </w: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4,376,749,888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2,846,617,030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3,875,313,559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2,114,455,774</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其中：对联营和合营企业的投资收益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3,309,997,716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2,375,149,156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公允价值变动</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(38,971,641)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154,224,003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信用减值损失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(2,809,277,447)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(5,308,389,814)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资产减值损失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(491,730,885)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(287,739,075)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资产处置损失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(3,523,409,238)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(2,258,035,781)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三、营业利润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17,695,797,795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15,590,298,534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3,895,706,356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2,120,998,896</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力加营业外收入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637,917,568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863,222,837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188,601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167,374</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减：营业外支出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526,391,565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494,012,455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17,807,323,798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15,959,508,916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3,895,894,957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2,121,166,270</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减：所得税费用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3,391,137,160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3,434,586,040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20,080,928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32,857,845</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14,416,186,638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12,524,922,876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3,875,814,029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2,088,308,425</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14,416,186,638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12,524,922,876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3,875,814,029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2,088,308,425</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持续经营净利润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14,416,186,638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12,524,922,876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3,875,814,029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2,088,308,425</w:t>
            </w:r>
          </w:p>
        </w:tc>
      </w:tr>
      <w:tr>
        <w:trPr>
          <w:trHeight w:val="22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终止经营净利润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二</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14,416,186,638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12,524,922,876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3,875,814,029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2,088,308,425</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归属于母公司股东的净利润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6,305,465,753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5,521,311,508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3,875,814,029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2,088,308,425</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8,110,720,885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7,003,611,368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六、其他综合收益的税后净额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(27,450,153)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(1,705,820,294)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归属于母公司股东的其他综合收益的税后净额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(11,921,657)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(749,498,740)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48,003,222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(651,401,367)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(10,082,774)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(2,243,657)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58,085,996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(649,157,710)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二</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(59,924,879)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(98,097,373)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(1,408,663)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14,916,998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(58,472,494)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(113,014,371)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(15,528,496)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(956,321,554)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14,388,736,485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10,819,102,582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3,875,814,029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2,088,308,425</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归属于母公司股东的综合收益总额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6,293,544,096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4,771,812,768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3,875,814,029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2,088,308,425</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8,095,192,389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6,047,289,814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0.206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不适用</w:t>
            </w:r>
          </w:p>
        </w:tc>
      </w:tr>
      <w:tr>
        <w:trPr>
          <w:trHeight w:val="2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0.206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不适用</w:t>
            </w:r>
          </w:p>
        </w:tc>
      </w:tr>
    </w:tbl>
    <w:p>
      <w:pPr>
        <w:widowControl w:val="0"/>
        <w:spacing w:after="259" w:line="1" w:lineRule="exact"/>
      </w:pPr>
    </w:p>
    <w:p>
      <w:pPr>
        <w:pStyle w:val="Style97"/>
        <w:keepNext/>
        <w:keepLines/>
        <w:widowControl w:val="0"/>
        <w:shd w:val="clear" w:color="auto" w:fill="auto"/>
        <w:bidi w:val="0"/>
        <w:spacing w:before="0" w:after="140" w:line="240" w:lineRule="auto"/>
        <w:ind w:left="0" w:right="0" w:firstLine="0"/>
        <w:jc w:val="left"/>
      </w:pPr>
      <w:bookmarkStart w:id="719" w:name="bookmark719"/>
      <w:bookmarkStart w:id="720" w:name="bookmark720"/>
      <w:bookmarkStart w:id="721" w:name="bookmark721"/>
      <w:r>
        <w:rPr>
          <w:color w:val="000000"/>
          <w:spacing w:val="0"/>
          <w:w w:val="100"/>
          <w:position w:val="0"/>
        </w:rPr>
        <w:t>后附财务报表附注为财务报表的组成部分。</w:t>
      </w:r>
      <w:bookmarkEnd w:id="719"/>
      <w:bookmarkEnd w:id="720"/>
      <w:bookmarkEnd w:id="721"/>
    </w:p>
    <w:p>
      <w:pPr>
        <w:widowControl w:val="0"/>
        <w:spacing w:after="1278" w:line="1" w:lineRule="exact"/>
      </w:pPr>
      <w:r>
        <mc:AlternateContent>
          <mc:Choice Requires="wps">
            <w:drawing>
              <wp:anchor distT="0" distB="0" distL="0" distR="0" simplePos="0" relativeHeight="62914691" behindDoc="1" locked="0" layoutInCell="1" allowOverlap="1">
                <wp:simplePos x="0" y="0"/>
                <wp:positionH relativeFrom="page">
                  <wp:posOffset>564515</wp:posOffset>
                </wp:positionH>
                <wp:positionV relativeFrom="paragraph">
                  <wp:posOffset>546100</wp:posOffset>
                </wp:positionV>
                <wp:extent cx="1088390" cy="179705"/>
                <wp:wrapNone/>
                <wp:docPr id="22" name="Shape 22"/>
                <a:graphic xmlns:a="http://schemas.openxmlformats.org/drawingml/2006/main">
                  <a:graphicData uri="http://schemas.microsoft.com/office/word/2010/wordprocessingShape">
                    <wps:wsp>
                      <wps:cNvSpPr txBox="1"/>
                      <wps:spPr>
                        <a:xfrm>
                          <a:ext cx="1088390" cy="179705"/>
                        </a:xfrm>
                        <a:prstGeom prst="rect"/>
                        <a:noFill/>
                      </wps:spPr>
                      <wps:txbx>
                        <w:txbxContent>
                          <w:p>
                            <w:pPr>
                              <w:pStyle w:val="Style97"/>
                              <w:keepNext/>
                              <w:keepLines/>
                              <w:widowControl w:val="0"/>
                              <w:shd w:val="clear" w:color="auto" w:fill="auto"/>
                              <w:bidi w:val="0"/>
                              <w:spacing w:before="0" w:after="0" w:line="240" w:lineRule="auto"/>
                              <w:ind w:left="0" w:right="0" w:firstLine="0"/>
                              <w:jc w:val="left"/>
                            </w:pPr>
                            <w:bookmarkStart w:id="689" w:name="bookmark689"/>
                            <w:bookmarkStart w:id="690" w:name="bookmark690"/>
                            <w:bookmarkStart w:id="691" w:name="bookmark691"/>
                            <w:r>
                              <w:rPr>
                                <w:color w:val="000000"/>
                                <w:spacing w:val="0"/>
                                <w:w w:val="100"/>
                                <w:position w:val="0"/>
                              </w:rPr>
                              <w:t>董事长：刘烈宏</w:t>
                            </w:r>
                            <w:bookmarkEnd w:id="689"/>
                            <w:bookmarkEnd w:id="690"/>
                            <w:bookmarkEnd w:id="691"/>
                          </w:p>
                        </w:txbxContent>
                      </wps:txbx>
                      <wps:bodyPr wrap="none" lIns="0" tIns="0" rIns="0" bIns="0">
                        <a:noAutoFit/>
                      </wps:bodyPr>
                    </wps:wsp>
                  </a:graphicData>
                </a:graphic>
              </wp:anchor>
            </w:drawing>
          </mc:Choice>
          <mc:Fallback>
            <w:pict>
              <v:shape id="_x0000_s1048" type="#_x0000_t202" style="position:absolute;margin-left:44.450000000000003pt;margin-top:43.pt;width:85.700000000000003pt;height:14.15pt;z-index:-188744062;mso-wrap-distance-left:0;mso-wrap-distance-right:0;mso-position-horizontal-relative:page" wrapcoords="0 0" filled="f" stroked="f">
                <v:textbox inset="0,0,0,0">
                  <w:txbxContent>
                    <w:p>
                      <w:pPr>
                        <w:pStyle w:val="Style97"/>
                        <w:keepNext/>
                        <w:keepLines/>
                        <w:widowControl w:val="0"/>
                        <w:shd w:val="clear" w:color="auto" w:fill="auto"/>
                        <w:bidi w:val="0"/>
                        <w:spacing w:before="0" w:after="0" w:line="240" w:lineRule="auto"/>
                        <w:ind w:left="0" w:right="0" w:firstLine="0"/>
                        <w:jc w:val="left"/>
                      </w:pPr>
                      <w:bookmarkStart w:id="689" w:name="bookmark689"/>
                      <w:bookmarkStart w:id="690" w:name="bookmark690"/>
                      <w:bookmarkStart w:id="691" w:name="bookmark691"/>
                      <w:r>
                        <w:rPr>
                          <w:color w:val="000000"/>
                          <w:spacing w:val="0"/>
                          <w:w w:val="100"/>
                          <w:position w:val="0"/>
                        </w:rPr>
                        <w:t>董事长：刘烈宏</w:t>
                      </w:r>
                      <w:bookmarkEnd w:id="689"/>
                      <w:bookmarkEnd w:id="690"/>
                      <w:bookmarkEnd w:id="691"/>
                    </w:p>
                  </w:txbxContent>
                </v:textbox>
                <w10:wrap anchorx="page"/>
              </v:shape>
            </w:pict>
          </mc:Fallback>
        </mc:AlternateContent>
      </w:r>
      <w:r>
        <mc:AlternateContent>
          <mc:Choice Requires="wps">
            <w:drawing>
              <wp:anchor distT="0" distB="0" distL="0" distR="0" simplePos="0" relativeHeight="62914693" behindDoc="1" locked="0" layoutInCell="1" allowOverlap="1">
                <wp:simplePos x="0" y="0"/>
                <wp:positionH relativeFrom="page">
                  <wp:posOffset>2981325</wp:posOffset>
                </wp:positionH>
                <wp:positionV relativeFrom="paragraph">
                  <wp:posOffset>546100</wp:posOffset>
                </wp:positionV>
                <wp:extent cx="1395730" cy="265430"/>
                <wp:wrapNone/>
                <wp:docPr id="24" name="Shape 24"/>
                <a:graphic xmlns:a="http://schemas.openxmlformats.org/drawingml/2006/main">
                  <a:graphicData uri="http://schemas.microsoft.com/office/word/2010/wordprocessingShape">
                    <wps:wsp>
                      <wps:cNvSpPr txBox="1"/>
                      <wps:spPr>
                        <a:xfrm>
                          <a:ext cx="1395730" cy="265430"/>
                        </a:xfrm>
                        <a:prstGeom prst="rect"/>
                        <a:noFill/>
                      </wps:spPr>
                      <wps:txbx>
                        <w:txbxContent>
                          <w:p>
                            <w:pPr>
                              <w:pStyle w:val="Style97"/>
                              <w:keepNext/>
                              <w:keepLines/>
                              <w:widowControl w:val="0"/>
                              <w:shd w:val="clear" w:color="auto" w:fill="auto"/>
                              <w:bidi w:val="0"/>
                              <w:spacing w:before="0" w:after="0" w:line="240" w:lineRule="auto"/>
                              <w:ind w:left="0" w:right="0" w:firstLine="0"/>
                              <w:jc w:val="center"/>
                            </w:pPr>
                            <w:bookmarkStart w:id="692" w:name="bookmark692"/>
                            <w:bookmarkStart w:id="693" w:name="bookmark693"/>
                            <w:bookmarkStart w:id="694" w:name="bookmark694"/>
                            <w:r>
                              <w:rPr>
                                <w:color w:val="000000"/>
                                <w:spacing w:val="0"/>
                                <w:w w:val="100"/>
                                <w:position w:val="0"/>
                              </w:rPr>
                              <w:t>财务负责人：李玉焯</w:t>
                            </w:r>
                            <w:bookmarkEnd w:id="692"/>
                            <w:bookmarkEnd w:id="693"/>
                            <w:bookmarkEnd w:id="694"/>
                          </w:p>
                          <w:p>
                            <w:pPr>
                              <w:pStyle w:val="Style3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78 / 203</w:t>
                            </w:r>
                          </w:p>
                        </w:txbxContent>
                      </wps:txbx>
                      <wps:bodyPr lIns="0" tIns="0" rIns="0" bIns="0">
                        <a:noAutoFit/>
                      </wps:bodyPr>
                    </wps:wsp>
                  </a:graphicData>
                </a:graphic>
              </wp:anchor>
            </w:drawing>
          </mc:Choice>
          <mc:Fallback>
            <w:pict>
              <v:shape id="_x0000_s1050" type="#_x0000_t202" style="position:absolute;margin-left:234.75pt;margin-top:43.pt;width:109.90000000000001pt;height:20.900000000000002pt;z-index:-188744060;mso-wrap-distance-left:0;mso-wrap-distance-right:0;mso-position-horizontal-relative:page" wrapcoords="0 0" filled="f" stroked="f">
                <v:textbox inset="0,0,0,0">
                  <w:txbxContent>
                    <w:p>
                      <w:pPr>
                        <w:pStyle w:val="Style97"/>
                        <w:keepNext/>
                        <w:keepLines/>
                        <w:widowControl w:val="0"/>
                        <w:shd w:val="clear" w:color="auto" w:fill="auto"/>
                        <w:bidi w:val="0"/>
                        <w:spacing w:before="0" w:after="0" w:line="240" w:lineRule="auto"/>
                        <w:ind w:left="0" w:right="0" w:firstLine="0"/>
                        <w:jc w:val="center"/>
                      </w:pPr>
                      <w:bookmarkStart w:id="692" w:name="bookmark692"/>
                      <w:bookmarkStart w:id="693" w:name="bookmark693"/>
                      <w:bookmarkStart w:id="694" w:name="bookmark694"/>
                      <w:r>
                        <w:rPr>
                          <w:color w:val="000000"/>
                          <w:spacing w:val="0"/>
                          <w:w w:val="100"/>
                          <w:position w:val="0"/>
                        </w:rPr>
                        <w:t>财务负责人：李玉焯</w:t>
                      </w:r>
                      <w:bookmarkEnd w:id="692"/>
                      <w:bookmarkEnd w:id="693"/>
                      <w:bookmarkEnd w:id="694"/>
                    </w:p>
                    <w:p>
                      <w:pPr>
                        <w:pStyle w:val="Style3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78 / 203</w:t>
                      </w:r>
                    </w:p>
                  </w:txbxContent>
                </v:textbox>
                <w10:wrap anchorx="page"/>
              </v:shape>
            </w:pict>
          </mc:Fallback>
        </mc:AlternateContent>
      </w:r>
      <w:r>
        <mc:AlternateContent>
          <mc:Choice Requires="wps">
            <w:drawing>
              <wp:anchor distT="0" distB="0" distL="0" distR="0" simplePos="0" relativeHeight="62914695" behindDoc="1" locked="0" layoutInCell="1" allowOverlap="1">
                <wp:simplePos x="0" y="0"/>
                <wp:positionH relativeFrom="page">
                  <wp:posOffset>5270500</wp:posOffset>
                </wp:positionH>
                <wp:positionV relativeFrom="paragraph">
                  <wp:posOffset>546100</wp:posOffset>
                </wp:positionV>
                <wp:extent cx="1395730" cy="182880"/>
                <wp:wrapNone/>
                <wp:docPr id="26" name="Shape 26"/>
                <a:graphic xmlns:a="http://schemas.openxmlformats.org/drawingml/2006/main">
                  <a:graphicData uri="http://schemas.microsoft.com/office/word/2010/wordprocessingShape">
                    <wps:wsp>
                      <wps:cNvSpPr txBox="1"/>
                      <wps:spPr>
                        <a:xfrm>
                          <a:ext cx="1395730" cy="182880"/>
                        </a:xfrm>
                        <a:prstGeom prst="rect"/>
                        <a:noFill/>
                      </wps:spPr>
                      <wps:txbx>
                        <w:txbxContent>
                          <w:p>
                            <w:pPr>
                              <w:pStyle w:val="Style97"/>
                              <w:keepNext/>
                              <w:keepLines/>
                              <w:widowControl w:val="0"/>
                              <w:shd w:val="clear" w:color="auto" w:fill="auto"/>
                              <w:bidi w:val="0"/>
                              <w:spacing w:before="0" w:after="0" w:line="240" w:lineRule="auto"/>
                              <w:ind w:left="0" w:right="0" w:firstLine="0"/>
                              <w:jc w:val="center"/>
                            </w:pPr>
                            <w:bookmarkStart w:id="695" w:name="bookmark695"/>
                            <w:bookmarkStart w:id="696" w:name="bookmark696"/>
                            <w:bookmarkStart w:id="697" w:name="bookmark697"/>
                            <w:r>
                              <w:rPr>
                                <w:color w:val="000000"/>
                                <w:spacing w:val="0"/>
                                <w:w w:val="100"/>
                                <w:position w:val="0"/>
                              </w:rPr>
                              <w:t>财务部总经理：王芳</w:t>
                            </w:r>
                            <w:bookmarkEnd w:id="695"/>
                            <w:bookmarkEnd w:id="696"/>
                            <w:bookmarkEnd w:id="697"/>
                          </w:p>
                        </w:txbxContent>
                      </wps:txbx>
                      <wps:bodyPr wrap="none" lIns="0" tIns="0" rIns="0" bIns="0">
                        <a:noAutoFit/>
                      </wps:bodyPr>
                    </wps:wsp>
                  </a:graphicData>
                </a:graphic>
              </wp:anchor>
            </w:drawing>
          </mc:Choice>
          <mc:Fallback>
            <w:pict>
              <v:shape id="_x0000_s1052" type="#_x0000_t202" style="position:absolute;margin-left:415.pt;margin-top:43.pt;width:109.90000000000001pt;height:14.4pt;z-index:-188744058;mso-wrap-distance-left:0;mso-wrap-distance-right:0;mso-position-horizontal-relative:page" wrapcoords="0 0" filled="f" stroked="f">
                <v:textbox inset="0,0,0,0">
                  <w:txbxContent>
                    <w:p>
                      <w:pPr>
                        <w:pStyle w:val="Style97"/>
                        <w:keepNext/>
                        <w:keepLines/>
                        <w:widowControl w:val="0"/>
                        <w:shd w:val="clear" w:color="auto" w:fill="auto"/>
                        <w:bidi w:val="0"/>
                        <w:spacing w:before="0" w:after="0" w:line="240" w:lineRule="auto"/>
                        <w:ind w:left="0" w:right="0" w:firstLine="0"/>
                        <w:jc w:val="center"/>
                      </w:pPr>
                      <w:bookmarkStart w:id="695" w:name="bookmark695"/>
                      <w:bookmarkStart w:id="696" w:name="bookmark696"/>
                      <w:bookmarkStart w:id="697" w:name="bookmark697"/>
                      <w:r>
                        <w:rPr>
                          <w:color w:val="000000"/>
                          <w:spacing w:val="0"/>
                          <w:w w:val="100"/>
                          <w:position w:val="0"/>
                        </w:rPr>
                        <w:t>财务部总经理：王芳</w:t>
                      </w:r>
                      <w:bookmarkEnd w:id="695"/>
                      <w:bookmarkEnd w:id="696"/>
                      <w:bookmarkEnd w:id="697"/>
                    </w:p>
                  </w:txbxContent>
                </v:textbox>
                <w10:wrap anchorx="page"/>
              </v:shape>
            </w:pict>
          </mc:Fallback>
        </mc:AlternateContent>
      </w:r>
      <w:r>
        <w:br w:type="page"/>
      </w:r>
    </w:p>
    <w:p>
      <w:pPr>
        <w:pStyle w:val="Style97"/>
        <w:keepNext/>
        <w:keepLines/>
        <w:widowControl w:val="0"/>
        <w:shd w:val="clear" w:color="auto" w:fill="auto"/>
        <w:bidi w:val="0"/>
        <w:spacing w:before="0" w:after="40" w:line="240" w:lineRule="auto"/>
        <w:ind w:left="0" w:right="0" w:firstLine="0"/>
        <w:jc w:val="left"/>
      </w:pPr>
      <w:bookmarkStart w:id="722" w:name="bookmark722"/>
      <w:bookmarkStart w:id="723" w:name="bookmark723"/>
      <w:bookmarkStart w:id="724" w:name="bookmark724"/>
      <w:r>
        <w:rPr>
          <w:color w:val="000000"/>
          <w:spacing w:val="0"/>
          <w:w w:val="100"/>
          <w:position w:val="0"/>
        </w:rPr>
        <w:t>现金流量表</w:t>
      </w:r>
      <w:bookmarkEnd w:id="722"/>
      <w:bookmarkEnd w:id="723"/>
      <w:bookmarkEnd w:id="724"/>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280" w:line="240" w:lineRule="auto"/>
        <w:ind w:left="0" w:right="0" w:firstLine="0"/>
        <w:jc w:val="left"/>
        <w:rPr>
          <w:sz w:val="24"/>
          <w:szCs w:val="24"/>
        </w:rPr>
      </w:pPr>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725"/>
      <w:bookmarkEnd w:id="726"/>
      <w:bookmarkEnd w:id="727"/>
    </w:p>
    <w:tbl>
      <w:tblPr>
        <w:tblOverlap w:val="never"/>
        <w:jc w:val="center"/>
        <w:tblLayout w:type="fixed"/>
      </w:tblPr>
      <w:tblGrid>
        <w:gridCol w:w="3691"/>
        <w:gridCol w:w="850"/>
        <w:gridCol w:w="1416"/>
        <w:gridCol w:w="1416"/>
        <w:gridCol w:w="1421"/>
        <w:gridCol w:w="1426"/>
      </w:tblGrid>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年度</w:t>
            </w:r>
          </w:p>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年度</w:t>
            </w:r>
          </w:p>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年度</w:t>
            </w:r>
          </w:p>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年度</w:t>
            </w:r>
          </w:p>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公司</w:t>
            </w:r>
          </w:p>
        </w:tc>
      </w:tr>
      <w:tr>
        <w:trPr>
          <w:trHeight w:val="22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352,109,065,286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324,169,077,358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252,403,809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199,727,821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收到其他与经营活动有关的现金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2,973,700,386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3,223,549,897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32,652,580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19,318,320</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355,335,169,481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327,592,355,076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32,652,580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19,318,320</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168,487,676,793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156,293,585,668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11,353,945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8,710,904</w:t>
            </w:r>
          </w:p>
        </w:tc>
      </w:tr>
      <w:tr>
        <w:trPr>
          <w:trHeight w:val="22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56,801,392,764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49,657,299,907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12,703,672,149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8,121,140,154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25,280,607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27,301,687</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5,370,850,427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6,186,564,744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1,581,435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4,004,468</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243,363,592,133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220,258,590,473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38,215,987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40,017,059</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111,971,577,348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107,333,764,603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(5,563,407)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(20,698,739)</w:t>
            </w:r>
          </w:p>
        </w:tc>
      </w:tr>
      <w:tr>
        <w:trPr>
          <w:trHeight w:val="21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87,187,296,756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32,694,673,624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1,715,566,095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909,412,967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3,878,317,934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3,032,333,281</w:t>
            </w:r>
          </w:p>
        </w:tc>
      </w:tr>
      <w:tr>
        <w:trPr>
          <w:trHeight w:val="4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6" w:lineRule="exact"/>
              <w:ind w:left="560" w:right="0" w:hanging="160"/>
              <w:jc w:val="both"/>
              <w:rPr>
                <w:sz w:val="15"/>
                <w:szCs w:val="15"/>
              </w:rPr>
            </w:pPr>
            <w:r>
              <w:rPr>
                <w:color w:val="000000"/>
                <w:spacing w:val="0"/>
                <w:w w:val="100"/>
                <w:position w:val="0"/>
                <w:sz w:val="15"/>
                <w:szCs w:val="15"/>
              </w:rPr>
              <w:t>处置固定资产、无形资产和其他长期 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2,272,033,811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1,647,315,265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收到其他与投资活动有关的现金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19,861,030,365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13,704,000,000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111,035,927,027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48,955,401,856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6,178,317,934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3,032,333,281</w:t>
            </w:r>
          </w:p>
        </w:tc>
      </w:tr>
      <w:tr>
        <w:trPr>
          <w:trHeight w:val="4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6" w:lineRule="exact"/>
              <w:ind w:left="560" w:right="0" w:hanging="160"/>
              <w:jc w:val="both"/>
              <w:rPr>
                <w:sz w:val="15"/>
                <w:szCs w:val="15"/>
              </w:rPr>
            </w:pPr>
            <w:r>
              <w:rPr>
                <w:color w:val="000000"/>
                <w:spacing w:val="0"/>
                <w:w w:val="100"/>
                <w:position w:val="0"/>
                <w:sz w:val="15"/>
                <w:szCs w:val="15"/>
              </w:rPr>
              <w:t>购建固定资产、无形资产和其他长期资产 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72,047,047,337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58,655,696,504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560" w:right="0" w:hanging="160"/>
              <w:jc w:val="both"/>
              <w:rPr>
                <w:sz w:val="15"/>
                <w:szCs w:val="15"/>
              </w:rPr>
            </w:pPr>
            <w:r>
              <w:rPr>
                <w:color w:val="000000"/>
                <w:spacing w:val="0"/>
                <w:w w:val="100"/>
                <w:position w:val="0"/>
                <w:sz w:val="15"/>
                <w:szCs w:val="15"/>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95,068,657,840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58,916,505,194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560" w:right="0" w:hanging="160"/>
              <w:jc w:val="both"/>
              <w:rPr>
                <w:sz w:val="15"/>
                <w:szCs w:val="15"/>
              </w:rPr>
            </w:pPr>
            <w:r>
              <w:rPr>
                <w:color w:val="000000"/>
                <w:spacing w:val="0"/>
                <w:w w:val="100"/>
                <w:position w:val="0"/>
                <w:sz w:val="15"/>
                <w:szCs w:val="15"/>
              </w:rPr>
              <w:t>支付其他与投资活动有关的现金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18,700,000,000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23,400,000,000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185,815,705,177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140,972,201,698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(74,779,778,150)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(92,016,799,842)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6,178,317,934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3,032,333,281</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10,350,000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66,000,000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10,350,000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66,000,000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7,392,325,000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10,740,000,000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收到其他与筹资活动有关的现金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1,110,694,233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8,513,369,233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10,806,000,000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9,710,520,215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18,009,401,886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分配股利或偿付利息所支付的现金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9,684,598,108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6,092,918,859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3,527,682,499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1,873,940,664</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支付其他与筹资活动有关的现金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15,028,582,294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13,685,516,457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2,296,485,265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51,750,176</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34,423,700,617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37,787,837,202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5,824,167,764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1,925,690,840</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(25,910,331,384)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(26,981,837,202)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(5,824,167,764)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(1,925,690,840)</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(78,144,099)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(182,556,764)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五、现金及现金等价物净增加</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减少</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11,203,323,715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(11,847,429,205)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348,586,763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1,085,943,702</w:t>
            </w:r>
          </w:p>
        </w:tc>
      </w:tr>
      <w:tr>
        <w:trPr>
          <w:trHeight w:val="21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力口：年初现金及现金等价物余额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23,102,356,786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34,949,785,991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1,595,606,711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509,663,009</w:t>
            </w:r>
          </w:p>
        </w:tc>
      </w:tr>
      <w:tr>
        <w:trPr>
          <w:trHeight w:val="2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六、年末现金及现金等价物余额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34,305,680,501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23,102,356,786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1,944,193,474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1,595,606,711</w:t>
            </w:r>
          </w:p>
        </w:tc>
      </w:tr>
    </w:tbl>
    <w:p>
      <w:pPr>
        <w:widowControl w:val="0"/>
        <w:spacing w:after="279" w:line="1" w:lineRule="exact"/>
      </w:pPr>
    </w:p>
    <w:p>
      <w:pPr>
        <w:pStyle w:val="Style9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99" w:right="280" w:bottom="1921" w:left="378" w:header="0" w:footer="3" w:gutter="0"/>
          <w:cols w:space="720"/>
          <w:noEndnote/>
          <w:rtlGutter w:val="0"/>
          <w:docGrid w:linePitch="360"/>
        </w:sectPr>
      </w:pPr>
      <w:bookmarkStart w:id="728" w:name="bookmark728"/>
      <w:bookmarkStart w:id="729" w:name="bookmark729"/>
      <w:bookmarkStart w:id="730" w:name="bookmark730"/>
      <w:r>
        <w:rPr>
          <w:color w:val="000000"/>
          <w:spacing w:val="0"/>
          <w:w w:val="100"/>
          <w:position w:val="0"/>
        </w:rPr>
        <w:t>后附财务报表附注为财务报表的组成部分。</w:t>
      </w:r>
      <w:bookmarkEnd w:id="728"/>
      <w:bookmarkEnd w:id="729"/>
      <w:bookmarkEnd w:id="730"/>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85" w:right="0" w:bottom="787" w:left="0" w:header="0" w:footer="3" w:gutter="0"/>
          <w:cols w:space="720"/>
          <w:noEndnote/>
          <w:rtlGutter w:val="0"/>
          <w:docGrid w:linePitch="360"/>
        </w:sectPr>
      </w:pPr>
    </w:p>
    <w:p>
      <w:pPr>
        <w:pStyle w:val="Style97"/>
        <w:keepNext/>
        <w:keepLines/>
        <w:framePr w:w="1714" w:h="283" w:wrap="none" w:vAnchor="text" w:hAnchor="page" w:x="890" w:y="21"/>
        <w:widowControl w:val="0"/>
        <w:shd w:val="clear" w:color="auto" w:fill="auto"/>
        <w:bidi w:val="0"/>
        <w:spacing w:before="0" w:after="0" w:line="240" w:lineRule="auto"/>
        <w:ind w:left="0" w:right="0" w:firstLine="0"/>
        <w:jc w:val="left"/>
      </w:pPr>
      <w:bookmarkStart w:id="731" w:name="bookmark731"/>
      <w:bookmarkStart w:id="732" w:name="bookmark732"/>
      <w:bookmarkStart w:id="733" w:name="bookmark733"/>
      <w:r>
        <w:rPr>
          <w:color w:val="000000"/>
          <w:spacing w:val="0"/>
          <w:w w:val="100"/>
          <w:position w:val="0"/>
        </w:rPr>
        <w:t>董事长：刘烈宏</w:t>
      </w:r>
      <w:bookmarkEnd w:id="731"/>
      <w:bookmarkEnd w:id="732"/>
      <w:bookmarkEnd w:id="733"/>
    </w:p>
    <w:p>
      <w:pPr>
        <w:pStyle w:val="Style97"/>
        <w:keepNext/>
        <w:keepLines/>
        <w:framePr w:w="2198" w:h="298" w:wrap="none" w:vAnchor="text" w:hAnchor="page" w:x="4697" w:y="21"/>
        <w:widowControl w:val="0"/>
        <w:shd w:val="clear" w:color="auto" w:fill="auto"/>
        <w:bidi w:val="0"/>
        <w:spacing w:before="0" w:after="0" w:line="240" w:lineRule="auto"/>
        <w:ind w:left="0" w:right="0" w:firstLine="0"/>
        <w:jc w:val="center"/>
      </w:pPr>
      <w:bookmarkStart w:id="734" w:name="bookmark734"/>
      <w:bookmarkStart w:id="735" w:name="bookmark735"/>
      <w:bookmarkStart w:id="736" w:name="bookmark736"/>
      <w:r>
        <w:rPr>
          <w:color w:val="000000"/>
          <w:spacing w:val="0"/>
          <w:w w:val="100"/>
          <w:position w:val="0"/>
        </w:rPr>
        <w:t>财务负责人：李玉焯</w:t>
      </w:r>
      <w:bookmarkEnd w:id="734"/>
      <w:bookmarkEnd w:id="735"/>
      <w:bookmarkEnd w:id="736"/>
    </w:p>
    <w:p>
      <w:pPr>
        <w:pStyle w:val="Style97"/>
        <w:keepNext/>
        <w:keepLines/>
        <w:framePr w:w="2198" w:h="288" w:wrap="none" w:vAnchor="text" w:hAnchor="page" w:x="8302" w:y="21"/>
        <w:widowControl w:val="0"/>
        <w:shd w:val="clear" w:color="auto" w:fill="auto"/>
        <w:bidi w:val="0"/>
        <w:spacing w:before="0" w:after="0" w:line="240" w:lineRule="auto"/>
        <w:ind w:left="0" w:right="0" w:firstLine="0"/>
        <w:jc w:val="center"/>
      </w:pPr>
      <w:bookmarkStart w:id="737" w:name="bookmark737"/>
      <w:bookmarkStart w:id="738" w:name="bookmark738"/>
      <w:bookmarkStart w:id="739" w:name="bookmark739"/>
      <w:r>
        <w:rPr>
          <w:color w:val="000000"/>
          <w:spacing w:val="0"/>
          <w:w w:val="100"/>
          <w:position w:val="0"/>
        </w:rPr>
        <w:t>财务部总经理：王芳</w:t>
      </w:r>
      <w:bookmarkEnd w:id="737"/>
      <w:bookmarkEnd w:id="738"/>
      <w:bookmarkEnd w:id="739"/>
    </w:p>
    <w:p>
      <w:pPr>
        <w:widowControl w:val="0"/>
        <w:spacing w:after="297" w:line="1" w:lineRule="exact"/>
      </w:pPr>
    </w:p>
    <w:p>
      <w:pPr>
        <w:widowControl w:val="0"/>
        <w:spacing w:line="1" w:lineRule="exact"/>
        <w:sectPr>
          <w:footnotePr>
            <w:pos w:val="pageBottom"/>
            <w:numFmt w:val="decimal"/>
            <w:numRestart w:val="continuous"/>
          </w:footnotePr>
          <w:type w:val="continuous"/>
          <w:pgSz w:w="11900" w:h="16840"/>
          <w:pgMar w:top="1085" w:right="680" w:bottom="787" w:left="982" w:header="0" w:footer="3" w:gutter="0"/>
          <w:cols w:space="720"/>
          <w:noEndnote/>
          <w:rtlGutter w:val="0"/>
          <w:docGrid w:linePitch="360"/>
        </w:sectPr>
      </w:pPr>
    </w:p>
    <w:p>
      <w:pPr>
        <w:pStyle w:val="Style97"/>
        <w:keepNext/>
        <w:keepLines/>
        <w:widowControl w:val="0"/>
        <w:shd w:val="clear" w:color="auto" w:fill="auto"/>
        <w:bidi w:val="0"/>
        <w:spacing w:before="0" w:after="40" w:line="240" w:lineRule="auto"/>
        <w:ind w:left="0" w:right="0" w:firstLine="0"/>
        <w:jc w:val="left"/>
      </w:pPr>
      <w:bookmarkStart w:id="749" w:name="bookmark749"/>
      <w:bookmarkStart w:id="750" w:name="bookmark750"/>
      <w:bookmarkStart w:id="751" w:name="bookmark751"/>
      <w:r>
        <w:rPr>
          <w:color w:val="000000"/>
          <w:spacing w:val="0"/>
          <w:w w:val="100"/>
          <w:position w:val="0"/>
        </w:rPr>
        <w:t>合并股东权益变动表</w:t>
      </w:r>
      <w:bookmarkEnd w:id="749"/>
      <w:bookmarkEnd w:id="750"/>
      <w:bookmarkEnd w:id="751"/>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280" w:line="240" w:lineRule="auto"/>
        <w:ind w:left="0" w:right="0" w:firstLine="0"/>
        <w:jc w:val="left"/>
        <w:rPr>
          <w:sz w:val="24"/>
          <w:szCs w:val="24"/>
        </w:rPr>
      </w:pPr>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752"/>
      <w:bookmarkEnd w:id="753"/>
      <w:bookmarkEnd w:id="754"/>
    </w:p>
    <w:tbl>
      <w:tblPr>
        <w:tblOverlap w:val="never"/>
        <w:jc w:val="center"/>
        <w:tblLayout w:type="fixed"/>
      </w:tblPr>
      <w:tblGrid>
        <w:gridCol w:w="1906"/>
        <w:gridCol w:w="989"/>
        <w:gridCol w:w="1272"/>
        <w:gridCol w:w="1267"/>
        <w:gridCol w:w="1272"/>
        <w:gridCol w:w="1267"/>
        <w:gridCol w:w="1272"/>
        <w:gridCol w:w="1272"/>
        <w:gridCol w:w="1267"/>
        <w:gridCol w:w="1272"/>
        <w:gridCol w:w="1253"/>
        <w:gridCol w:w="1258"/>
      </w:tblGrid>
      <w:tr>
        <w:trPr>
          <w:trHeight w:val="19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附注</w:t>
            </w:r>
          </w:p>
        </w:tc>
        <w:tc>
          <w:tcPr>
            <w:gridSpan w:val="8"/>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归属于母公司股东权益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4"/>
                <w:szCs w:val="14"/>
              </w:rPr>
            </w:pPr>
            <w:r>
              <w:rPr>
                <w:color w:val="000000"/>
                <w:spacing w:val="0"/>
                <w:w w:val="100"/>
                <w:position w:val="0"/>
                <w:sz w:val="14"/>
                <w:szCs w:val="14"/>
              </w:rPr>
              <w:t>少数股东权益</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股东权益合计</w:t>
            </w:r>
          </w:p>
        </w:tc>
      </w:tr>
      <w:tr>
        <w:trPr>
          <w:trHeight w:val="1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一般风险准备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31,015,595,487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80,390,793,406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1,797,153,768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(3,473,294,962)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1,810,191,549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370,625,101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39,391,758,341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147,708,515,154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183,765,440,420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331,473,955,574</w:t>
            </w:r>
          </w:p>
        </w:tc>
      </w:tr>
      <w:tr>
        <w:trPr>
          <w:trHeight w:val="18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4"/>
                <w:szCs w:val="14"/>
              </w:rPr>
              <w:t>(33)</w:t>
            </w: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4"/>
                <w:szCs w:val="14"/>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(11,921,657)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rPr>
              <w:t>6,305,465,753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6,293,544,096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8,095,192,389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14,388,736,485</w:t>
            </w: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二</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股东投入和减少的资本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10,350,000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10,350,000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82" w:lineRule="exact"/>
              <w:ind w:left="560" w:right="0" w:hanging="28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股份支付计入股东 权益的金额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4"/>
                <w:szCs w:val="14"/>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136,080,000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136,080,000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136,080,000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82" w:lineRule="exact"/>
              <w:ind w:left="520" w:right="0" w:hanging="24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回购股份、解锁及注 销回购的限制性股票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4"/>
                <w:szCs w:val="14"/>
              </w:rPr>
              <w:t>（30）</w:t>
            </w: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4"/>
                <w:szCs w:val="14"/>
              </w:rPr>
              <w:t>（31）</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4"/>
                <w:szCs w:val="14"/>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(24,202,275)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(67,524,347)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1,285,371,775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(1,377,098,397)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(1,377,098,397)</w:t>
            </w: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4"/>
                <w:szCs w:val="14"/>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(16,209,509)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(16,209,509)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(6,045,472)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(22,254,981)</w:t>
            </w: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三</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提取盈余公积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4"/>
                <w:szCs w:val="14"/>
              </w:rPr>
              <w:t>(34)</w:t>
            </w: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4"/>
                <w:szCs w:val="14"/>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387,581,403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rPr>
              <w:t>(387,581,403)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18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对股东的分配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4"/>
                <w:szCs w:val="14"/>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(3,527,682,499)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(3,527,682,499)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(4,871,734,282)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(8,399,416,781)</w:t>
            </w: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提取一般风险准备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五</w:t>
            </w:r>
            <w:r>
              <w:rPr>
                <w:rFonts w:ascii="Times New Roman" w:eastAsia="Times New Roman" w:hAnsi="Times New Roman" w:cs="Times New Roman"/>
                <w:color w:val="000000"/>
                <w:spacing w:val="0"/>
                <w:w w:val="100"/>
                <w:position w:val="0"/>
                <w:sz w:val="14"/>
                <w:szCs w:val="14"/>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136,876,515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rPr>
              <w:t>(136,876,515)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20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4"/>
                <w:szCs w:val="14"/>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4"/>
                <w:szCs w:val="14"/>
              </w:rPr>
              <w:t>31</w:t>
            </w:r>
            <w:r>
              <w:rPr>
                <w:color w:val="000000"/>
                <w:spacing w:val="0"/>
                <w:w w:val="100"/>
                <w:position w:val="0"/>
                <w:sz w:val="14"/>
                <w:szCs w:val="14"/>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30,991,393,212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80,443,139,550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3,082,525,543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(3,485,216,619)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2,197,772,952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507,501,616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41,645,083,677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149,217,148,845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186,993,203,055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336,210,351,900</w:t>
            </w:r>
          </w:p>
        </w:tc>
      </w:tr>
    </w:tbl>
    <w:p>
      <w:pPr>
        <w:widowControl w:val="0"/>
        <w:spacing w:after="279" w:line="1" w:lineRule="exact"/>
      </w:pPr>
    </w:p>
    <w:p>
      <w:pPr>
        <w:widowControl w:val="0"/>
        <w:spacing w:line="1" w:lineRule="exact"/>
      </w:pPr>
    </w:p>
    <w:tbl>
      <w:tblPr>
        <w:tblOverlap w:val="never"/>
        <w:jc w:val="center"/>
        <w:tblLayout w:type="fixed"/>
      </w:tblPr>
      <w:tblGrid>
        <w:gridCol w:w="1906"/>
        <w:gridCol w:w="989"/>
        <w:gridCol w:w="1272"/>
        <w:gridCol w:w="1267"/>
        <w:gridCol w:w="1272"/>
        <w:gridCol w:w="1267"/>
        <w:gridCol w:w="1272"/>
        <w:gridCol w:w="1272"/>
        <w:gridCol w:w="1267"/>
        <w:gridCol w:w="1272"/>
        <w:gridCol w:w="1277"/>
        <w:gridCol w:w="1234"/>
      </w:tblGrid>
      <w:tr>
        <w:trPr>
          <w:trHeight w:val="19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附注</w:t>
            </w:r>
          </w:p>
        </w:tc>
        <w:tc>
          <w:tcPr>
            <w:gridSpan w:val="8"/>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归属于母公司股东权益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少数股东权益</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股东权益合计</w:t>
            </w:r>
          </w:p>
        </w:tc>
      </w:tr>
      <w:tr>
        <w:trPr>
          <w:trHeight w:val="1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一般风险准备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31,033,705,687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80,107,541,565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3,015,353,002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(2,723,796,222)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1,601,360,706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300,438,116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36,023,405,325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143,327,302,175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180,168,616,732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323,495,918,907</w:t>
            </w:r>
          </w:p>
        </w:tc>
      </w:tr>
      <w:tr>
        <w:trPr>
          <w:trHeight w:val="18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(749,498,740)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rPr>
              <w:t>5,521,311,508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4,771,812,768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6,047,289,814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10,819,102,582</w:t>
            </w: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二</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股东投入和减少的资本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87" w:lineRule="exact"/>
              <w:ind w:left="560" w:right="0" w:hanging="28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股份支付计入股东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374,730,000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(1,149,561,576)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1,524,291,576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1,524,291,576</w:t>
            </w: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(18,110,200)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(91,478,159)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(68,637,658)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(40,950,701)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88,325,872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47,375,171</w:t>
            </w: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三</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208,830,843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4"/>
                <w:szCs w:val="14"/>
              </w:rPr>
            </w:pPr>
            <w:r>
              <w:rPr>
                <w:rFonts w:ascii="Times New Roman" w:eastAsia="Times New Roman" w:hAnsi="Times New Roman" w:cs="Times New Roman"/>
                <w:color w:val="000000"/>
                <w:spacing w:val="0"/>
                <w:w w:val="100"/>
                <w:position w:val="0"/>
                <w:sz w:val="14"/>
                <w:szCs w:val="14"/>
              </w:rPr>
              <w:t>(208,830,843)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4"/>
                <w:szCs w:val="14"/>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(1,873,940,664)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(1,873,940,664)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(2,538,791,998)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(4,412,732,662)</w:t>
            </w:r>
          </w:p>
        </w:tc>
      </w:tr>
      <w:tr>
        <w:trPr>
          <w:trHeight w:val="1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70,186,985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(70,186,985)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20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4"/>
                <w:szCs w:val="14"/>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4"/>
                <w:szCs w:val="14"/>
              </w:rPr>
              <w:t>31</w:t>
            </w:r>
            <w:r>
              <w:rPr>
                <w:color w:val="000000"/>
                <w:spacing w:val="0"/>
                <w:w w:val="100"/>
                <w:position w:val="0"/>
                <w:sz w:val="14"/>
                <w:szCs w:val="14"/>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31,015,595,487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80,390,793,406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1,797,153,768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(3,473,294,962)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1,810,191,549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370,625,101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39,391,758,341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147,708,515,154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183,765,440,420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331,473,955,574</w:t>
            </w:r>
          </w:p>
        </w:tc>
      </w:tr>
    </w:tbl>
    <w:p>
      <w:pPr>
        <w:widowControl w:val="0"/>
        <w:spacing w:after="279" w:line="1" w:lineRule="exact"/>
      </w:pPr>
    </w:p>
    <w:p>
      <w:pPr>
        <w:pStyle w:val="Style97"/>
        <w:keepNext/>
        <w:keepLines/>
        <w:widowControl w:val="0"/>
        <w:shd w:val="clear" w:color="auto" w:fill="auto"/>
        <w:bidi w:val="0"/>
        <w:spacing w:before="0" w:after="280" w:line="240" w:lineRule="auto"/>
        <w:ind w:left="0" w:right="0" w:firstLine="0"/>
        <w:jc w:val="left"/>
      </w:pPr>
      <w:bookmarkStart w:id="755" w:name="bookmark755"/>
      <w:bookmarkStart w:id="756" w:name="bookmark756"/>
      <w:bookmarkStart w:id="757" w:name="bookmark757"/>
      <w:r>
        <w:rPr>
          <w:color w:val="000000"/>
          <w:spacing w:val="0"/>
          <w:w w:val="100"/>
          <w:position w:val="0"/>
        </w:rPr>
        <w:t>后附财务报表附注为财务报表的组成部分。</w:t>
      </w:r>
      <w:bookmarkEnd w:id="755"/>
      <w:bookmarkEnd w:id="756"/>
      <w:bookmarkEnd w:id="757"/>
    </w:p>
    <w:p>
      <w:pPr>
        <w:widowControl w:val="0"/>
        <w:spacing w:after="1318" w:line="1" w:lineRule="exact"/>
      </w:pPr>
      <w:r>
        <mc:AlternateContent>
          <mc:Choice Requires="wps">
            <w:drawing>
              <wp:anchor distT="0" distB="0" distL="0" distR="0" simplePos="0" relativeHeight="62914697" behindDoc="1" locked="0" layoutInCell="1" allowOverlap="1">
                <wp:simplePos x="0" y="0"/>
                <wp:positionH relativeFrom="page">
                  <wp:posOffset>537210</wp:posOffset>
                </wp:positionH>
                <wp:positionV relativeFrom="paragraph">
                  <wp:posOffset>647700</wp:posOffset>
                </wp:positionV>
                <wp:extent cx="1088390" cy="179705"/>
                <wp:wrapNone/>
                <wp:docPr id="28" name="Shape 28"/>
                <a:graphic xmlns:a="http://schemas.openxmlformats.org/drawingml/2006/main">
                  <a:graphicData uri="http://schemas.microsoft.com/office/word/2010/wordprocessingShape">
                    <wps:wsp>
                      <wps:cNvSpPr txBox="1"/>
                      <wps:spPr>
                        <a:xfrm>
                          <a:ext cx="1088390" cy="179705"/>
                        </a:xfrm>
                        <a:prstGeom prst="rect"/>
                        <a:noFill/>
                      </wps:spPr>
                      <wps:txbx>
                        <w:txbxContent>
                          <w:p>
                            <w:pPr>
                              <w:pStyle w:val="Style97"/>
                              <w:keepNext/>
                              <w:keepLines/>
                              <w:widowControl w:val="0"/>
                              <w:shd w:val="clear" w:color="auto" w:fill="auto"/>
                              <w:bidi w:val="0"/>
                              <w:spacing w:before="0" w:after="0" w:line="240" w:lineRule="auto"/>
                              <w:ind w:left="0" w:right="0" w:firstLine="0"/>
                              <w:jc w:val="left"/>
                            </w:pPr>
                            <w:bookmarkStart w:id="740" w:name="bookmark740"/>
                            <w:bookmarkStart w:id="741" w:name="bookmark741"/>
                            <w:bookmarkStart w:id="742" w:name="bookmark742"/>
                            <w:r>
                              <w:rPr>
                                <w:color w:val="000000"/>
                                <w:spacing w:val="0"/>
                                <w:w w:val="100"/>
                                <w:position w:val="0"/>
                              </w:rPr>
                              <w:t>董事长：刘烈宏</w:t>
                            </w:r>
                            <w:bookmarkEnd w:id="740"/>
                            <w:bookmarkEnd w:id="741"/>
                            <w:bookmarkEnd w:id="742"/>
                          </w:p>
                        </w:txbxContent>
                      </wps:txbx>
                      <wps:bodyPr wrap="none" lIns="0" tIns="0" rIns="0" bIns="0">
                        <a:noAutoFit/>
                      </wps:bodyPr>
                    </wps:wsp>
                  </a:graphicData>
                </a:graphic>
              </wp:anchor>
            </w:drawing>
          </mc:Choice>
          <mc:Fallback>
            <w:pict>
              <v:shape id="_x0000_s1054" type="#_x0000_t202" style="position:absolute;margin-left:42.300000000000004pt;margin-top:51.pt;width:85.700000000000003pt;height:14.15pt;z-index:-188744056;mso-wrap-distance-left:0;mso-wrap-distance-right:0;mso-position-horizontal-relative:page" wrapcoords="0 0" filled="f" stroked="f">
                <v:textbox inset="0,0,0,0">
                  <w:txbxContent>
                    <w:p>
                      <w:pPr>
                        <w:pStyle w:val="Style97"/>
                        <w:keepNext/>
                        <w:keepLines/>
                        <w:widowControl w:val="0"/>
                        <w:shd w:val="clear" w:color="auto" w:fill="auto"/>
                        <w:bidi w:val="0"/>
                        <w:spacing w:before="0" w:after="0" w:line="240" w:lineRule="auto"/>
                        <w:ind w:left="0" w:right="0" w:firstLine="0"/>
                        <w:jc w:val="left"/>
                      </w:pPr>
                      <w:bookmarkStart w:id="740" w:name="bookmark740"/>
                      <w:bookmarkStart w:id="741" w:name="bookmark741"/>
                      <w:bookmarkStart w:id="742" w:name="bookmark742"/>
                      <w:r>
                        <w:rPr>
                          <w:color w:val="000000"/>
                          <w:spacing w:val="0"/>
                          <w:w w:val="100"/>
                          <w:position w:val="0"/>
                        </w:rPr>
                        <w:t>董事长：刘烈宏</w:t>
                      </w:r>
                      <w:bookmarkEnd w:id="740"/>
                      <w:bookmarkEnd w:id="741"/>
                      <w:bookmarkEnd w:id="742"/>
                    </w:p>
                  </w:txbxContent>
                </v:textbox>
                <w10:wrap anchorx="page"/>
              </v:shape>
            </w:pict>
          </mc:Fallback>
        </mc:AlternateContent>
      </w:r>
      <w:r>
        <mc:AlternateContent>
          <mc:Choice Requires="wps">
            <w:drawing>
              <wp:anchor distT="0" distB="0" distL="0" distR="0" simplePos="0" relativeHeight="62914699" behindDoc="1" locked="0" layoutInCell="1" allowOverlap="1">
                <wp:simplePos x="0" y="0"/>
                <wp:positionH relativeFrom="page">
                  <wp:posOffset>4191635</wp:posOffset>
                </wp:positionH>
                <wp:positionV relativeFrom="paragraph">
                  <wp:posOffset>647700</wp:posOffset>
                </wp:positionV>
                <wp:extent cx="1398905" cy="189230"/>
                <wp:wrapNone/>
                <wp:docPr id="30" name="Shape 30"/>
                <a:graphic xmlns:a="http://schemas.openxmlformats.org/drawingml/2006/main">
                  <a:graphicData uri="http://schemas.microsoft.com/office/word/2010/wordprocessingShape">
                    <wps:wsp>
                      <wps:cNvSpPr txBox="1"/>
                      <wps:spPr>
                        <a:xfrm>
                          <a:ext cx="1398905" cy="189230"/>
                        </a:xfrm>
                        <a:prstGeom prst="rect"/>
                        <a:noFill/>
                      </wps:spPr>
                      <wps:txbx>
                        <w:txbxContent>
                          <w:p>
                            <w:pPr>
                              <w:pStyle w:val="Style97"/>
                              <w:keepNext/>
                              <w:keepLines/>
                              <w:widowControl w:val="0"/>
                              <w:shd w:val="clear" w:color="auto" w:fill="auto"/>
                              <w:bidi w:val="0"/>
                              <w:spacing w:before="0" w:after="0" w:line="240" w:lineRule="auto"/>
                              <w:ind w:left="0" w:right="0" w:firstLine="0"/>
                              <w:jc w:val="left"/>
                            </w:pPr>
                            <w:bookmarkStart w:id="743" w:name="bookmark743"/>
                            <w:bookmarkStart w:id="744" w:name="bookmark744"/>
                            <w:bookmarkStart w:id="745" w:name="bookmark745"/>
                            <w:r>
                              <w:rPr>
                                <w:color w:val="000000"/>
                                <w:spacing w:val="0"/>
                                <w:w w:val="100"/>
                                <w:position w:val="0"/>
                              </w:rPr>
                              <w:t>财务负责人：李玉焯</w:t>
                            </w:r>
                            <w:bookmarkEnd w:id="743"/>
                            <w:bookmarkEnd w:id="744"/>
                            <w:bookmarkEnd w:id="745"/>
                          </w:p>
                        </w:txbxContent>
                      </wps:txbx>
                      <wps:bodyPr wrap="none" lIns="0" tIns="0" rIns="0" bIns="0">
                        <a:noAutoFit/>
                      </wps:bodyPr>
                    </wps:wsp>
                  </a:graphicData>
                </a:graphic>
              </wp:anchor>
            </w:drawing>
          </mc:Choice>
          <mc:Fallback>
            <w:pict>
              <v:shape id="_x0000_s1056" type="#_x0000_t202" style="position:absolute;margin-left:330.05000000000001pt;margin-top:51.pt;width:110.15000000000001pt;height:14.9pt;z-index:-188744054;mso-wrap-distance-left:0;mso-wrap-distance-right:0;mso-position-horizontal-relative:page" wrapcoords="0 0" filled="f" stroked="f">
                <v:textbox inset="0,0,0,0">
                  <w:txbxContent>
                    <w:p>
                      <w:pPr>
                        <w:pStyle w:val="Style97"/>
                        <w:keepNext/>
                        <w:keepLines/>
                        <w:widowControl w:val="0"/>
                        <w:shd w:val="clear" w:color="auto" w:fill="auto"/>
                        <w:bidi w:val="0"/>
                        <w:spacing w:before="0" w:after="0" w:line="240" w:lineRule="auto"/>
                        <w:ind w:left="0" w:right="0" w:firstLine="0"/>
                        <w:jc w:val="left"/>
                      </w:pPr>
                      <w:bookmarkStart w:id="743" w:name="bookmark743"/>
                      <w:bookmarkStart w:id="744" w:name="bookmark744"/>
                      <w:bookmarkStart w:id="745" w:name="bookmark745"/>
                      <w:r>
                        <w:rPr>
                          <w:color w:val="000000"/>
                          <w:spacing w:val="0"/>
                          <w:w w:val="100"/>
                          <w:position w:val="0"/>
                        </w:rPr>
                        <w:t>财务负责人：李玉焯</w:t>
                      </w:r>
                      <w:bookmarkEnd w:id="743"/>
                      <w:bookmarkEnd w:id="744"/>
                      <w:bookmarkEnd w:id="745"/>
                    </w:p>
                  </w:txbxContent>
                </v:textbox>
                <w10:wrap anchorx="page"/>
              </v:shape>
            </w:pict>
          </mc:Fallback>
        </mc:AlternateContent>
      </w:r>
      <w:r>
        <mc:AlternateContent>
          <mc:Choice Requires="wps">
            <w:drawing>
              <wp:anchor distT="0" distB="0" distL="0" distR="0" simplePos="0" relativeHeight="62914701" behindDoc="1" locked="0" layoutInCell="1" allowOverlap="1">
                <wp:simplePos x="0" y="0"/>
                <wp:positionH relativeFrom="page">
                  <wp:posOffset>8309610</wp:posOffset>
                </wp:positionH>
                <wp:positionV relativeFrom="paragraph">
                  <wp:posOffset>647700</wp:posOffset>
                </wp:positionV>
                <wp:extent cx="1395730" cy="182880"/>
                <wp:wrapNone/>
                <wp:docPr id="32" name="Shape 32"/>
                <a:graphic xmlns:a="http://schemas.openxmlformats.org/drawingml/2006/main">
                  <a:graphicData uri="http://schemas.microsoft.com/office/word/2010/wordprocessingShape">
                    <wps:wsp>
                      <wps:cNvSpPr txBox="1"/>
                      <wps:spPr>
                        <a:xfrm>
                          <a:ext cx="1395730" cy="182880"/>
                        </a:xfrm>
                        <a:prstGeom prst="rect"/>
                        <a:noFill/>
                      </wps:spPr>
                      <wps:txbx>
                        <w:txbxContent>
                          <w:p>
                            <w:pPr>
                              <w:pStyle w:val="Style97"/>
                              <w:keepNext/>
                              <w:keepLines/>
                              <w:widowControl w:val="0"/>
                              <w:shd w:val="clear" w:color="auto" w:fill="auto"/>
                              <w:bidi w:val="0"/>
                              <w:spacing w:before="0" w:after="0" w:line="240" w:lineRule="auto"/>
                              <w:ind w:left="0" w:right="0" w:firstLine="0"/>
                              <w:jc w:val="left"/>
                            </w:pPr>
                            <w:bookmarkStart w:id="746" w:name="bookmark746"/>
                            <w:bookmarkStart w:id="747" w:name="bookmark747"/>
                            <w:bookmarkStart w:id="748" w:name="bookmark748"/>
                            <w:r>
                              <w:rPr>
                                <w:color w:val="000000"/>
                                <w:spacing w:val="0"/>
                                <w:w w:val="100"/>
                                <w:position w:val="0"/>
                              </w:rPr>
                              <w:t>财务部总经理：王芳</w:t>
                            </w:r>
                            <w:bookmarkEnd w:id="746"/>
                            <w:bookmarkEnd w:id="747"/>
                            <w:bookmarkEnd w:id="748"/>
                          </w:p>
                        </w:txbxContent>
                      </wps:txbx>
                      <wps:bodyPr wrap="none" lIns="0" tIns="0" rIns="0" bIns="0">
                        <a:noAutoFit/>
                      </wps:bodyPr>
                    </wps:wsp>
                  </a:graphicData>
                </a:graphic>
              </wp:anchor>
            </w:drawing>
          </mc:Choice>
          <mc:Fallback>
            <w:pict>
              <v:shape id="_x0000_s1058" type="#_x0000_t202" style="position:absolute;margin-left:654.30000000000007pt;margin-top:51.pt;width:109.90000000000001pt;height:14.4pt;z-index:-188744052;mso-wrap-distance-left:0;mso-wrap-distance-right:0;mso-position-horizontal-relative:page" wrapcoords="0 0" filled="f" stroked="f">
                <v:textbox inset="0,0,0,0">
                  <w:txbxContent>
                    <w:p>
                      <w:pPr>
                        <w:pStyle w:val="Style97"/>
                        <w:keepNext/>
                        <w:keepLines/>
                        <w:widowControl w:val="0"/>
                        <w:shd w:val="clear" w:color="auto" w:fill="auto"/>
                        <w:bidi w:val="0"/>
                        <w:spacing w:before="0" w:after="0" w:line="240" w:lineRule="auto"/>
                        <w:ind w:left="0" w:right="0" w:firstLine="0"/>
                        <w:jc w:val="left"/>
                      </w:pPr>
                      <w:bookmarkStart w:id="746" w:name="bookmark746"/>
                      <w:bookmarkStart w:id="747" w:name="bookmark747"/>
                      <w:bookmarkStart w:id="748" w:name="bookmark748"/>
                      <w:r>
                        <w:rPr>
                          <w:color w:val="000000"/>
                          <w:spacing w:val="0"/>
                          <w:w w:val="100"/>
                          <w:position w:val="0"/>
                        </w:rPr>
                        <w:t>财务部总经理：王芳</w:t>
                      </w:r>
                      <w:bookmarkEnd w:id="746"/>
                      <w:bookmarkEnd w:id="747"/>
                      <w:bookmarkEnd w:id="748"/>
                    </w:p>
                  </w:txbxContent>
                </v:textbox>
                <w10:wrap anchorx="page"/>
              </v:shape>
            </w:pict>
          </mc:Fallback>
        </mc:AlternateContent>
      </w:r>
      <w:r>
        <w:br w:type="page"/>
      </w:r>
    </w:p>
    <w:p>
      <w:pPr>
        <w:pStyle w:val="Style97"/>
        <w:keepNext/>
        <w:keepLines/>
        <w:widowControl w:val="0"/>
        <w:shd w:val="clear" w:color="auto" w:fill="auto"/>
        <w:bidi w:val="0"/>
        <w:spacing w:before="0" w:after="40" w:line="240" w:lineRule="auto"/>
        <w:ind w:left="0" w:right="0" w:firstLine="0"/>
        <w:jc w:val="left"/>
      </w:pPr>
      <w:bookmarkStart w:id="758" w:name="bookmark758"/>
      <w:bookmarkStart w:id="759" w:name="bookmark759"/>
      <w:bookmarkStart w:id="760" w:name="bookmark760"/>
      <w:r>
        <w:rPr>
          <w:color w:val="000000"/>
          <w:spacing w:val="0"/>
          <w:w w:val="100"/>
          <w:position w:val="0"/>
        </w:rPr>
        <w:t>公司股东权益变动表</w:t>
      </w:r>
      <w:bookmarkEnd w:id="758"/>
      <w:bookmarkEnd w:id="759"/>
      <w:bookmarkEnd w:id="760"/>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280" w:line="240" w:lineRule="auto"/>
        <w:ind w:left="0" w:right="0" w:firstLine="0"/>
        <w:jc w:val="left"/>
        <w:rPr>
          <w:sz w:val="24"/>
          <w:szCs w:val="24"/>
        </w:rPr>
      </w:pPr>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761"/>
      <w:bookmarkEnd w:id="762"/>
      <w:bookmarkEnd w:id="763"/>
    </w:p>
    <w:tbl>
      <w:tblPr>
        <w:tblOverlap w:val="never"/>
        <w:jc w:val="center"/>
        <w:tblLayout w:type="fixed"/>
      </w:tblPr>
      <w:tblGrid>
        <w:gridCol w:w="3245"/>
        <w:gridCol w:w="2069"/>
        <w:gridCol w:w="1704"/>
        <w:gridCol w:w="1704"/>
        <w:gridCol w:w="1699"/>
        <w:gridCol w:w="1704"/>
        <w:gridCol w:w="1704"/>
        <w:gridCol w:w="1709"/>
      </w:tblGrid>
      <w:tr>
        <w:trPr>
          <w:trHeight w:val="2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未分配利润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股东权益合计</w:t>
            </w:r>
          </w:p>
        </w:tc>
      </w:tr>
      <w:tr>
        <w:trPr>
          <w:trHeight w:val="2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31,015,595,487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73,359,927,495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1,797,153,768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1,810,191,549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99,777,329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104,488,338,092</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3,875,814,029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3,875,814,029</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二</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股份支付计入股东权益的金额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十五⑴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136,080,000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136,080,000</w:t>
            </w:r>
          </w:p>
        </w:tc>
      </w:tr>
      <w:tr>
        <w:trPr>
          <w:trHeight w:val="43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1" w:lineRule="exact"/>
              <w:ind w:left="620" w:right="0" w:hanging="28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回购股份、解锁及注销回购的限制性 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十五</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，十五</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，十五</w:t>
            </w: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(24,202,275)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(67,524,347)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1,285,371,775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(1,377,098,397)</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三</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提取盈余公积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(34)</w:t>
            </w: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387,581,403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(387,581,403)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对股东的分配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(3,527,682,499)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(3,527,682,499)</w:t>
            </w:r>
          </w:p>
        </w:tc>
      </w:tr>
      <w:tr>
        <w:trPr>
          <w:trHeight w:val="2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30,991,393,212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73,428,483,148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3,082,525,543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2,197,772,952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60,327,456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103,595,451,225</w:t>
            </w:r>
          </w:p>
        </w:tc>
      </w:tr>
    </w:tbl>
    <w:p>
      <w:pPr>
        <w:widowControl w:val="0"/>
        <w:spacing w:after="279" w:line="1" w:lineRule="exact"/>
      </w:pPr>
    </w:p>
    <w:p>
      <w:pPr>
        <w:widowControl w:val="0"/>
        <w:spacing w:line="1" w:lineRule="exact"/>
      </w:pPr>
    </w:p>
    <w:tbl>
      <w:tblPr>
        <w:tblOverlap w:val="never"/>
        <w:jc w:val="center"/>
        <w:tblLayout w:type="fixed"/>
      </w:tblPr>
      <w:tblGrid>
        <w:gridCol w:w="3245"/>
        <w:gridCol w:w="2069"/>
        <w:gridCol w:w="1704"/>
        <w:gridCol w:w="1704"/>
        <w:gridCol w:w="1699"/>
        <w:gridCol w:w="1704"/>
        <w:gridCol w:w="1704"/>
        <w:gridCol w:w="1709"/>
      </w:tblGrid>
      <w:tr>
        <w:trPr>
          <w:trHeight w:val="2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未分配利润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股东权益合计</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31,033,705,687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73,035,724,953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3,015,353,002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1,601,360,706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94,240,411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102,749,678,755</w:t>
            </w:r>
          </w:p>
        </w:tc>
      </w:tr>
      <w:tr>
        <w:trPr>
          <w:trHeight w:val="2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2,088,308,425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2,088,308,425</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二</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374,730,000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(1,149,561,576)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1,524,291,576</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(18,110,200)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(50,527,458)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(68,637,658)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三</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提取盈余公积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208,830,843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(208,830,843)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对股东的分配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五</w:t>
            </w: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(1,873,940,664)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(1,873,940,664)</w:t>
            </w:r>
          </w:p>
        </w:tc>
      </w:tr>
      <w:tr>
        <w:trPr>
          <w:trHeight w:val="23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31,015,595,487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73,359,927,495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1,797,153,768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1,810,191,549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99,777,329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104,488,338,092</w:t>
            </w:r>
          </w:p>
        </w:tc>
      </w:tr>
    </w:tbl>
    <w:p>
      <w:pPr>
        <w:widowControl w:val="0"/>
        <w:spacing w:after="279" w:line="1" w:lineRule="exact"/>
      </w:pPr>
    </w:p>
    <w:p>
      <w:pPr>
        <w:pStyle w:val="Style9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596" w:right="428" w:bottom="2509" w:left="836" w:header="0" w:footer="3" w:gutter="0"/>
          <w:cols w:space="720"/>
          <w:noEndnote/>
          <w:rtlGutter w:val="0"/>
          <w:docGrid w:linePitch="360"/>
        </w:sectPr>
      </w:pPr>
      <w:bookmarkStart w:id="764" w:name="bookmark764"/>
      <w:bookmarkStart w:id="765" w:name="bookmark765"/>
      <w:bookmarkStart w:id="766" w:name="bookmark766"/>
      <w:r>
        <w:rPr>
          <w:color w:val="000000"/>
          <w:spacing w:val="0"/>
          <w:w w:val="100"/>
          <w:position w:val="0"/>
        </w:rPr>
        <w:t>后附财务报表附注为财务报表的组成部分。</w:t>
      </w:r>
      <w:bookmarkEnd w:id="764"/>
      <w:bookmarkEnd w:id="765"/>
      <w:bookmarkEnd w:id="766"/>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082" w:right="0" w:bottom="785" w:left="0" w:header="0" w:footer="3" w:gutter="0"/>
          <w:cols w:space="720"/>
          <w:noEndnote/>
          <w:rtlGutter w:val="0"/>
          <w:docGrid w:linePitch="360"/>
        </w:sectPr>
      </w:pPr>
    </w:p>
    <w:p>
      <w:pPr>
        <w:pStyle w:val="Style97"/>
        <w:keepNext/>
        <w:keepLines/>
        <w:framePr w:w="1714" w:h="283" w:wrap="none" w:vAnchor="text" w:hAnchor="page" w:x="856" w:y="21"/>
        <w:widowControl w:val="0"/>
        <w:shd w:val="clear" w:color="auto" w:fill="auto"/>
        <w:bidi w:val="0"/>
        <w:spacing w:before="0" w:after="0" w:line="240" w:lineRule="auto"/>
        <w:ind w:left="0" w:right="0" w:firstLine="0"/>
        <w:jc w:val="left"/>
      </w:pPr>
      <w:bookmarkStart w:id="767" w:name="bookmark767"/>
      <w:bookmarkStart w:id="768" w:name="bookmark768"/>
      <w:bookmarkStart w:id="769" w:name="bookmark769"/>
      <w:r>
        <w:rPr>
          <w:color w:val="000000"/>
          <w:spacing w:val="0"/>
          <w:w w:val="100"/>
          <w:position w:val="0"/>
        </w:rPr>
        <w:t>董事长：刘烈宏</w:t>
      </w:r>
      <w:bookmarkEnd w:id="767"/>
      <w:bookmarkEnd w:id="768"/>
      <w:bookmarkEnd w:id="769"/>
    </w:p>
    <w:p>
      <w:pPr>
        <w:pStyle w:val="Style97"/>
        <w:keepNext/>
        <w:keepLines/>
        <w:framePr w:w="2203" w:h="298" w:wrap="none" w:vAnchor="text" w:hAnchor="page" w:x="6611" w:y="21"/>
        <w:widowControl w:val="0"/>
        <w:shd w:val="clear" w:color="auto" w:fill="auto"/>
        <w:bidi w:val="0"/>
        <w:spacing w:before="0" w:after="0" w:line="240" w:lineRule="auto"/>
        <w:ind w:left="0" w:right="0" w:firstLine="0"/>
        <w:jc w:val="left"/>
      </w:pPr>
      <w:bookmarkStart w:id="770" w:name="bookmark770"/>
      <w:bookmarkStart w:id="771" w:name="bookmark771"/>
      <w:bookmarkStart w:id="772" w:name="bookmark772"/>
      <w:r>
        <w:rPr>
          <w:color w:val="000000"/>
          <w:spacing w:val="0"/>
          <w:w w:val="100"/>
          <w:position w:val="0"/>
        </w:rPr>
        <w:t>财务负责人：李玉焯</w:t>
      </w:r>
      <w:bookmarkEnd w:id="770"/>
      <w:bookmarkEnd w:id="771"/>
      <w:bookmarkEnd w:id="772"/>
    </w:p>
    <w:p>
      <w:pPr>
        <w:pStyle w:val="Style97"/>
        <w:keepNext/>
        <w:keepLines/>
        <w:framePr w:w="2198" w:h="288" w:wrap="none" w:vAnchor="text" w:hAnchor="page" w:x="13096" w:y="21"/>
        <w:widowControl w:val="0"/>
        <w:shd w:val="clear" w:color="auto" w:fill="auto"/>
        <w:bidi w:val="0"/>
        <w:spacing w:before="0" w:after="0" w:line="240" w:lineRule="auto"/>
        <w:ind w:left="0" w:right="0" w:firstLine="0"/>
        <w:jc w:val="left"/>
      </w:pPr>
      <w:bookmarkStart w:id="773" w:name="bookmark773"/>
      <w:bookmarkStart w:id="774" w:name="bookmark774"/>
      <w:bookmarkStart w:id="775" w:name="bookmark775"/>
      <w:r>
        <w:rPr>
          <w:color w:val="000000"/>
          <w:spacing w:val="0"/>
          <w:w w:val="100"/>
          <w:position w:val="0"/>
        </w:rPr>
        <w:t>财务部总经理：王芳</w:t>
      </w:r>
      <w:bookmarkEnd w:id="773"/>
      <w:bookmarkEnd w:id="774"/>
      <w:bookmarkEnd w:id="775"/>
    </w:p>
    <w:p>
      <w:pPr>
        <w:widowControl w:val="0"/>
        <w:spacing w:after="0" w:line="1" w:lineRule="exact"/>
      </w:pPr>
    </w:p>
    <w:p>
      <w:pPr>
        <w:widowControl w:val="0"/>
        <w:spacing w:line="1" w:lineRule="exact"/>
        <w:sectPr>
          <w:footnotePr>
            <w:pos w:val="pageBottom"/>
            <w:numFmt w:val="decimal"/>
            <w:numRestart w:val="continuous"/>
          </w:footnotePr>
          <w:type w:val="continuous"/>
          <w:pgSz w:w="16840" w:h="11900" w:orient="landscape"/>
          <w:pgMar w:top="1082" w:right="443" w:bottom="785" w:left="841" w:header="0" w:footer="3" w:gutter="0"/>
          <w:cols w:space="720"/>
          <w:noEndnote/>
          <w:rtlGutter w:val="0"/>
          <w:docGrid w:linePitch="360"/>
        </w:sectPr>
      </w:pP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0" w:val="left"/>
        </w:tabs>
        <w:bidi w:val="0"/>
        <w:spacing w:before="0" w:after="300" w:line="311" w:lineRule="exact"/>
        <w:ind w:left="0" w:right="0" w:firstLine="0"/>
        <w:jc w:val="left"/>
        <w:rPr>
          <w:sz w:val="22"/>
          <w:szCs w:val="22"/>
        </w:rPr>
      </w:pPr>
      <w:bookmarkStart w:id="776" w:name="bookmark776"/>
      <w:r>
        <w:rPr>
          <w:color w:val="000000"/>
          <w:spacing w:val="0"/>
          <w:w w:val="100"/>
          <w:position w:val="0"/>
          <w:sz w:val="22"/>
          <w:szCs w:val="22"/>
        </w:rPr>
        <w:t>一</w:t>
      </w:r>
      <w:bookmarkEnd w:id="776"/>
      <w:r>
        <w:rPr>
          <w:color w:val="000000"/>
          <w:spacing w:val="0"/>
          <w:w w:val="100"/>
          <w:position w:val="0"/>
          <w:sz w:val="22"/>
          <w:szCs w:val="22"/>
        </w:rPr>
        <w:t>、</w:t>
        <w:tab/>
        <w:t>公司简介</w:t>
      </w:r>
    </w:p>
    <w:p>
      <w:pPr>
        <w:pStyle w:val="Style5"/>
        <w:keepNext w:val="0"/>
        <w:keepLines w:val="0"/>
        <w:widowControl w:val="0"/>
        <w:shd w:val="clear" w:color="auto" w:fill="auto"/>
        <w:tabs>
          <w:tab w:pos="670" w:val="left"/>
        </w:tabs>
        <w:bidi w:val="0"/>
        <w:spacing w:before="0" w:after="260" w:line="311" w:lineRule="exact"/>
        <w:ind w:left="0" w:right="0" w:firstLine="0"/>
        <w:jc w:val="left"/>
        <w:rPr>
          <w:sz w:val="22"/>
          <w:szCs w:val="22"/>
        </w:rPr>
      </w:pPr>
      <w:bookmarkStart w:id="777" w:name="bookmark777"/>
      <w:r>
        <w:rPr>
          <w:rFonts w:ascii="Times New Roman" w:eastAsia="Times New Roman" w:hAnsi="Times New Roman" w:cs="Times New Roman"/>
          <w:color w:val="000000"/>
          <w:spacing w:val="0"/>
          <w:w w:val="100"/>
          <w:position w:val="0"/>
          <w:sz w:val="24"/>
          <w:szCs w:val="24"/>
        </w:rPr>
        <w:t>1</w:t>
      </w:r>
      <w:bookmarkEnd w:id="777"/>
      <w:r>
        <w:rPr>
          <w:color w:val="000000"/>
          <w:spacing w:val="0"/>
          <w:w w:val="100"/>
          <w:position w:val="0"/>
          <w:sz w:val="22"/>
          <w:szCs w:val="22"/>
        </w:rPr>
        <w:t>、</w:t>
        <w:tab/>
        <w:t>中国联合网络通信股份有限公司简介</w:t>
      </w:r>
    </w:p>
    <w:p>
      <w:pPr>
        <w:pStyle w:val="Style5"/>
        <w:keepNext w:val="0"/>
        <w:keepLines w:val="0"/>
        <w:widowControl w:val="0"/>
        <w:shd w:val="clear" w:color="auto" w:fill="auto"/>
        <w:bidi w:val="0"/>
        <w:spacing w:before="0" w:after="260" w:line="311" w:lineRule="exact"/>
        <w:ind w:left="740" w:right="0" w:firstLine="0"/>
        <w:jc w:val="both"/>
        <w:rPr>
          <w:sz w:val="22"/>
          <w:szCs w:val="22"/>
        </w:rPr>
      </w:pPr>
      <w:r>
        <w:rPr>
          <w:color w:val="000000"/>
          <w:spacing w:val="0"/>
          <w:w w:val="100"/>
          <w:position w:val="0"/>
          <w:sz w:val="22"/>
          <w:szCs w:val="22"/>
        </w:rPr>
        <w:t>中国联合网络通信股份有限公司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是根据国务院批准的重组方案，由中国联合网 络通信集团有限公司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联通集团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以其于中国联通</w:t>
      </w:r>
      <w:r>
        <w:rPr>
          <w:rFonts w:ascii="Times New Roman" w:eastAsia="Times New Roman" w:hAnsi="Times New Roman" w:cs="Times New Roman"/>
          <w:color w:val="000000"/>
          <w:spacing w:val="0"/>
          <w:w w:val="100"/>
          <w:position w:val="0"/>
          <w:sz w:val="24"/>
          <w:szCs w:val="24"/>
        </w:rPr>
        <w:t>（BVI</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w:t>
      </w:r>
      <w:r>
        <w:rPr>
          <w:rFonts w:ascii="Times New Roman" w:eastAsia="Times New Roman" w:hAnsi="Times New Roman" w:cs="Times New Roman"/>
          <w:color w:val="000000"/>
          <w:spacing w:val="0"/>
          <w:w w:val="100"/>
          <w:position w:val="0"/>
          <w:sz w:val="24"/>
          <w:szCs w:val="24"/>
        </w:rPr>
        <w:t xml:space="preserve">51% </w:t>
      </w:r>
      <w:r>
        <w:rPr>
          <w:color w:val="000000"/>
          <w:spacing w:val="0"/>
          <w:w w:val="100"/>
          <w:position w:val="0"/>
          <w:sz w:val="22"/>
          <w:szCs w:val="22"/>
        </w:rPr>
        <w:t>股权投资所对应的经评估的净资产出资，并联合其他四家发起单位以现金出资于</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日在中华人民共和国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上海成立的股份有限公司，经批准的经营范围为从事 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内外电信行业的投资，于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年本公司注册地址由上海变更为北京。本公司目前只 直接持有对联通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公司的股权投资。本公司通过联通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公司及其子公司中国联合网络 通信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联通红筹公司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控股中国联合网络通信有限公司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联通运营公 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。联通运营公司是一家在中国境内提供综合电信服务的大型电信公司，其主营业务为 在中国境内提供语音通话、增值服务、宽带及移动数据服务、数据及其他互联网应用、电 路及网元服务等。</w:t>
      </w:r>
    </w:p>
    <w:p>
      <w:pPr>
        <w:pStyle w:val="Style5"/>
        <w:keepNext w:val="0"/>
        <w:keepLines w:val="0"/>
        <w:widowControl w:val="0"/>
        <w:shd w:val="clear" w:color="auto" w:fill="auto"/>
        <w:bidi w:val="0"/>
        <w:spacing w:before="0" w:after="260" w:line="311" w:lineRule="exact"/>
        <w:ind w:left="0" w:right="0" w:firstLine="740"/>
        <w:jc w:val="both"/>
        <w:rPr>
          <w:sz w:val="22"/>
          <w:szCs w:val="22"/>
        </w:rPr>
      </w:pPr>
      <w:r>
        <w:rPr>
          <w:color w:val="000000"/>
          <w:spacing w:val="0"/>
          <w:w w:val="100"/>
          <w:position w:val="0"/>
          <w:sz w:val="22"/>
          <w:szCs w:val="22"/>
        </w:rPr>
        <w:t>本公司的母公司及最终控股公司为联通集团。</w:t>
      </w:r>
    </w:p>
    <w:p>
      <w:pPr>
        <w:pStyle w:val="Style5"/>
        <w:keepNext w:val="0"/>
        <w:keepLines w:val="0"/>
        <w:widowControl w:val="0"/>
        <w:shd w:val="clear" w:color="auto" w:fill="auto"/>
        <w:bidi w:val="0"/>
        <w:spacing w:before="0" w:after="260" w:line="311" w:lineRule="exact"/>
        <w:ind w:left="0" w:right="0" w:firstLine="740"/>
        <w:jc w:val="both"/>
        <w:rPr>
          <w:sz w:val="22"/>
          <w:szCs w:val="22"/>
        </w:rPr>
      </w:pPr>
      <w:r>
        <w:rPr>
          <w:color w:val="000000"/>
          <w:spacing w:val="0"/>
          <w:w w:val="100"/>
          <w:position w:val="0"/>
          <w:sz w:val="22"/>
          <w:szCs w:val="22"/>
        </w:rPr>
        <w:t>于下文中本公司及本公司之子公司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详情请参见附注七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统称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tabs>
          <w:tab w:pos="670" w:val="left"/>
        </w:tabs>
        <w:bidi w:val="0"/>
        <w:spacing w:before="0" w:after="520" w:line="311" w:lineRule="exact"/>
        <w:ind w:left="0" w:right="0" w:firstLine="0"/>
        <w:jc w:val="both"/>
        <w:rPr>
          <w:sz w:val="22"/>
          <w:szCs w:val="22"/>
        </w:rPr>
      </w:pPr>
      <w:bookmarkStart w:id="778" w:name="bookmark778"/>
      <w:r>
        <w:rPr>
          <w:rFonts w:ascii="Times New Roman" w:eastAsia="Times New Roman" w:hAnsi="Times New Roman" w:cs="Times New Roman"/>
          <w:color w:val="000000"/>
          <w:spacing w:val="0"/>
          <w:w w:val="100"/>
          <w:position w:val="0"/>
          <w:sz w:val="24"/>
          <w:szCs w:val="24"/>
        </w:rPr>
        <w:t>2</w:t>
      </w:r>
      <w:bookmarkEnd w:id="778"/>
      <w:r>
        <w:rPr>
          <w:color w:val="000000"/>
          <w:spacing w:val="0"/>
          <w:w w:val="100"/>
          <w:position w:val="0"/>
          <w:sz w:val="22"/>
          <w:szCs w:val="22"/>
        </w:rPr>
        <w:t>、</w:t>
        <w:tab/>
        <w:t>本财务报表由本公司董事会于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日批准报出。</w:t>
      </w:r>
    </w:p>
    <w:p>
      <w:pPr>
        <w:pStyle w:val="Style5"/>
        <w:keepNext w:val="0"/>
        <w:keepLines w:val="0"/>
        <w:widowControl w:val="0"/>
        <w:shd w:val="clear" w:color="auto" w:fill="auto"/>
        <w:tabs>
          <w:tab w:pos="670" w:val="left"/>
        </w:tabs>
        <w:bidi w:val="0"/>
        <w:spacing w:before="0" w:after="260" w:line="313" w:lineRule="exact"/>
        <w:ind w:left="0" w:right="0" w:firstLine="0"/>
        <w:jc w:val="both"/>
        <w:rPr>
          <w:sz w:val="22"/>
          <w:szCs w:val="22"/>
        </w:rPr>
      </w:pPr>
      <w:bookmarkStart w:id="779" w:name="bookmark779"/>
      <w:r>
        <w:rPr>
          <w:color w:val="000000"/>
          <w:spacing w:val="0"/>
          <w:w w:val="100"/>
          <w:position w:val="0"/>
          <w:sz w:val="22"/>
          <w:szCs w:val="22"/>
        </w:rPr>
        <w:t>二</w:t>
      </w:r>
      <w:bookmarkEnd w:id="779"/>
      <w:r>
        <w:rPr>
          <w:color w:val="000000"/>
          <w:spacing w:val="0"/>
          <w:w w:val="100"/>
          <w:position w:val="0"/>
          <w:sz w:val="22"/>
          <w:szCs w:val="22"/>
        </w:rPr>
        <w:t>、</w:t>
        <w:tab/>
        <w:t>财务报表的编制基础</w:t>
      </w:r>
    </w:p>
    <w:p>
      <w:pPr>
        <w:pStyle w:val="Style5"/>
        <w:keepNext w:val="0"/>
        <w:keepLines w:val="0"/>
        <w:widowControl w:val="0"/>
        <w:shd w:val="clear" w:color="auto" w:fill="auto"/>
        <w:bidi w:val="0"/>
        <w:spacing w:before="0" w:after="300" w:line="313" w:lineRule="exact"/>
        <w:ind w:left="0" w:right="0" w:firstLine="740"/>
        <w:jc w:val="both"/>
        <w:rPr>
          <w:sz w:val="22"/>
          <w:szCs w:val="22"/>
        </w:rPr>
      </w:pPr>
      <w:r>
        <w:rPr>
          <w:color w:val="000000"/>
          <w:spacing w:val="0"/>
          <w:w w:val="100"/>
          <w:position w:val="0"/>
          <w:sz w:val="22"/>
          <w:szCs w:val="22"/>
        </w:rPr>
        <w:t>本公司以持续经营为基础编制财务报表。</w:t>
      </w:r>
    </w:p>
    <w:p>
      <w:pPr>
        <w:pStyle w:val="Style5"/>
        <w:keepNext w:val="0"/>
        <w:keepLines w:val="0"/>
        <w:widowControl w:val="0"/>
        <w:shd w:val="clear" w:color="auto" w:fill="auto"/>
        <w:tabs>
          <w:tab w:pos="670" w:val="left"/>
        </w:tabs>
        <w:bidi w:val="0"/>
        <w:spacing w:before="0" w:after="260" w:line="271" w:lineRule="auto"/>
        <w:ind w:left="0" w:right="0" w:firstLine="0"/>
        <w:jc w:val="both"/>
        <w:rPr>
          <w:sz w:val="22"/>
          <w:szCs w:val="22"/>
        </w:rPr>
      </w:pPr>
      <w:bookmarkStart w:id="780" w:name="bookmark780"/>
      <w:r>
        <w:rPr>
          <w:rFonts w:ascii="Times New Roman" w:eastAsia="Times New Roman" w:hAnsi="Times New Roman" w:cs="Times New Roman"/>
          <w:color w:val="000000"/>
          <w:spacing w:val="0"/>
          <w:w w:val="100"/>
          <w:position w:val="0"/>
          <w:sz w:val="24"/>
          <w:szCs w:val="24"/>
        </w:rPr>
        <w:t>1</w:t>
      </w:r>
      <w:bookmarkEnd w:id="780"/>
      <w:r>
        <w:rPr>
          <w:color w:val="000000"/>
          <w:spacing w:val="0"/>
          <w:w w:val="100"/>
          <w:position w:val="0"/>
          <w:sz w:val="22"/>
          <w:szCs w:val="22"/>
        </w:rPr>
        <w:t>、</w:t>
        <w:tab/>
        <w:t>合并报表</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日，联通红筹公司与中国网通集团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网通红筹公司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 协议安排通过换股方式完成了两家公司的合并。交易完成后，本公司所属子公司联通</w:t>
      </w:r>
      <w:r>
        <w:rPr>
          <w:rFonts w:ascii="Times New Roman" w:eastAsia="Times New Roman" w:hAnsi="Times New Roman" w:cs="Times New Roman"/>
          <w:color w:val="000000"/>
          <w:spacing w:val="0"/>
          <w:w w:val="100"/>
          <w:position w:val="0"/>
          <w:sz w:val="24"/>
          <w:szCs w:val="24"/>
        </w:rPr>
        <w:t xml:space="preserve">BVI </w:t>
      </w:r>
      <w:r>
        <w:rPr>
          <w:color w:val="000000"/>
          <w:spacing w:val="0"/>
          <w:w w:val="100"/>
          <w:position w:val="0"/>
          <w:sz w:val="22"/>
          <w:szCs w:val="22"/>
        </w:rPr>
        <w:t>公司对联通红筹公司的持股比例由合并前的</w:t>
      </w:r>
      <w:r>
        <w:rPr>
          <w:rFonts w:ascii="Times New Roman" w:eastAsia="Times New Roman" w:hAnsi="Times New Roman" w:cs="Times New Roman"/>
          <w:color w:val="000000"/>
          <w:spacing w:val="0"/>
          <w:w w:val="100"/>
          <w:position w:val="0"/>
          <w:sz w:val="24"/>
          <w:szCs w:val="24"/>
        </w:rPr>
        <w:t>71.17%（</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下降为合并后的 </w:t>
      </w:r>
      <w:r>
        <w:rPr>
          <w:rFonts w:ascii="Times New Roman" w:eastAsia="Times New Roman" w:hAnsi="Times New Roman" w:cs="Times New Roman"/>
          <w:color w:val="000000"/>
          <w:spacing w:val="0"/>
          <w:w w:val="100"/>
          <w:position w:val="0"/>
          <w:sz w:val="24"/>
          <w:szCs w:val="24"/>
        </w:rPr>
        <w:t>40.92%</w:t>
      </w:r>
      <w:r>
        <w:rPr>
          <w:color w:val="000000"/>
          <w:spacing w:val="0"/>
          <w:w w:val="100"/>
          <w:position w:val="0"/>
          <w:sz w:val="22"/>
          <w:szCs w:val="22"/>
        </w:rPr>
        <w:t>。</w:t>
      </w:r>
    </w:p>
    <w:p>
      <w:pPr>
        <w:pStyle w:val="Style5"/>
        <w:keepNext w:val="0"/>
        <w:keepLines w:val="0"/>
        <w:widowControl w:val="0"/>
        <w:shd w:val="clear" w:color="auto" w:fill="auto"/>
        <w:bidi w:val="0"/>
        <w:spacing w:before="0" w:after="260" w:line="313" w:lineRule="exact"/>
        <w:ind w:left="740" w:right="0" w:firstLine="0"/>
        <w:jc w:val="both"/>
        <w:rPr>
          <w:sz w:val="22"/>
          <w:szCs w:val="22"/>
        </w:rPr>
      </w:pPr>
      <w:r>
        <w:rPr>
          <w:color w:val="000000"/>
          <w:spacing w:val="0"/>
          <w:w w:val="100"/>
          <w:position w:val="0"/>
          <w:sz w:val="22"/>
          <w:szCs w:val="22"/>
        </w:rPr>
        <w:t>为确保联通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公司对联通红筹公司的控制，联通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公司和中国联通集团</w:t>
      </w:r>
      <w:r>
        <w:rPr>
          <w:rFonts w:ascii="Times New Roman" w:eastAsia="Times New Roman" w:hAnsi="Times New Roman" w:cs="Times New Roman"/>
          <w:color w:val="000000"/>
          <w:spacing w:val="0"/>
          <w:w w:val="100"/>
          <w:position w:val="0"/>
          <w:sz w:val="24"/>
          <w:szCs w:val="24"/>
        </w:rPr>
        <w:t>（BVI</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有限公 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联通集团</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，联通红筹公司另一股东，于合并后持有联通红筹公司约</w:t>
      </w:r>
      <w:r>
        <w:rPr>
          <w:rFonts w:ascii="Times New Roman" w:eastAsia="Times New Roman" w:hAnsi="Times New Roman" w:cs="Times New Roman"/>
          <w:color w:val="000000"/>
          <w:spacing w:val="0"/>
          <w:w w:val="100"/>
          <w:position w:val="0"/>
          <w:sz w:val="24"/>
          <w:szCs w:val="24"/>
        </w:rPr>
        <w:t xml:space="preserve">29.49% </w:t>
      </w:r>
      <w:r>
        <w:rPr>
          <w:color w:val="000000"/>
          <w:spacing w:val="0"/>
          <w:w w:val="100"/>
          <w:position w:val="0"/>
          <w:sz w:val="22"/>
          <w:szCs w:val="22"/>
        </w:rPr>
        <w:t>的股份，原名为中国网通集团</w:t>
      </w:r>
      <w:r>
        <w:rPr>
          <w:rFonts w:ascii="Times New Roman" w:eastAsia="Times New Roman" w:hAnsi="Times New Roman" w:cs="Times New Roman"/>
          <w:color w:val="000000"/>
          <w:spacing w:val="0"/>
          <w:w w:val="100"/>
          <w:position w:val="0"/>
          <w:sz w:val="24"/>
          <w:szCs w:val="24"/>
        </w:rPr>
        <w:t>（BVI</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有限公司，于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日进行了公司名称变更</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日签订了《一致行动方协议》，同时联通集团</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公司还于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日向联通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公司发出函件确认其持有的对联通红筹公司的表决权将由联通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 司控制，并且未经联通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公司的事先批准，联通集团</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公司将不会提呈任何决议，以 供在联通红筹公司的任何股东大会上审议。</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1" w:val="left"/>
        </w:tabs>
        <w:bidi w:val="0"/>
        <w:spacing w:before="0" w:after="280" w:line="312" w:lineRule="exact"/>
        <w:ind w:left="0" w:right="0" w:firstLine="0"/>
        <w:jc w:val="both"/>
        <w:rPr>
          <w:sz w:val="22"/>
          <w:szCs w:val="22"/>
        </w:rPr>
      </w:pPr>
      <w:bookmarkStart w:id="781" w:name="bookmark781"/>
      <w:r>
        <w:rPr>
          <w:color w:val="000000"/>
          <w:spacing w:val="0"/>
          <w:w w:val="100"/>
          <w:position w:val="0"/>
          <w:sz w:val="22"/>
          <w:szCs w:val="22"/>
        </w:rPr>
        <w:t>二</w:t>
      </w:r>
      <w:bookmarkEnd w:id="781"/>
      <w:r>
        <w:rPr>
          <w:color w:val="000000"/>
          <w:spacing w:val="0"/>
          <w:w w:val="100"/>
          <w:position w:val="0"/>
          <w:sz w:val="22"/>
          <w:szCs w:val="22"/>
        </w:rPr>
        <w:t>、</w:t>
        <w:tab/>
        <w:t>财务报表的编制基础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1" w:val="left"/>
        </w:tabs>
        <w:bidi w:val="0"/>
        <w:spacing w:before="0" w:after="200" w:line="271" w:lineRule="auto"/>
        <w:ind w:left="0" w:right="0" w:firstLine="0"/>
        <w:jc w:val="both"/>
        <w:rPr>
          <w:sz w:val="22"/>
          <w:szCs w:val="22"/>
        </w:rPr>
      </w:pPr>
      <w:bookmarkStart w:id="782" w:name="bookmark782"/>
      <w:r>
        <w:rPr>
          <w:rFonts w:ascii="Times New Roman" w:eastAsia="Times New Roman" w:hAnsi="Times New Roman" w:cs="Times New Roman"/>
          <w:color w:val="000000"/>
          <w:spacing w:val="0"/>
          <w:w w:val="100"/>
          <w:position w:val="0"/>
          <w:sz w:val="24"/>
          <w:szCs w:val="24"/>
        </w:rPr>
        <w:t>1</w:t>
      </w:r>
      <w:bookmarkEnd w:id="782"/>
      <w:r>
        <w:rPr>
          <w:color w:val="000000"/>
          <w:spacing w:val="0"/>
          <w:w w:val="100"/>
          <w:position w:val="0"/>
          <w:sz w:val="22"/>
          <w:szCs w:val="22"/>
        </w:rPr>
        <w:t>、</w:t>
        <w:tab/>
        <w:t>合并报表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312" w:lineRule="exact"/>
        <w:ind w:left="740" w:right="0" w:firstLine="0"/>
        <w:jc w:val="both"/>
        <w:rPr>
          <w:sz w:val="22"/>
          <w:szCs w:val="22"/>
        </w:rPr>
      </w:pPr>
      <w:r>
        <w:rPr>
          <w:color w:val="000000"/>
          <w:spacing w:val="0"/>
          <w:w w:val="100"/>
          <w:position w:val="0"/>
          <w:sz w:val="22"/>
          <w:szCs w:val="22"/>
        </w:rPr>
        <w:t>因此，根据上述《一致行动方协议》和确认函件，于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日，在联通红筹公司 和网通红筹公司合并完成后，本公司通过联通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 xml:space="preserve">公司实际控制了联通红筹公司约 </w:t>
      </w:r>
      <w:r>
        <w:rPr>
          <w:rFonts w:ascii="Times New Roman" w:eastAsia="Times New Roman" w:hAnsi="Times New Roman" w:cs="Times New Roman"/>
          <w:color w:val="000000"/>
          <w:spacing w:val="0"/>
          <w:w w:val="100"/>
          <w:position w:val="0"/>
          <w:sz w:val="24"/>
          <w:szCs w:val="24"/>
        </w:rPr>
        <w:t>70.41%</w:t>
      </w:r>
      <w:r>
        <w:rPr>
          <w:color w:val="000000"/>
          <w:spacing w:val="0"/>
          <w:w w:val="100"/>
          <w:position w:val="0"/>
          <w:sz w:val="22"/>
          <w:szCs w:val="22"/>
        </w:rPr>
        <w:t>表决权股份。此后，历经联通红筹公司回购韩国</w:t>
      </w:r>
      <w:r>
        <w:rPr>
          <w:rFonts w:ascii="Times New Roman" w:eastAsia="Times New Roman" w:hAnsi="Times New Roman" w:cs="Times New Roman"/>
          <w:color w:val="000000"/>
          <w:spacing w:val="0"/>
          <w:w w:val="100"/>
          <w:position w:val="0"/>
          <w:sz w:val="24"/>
          <w:szCs w:val="24"/>
        </w:rPr>
        <w:t>SK</w:t>
      </w:r>
      <w:r>
        <w:rPr>
          <w:color w:val="000000"/>
          <w:spacing w:val="0"/>
          <w:w w:val="100"/>
          <w:position w:val="0"/>
          <w:sz w:val="22"/>
          <w:szCs w:val="22"/>
        </w:rPr>
        <w:t>电讯株式会社</w:t>
      </w:r>
      <w:r>
        <w:rPr>
          <w:rFonts w:ascii="Times New Roman" w:eastAsia="Times New Roman" w:hAnsi="Times New Roman" w:cs="Times New Roman"/>
          <w:color w:val="000000"/>
          <w:spacing w:val="0"/>
          <w:w w:val="100"/>
          <w:position w:val="0"/>
          <w:sz w:val="24"/>
          <w:szCs w:val="24"/>
        </w:rPr>
        <w:t>（“SKT”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持有的联 通红筹公司股份以及联通红筹公司与</w:t>
      </w:r>
      <w:r>
        <w:rPr>
          <w:rFonts w:ascii="Times New Roman" w:eastAsia="Times New Roman" w:hAnsi="Times New Roman" w:cs="Times New Roman"/>
          <w:color w:val="000000"/>
          <w:spacing w:val="0"/>
          <w:w w:val="100"/>
          <w:position w:val="0"/>
          <w:sz w:val="24"/>
          <w:szCs w:val="24"/>
        </w:rPr>
        <w:t>Telefonica, S.A.（“</w:t>
      </w:r>
      <w:r>
        <w:rPr>
          <w:color w:val="000000"/>
          <w:spacing w:val="0"/>
          <w:w w:val="100"/>
          <w:position w:val="0"/>
          <w:sz w:val="22"/>
          <w:szCs w:val="22"/>
        </w:rPr>
        <w:t>西班牙电信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互相投资和西班牙电信 将其持有的联通红筹公司股份转让予联通集团</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公司等事项，于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 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公司和联通集团</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公司合计持有联通红筹公司</w:t>
      </w:r>
      <w:r>
        <w:rPr>
          <w:rFonts w:ascii="Times New Roman" w:eastAsia="Times New Roman" w:hAnsi="Times New Roman" w:cs="Times New Roman"/>
          <w:color w:val="000000"/>
          <w:spacing w:val="0"/>
          <w:w w:val="100"/>
          <w:position w:val="0"/>
          <w:sz w:val="24"/>
          <w:szCs w:val="24"/>
        </w:rPr>
        <w:t>74.36%</w:t>
      </w:r>
      <w:r>
        <w:rPr>
          <w:color w:val="000000"/>
          <w:spacing w:val="0"/>
          <w:w w:val="100"/>
          <w:position w:val="0"/>
          <w:sz w:val="22"/>
          <w:szCs w:val="22"/>
        </w:rPr>
        <w:t>表决权比例。于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公司认购联通红筹公司配售的股份后，联通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 xml:space="preserve">公司和联通集团 </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公司合计持有联通红筹公司的表决权比例上升至</w:t>
      </w:r>
      <w:r>
        <w:rPr>
          <w:rFonts w:ascii="Times New Roman" w:eastAsia="Times New Roman" w:hAnsi="Times New Roman" w:cs="Times New Roman"/>
          <w:color w:val="000000"/>
          <w:spacing w:val="0"/>
          <w:w w:val="100"/>
          <w:position w:val="0"/>
          <w:sz w:val="24"/>
          <w:szCs w:val="24"/>
        </w:rPr>
        <w:t>79.93%（</w:t>
      </w:r>
      <w:r>
        <w:rPr>
          <w:color w:val="000000"/>
          <w:spacing w:val="0"/>
          <w:w w:val="100"/>
          <w:position w:val="0"/>
          <w:sz w:val="22"/>
          <w:szCs w:val="22"/>
        </w:rPr>
        <w:t>其中联通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公司的持股比 例为</w:t>
      </w:r>
      <w:r>
        <w:rPr>
          <w:rFonts w:ascii="Times New Roman" w:eastAsia="Times New Roman" w:hAnsi="Times New Roman" w:cs="Times New Roman"/>
          <w:color w:val="000000"/>
          <w:spacing w:val="0"/>
          <w:w w:val="100"/>
          <w:position w:val="0"/>
          <w:sz w:val="24"/>
          <w:szCs w:val="24"/>
        </w:rPr>
        <w:t>53.52%</w:t>
      </w:r>
      <w:r>
        <w:rPr>
          <w:color w:val="000000"/>
          <w:spacing w:val="0"/>
          <w:w w:val="100"/>
          <w:position w:val="0"/>
          <w:sz w:val="22"/>
          <w:szCs w:val="22"/>
        </w:rPr>
        <w:t>，联通集团</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公司的持股比例为</w:t>
      </w:r>
      <w:r>
        <w:rPr>
          <w:rFonts w:ascii="Times New Roman" w:eastAsia="Times New Roman" w:hAnsi="Times New Roman" w:cs="Times New Roman"/>
          <w:color w:val="000000"/>
          <w:spacing w:val="0"/>
          <w:w w:val="100"/>
          <w:position w:val="0"/>
          <w:sz w:val="24"/>
          <w:szCs w:val="24"/>
        </w:rPr>
        <w:t>26.41%）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 xml:space="preserve">日，联通 </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公司和联通集团</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公司对联通红筹公司的表决权比例保持不变。因此联通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 仍控制联通红筹公司，联通红筹公司亦继续被纳入本公司的合并财务报表范围。</w:t>
      </w:r>
    </w:p>
    <w:p>
      <w:pPr>
        <w:pStyle w:val="Style5"/>
        <w:keepNext w:val="0"/>
        <w:keepLines w:val="0"/>
        <w:widowControl w:val="0"/>
        <w:shd w:val="clear" w:color="auto" w:fill="auto"/>
        <w:tabs>
          <w:tab w:pos="691" w:val="left"/>
        </w:tabs>
        <w:bidi w:val="0"/>
        <w:spacing w:before="0" w:after="200" w:line="271" w:lineRule="auto"/>
        <w:ind w:left="0" w:right="0" w:firstLine="0"/>
        <w:jc w:val="both"/>
        <w:rPr>
          <w:sz w:val="22"/>
          <w:szCs w:val="22"/>
        </w:rPr>
      </w:pPr>
      <w:bookmarkStart w:id="783" w:name="bookmark783"/>
      <w:r>
        <w:rPr>
          <w:rFonts w:ascii="Times New Roman" w:eastAsia="Times New Roman" w:hAnsi="Times New Roman" w:cs="Times New Roman"/>
          <w:color w:val="000000"/>
          <w:spacing w:val="0"/>
          <w:w w:val="100"/>
          <w:position w:val="0"/>
          <w:sz w:val="24"/>
          <w:szCs w:val="24"/>
        </w:rPr>
        <w:t>2</w:t>
      </w:r>
      <w:bookmarkEnd w:id="783"/>
      <w:r>
        <w:rPr>
          <w:color w:val="000000"/>
          <w:spacing w:val="0"/>
          <w:w w:val="100"/>
          <w:position w:val="0"/>
          <w:sz w:val="22"/>
          <w:szCs w:val="22"/>
        </w:rPr>
        <w:t>、</w:t>
        <w:tab/>
        <w:t>持续经营</w:t>
      </w:r>
    </w:p>
    <w:p>
      <w:pPr>
        <w:pStyle w:val="Style5"/>
        <w:keepNext w:val="0"/>
        <w:keepLines w:val="0"/>
        <w:widowControl w:val="0"/>
        <w:shd w:val="clear" w:color="auto" w:fill="auto"/>
        <w:bidi w:val="0"/>
        <w:spacing w:before="0" w:after="280" w:line="319" w:lineRule="exact"/>
        <w:ind w:left="740" w:right="0" w:firstLine="0"/>
        <w:jc w:val="left"/>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日，本集团的流动负债超出流动资产约人民币</w:t>
      </w:r>
      <w:r>
        <w:rPr>
          <w:rFonts w:ascii="Times New Roman" w:eastAsia="Times New Roman" w:hAnsi="Times New Roman" w:cs="Times New Roman"/>
          <w:color w:val="000000"/>
          <w:spacing w:val="0"/>
          <w:w w:val="100"/>
          <w:position w:val="0"/>
          <w:sz w:val="24"/>
          <w:szCs w:val="24"/>
        </w:rPr>
        <w:t>1,089</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1,136</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。考虑到当前经济环境，以及本集团在可预见的将来预计的资 本支出，管理层综合考虑了本集团如下可获得的资金来源：</w:t>
      </w:r>
    </w:p>
    <w:p>
      <w:pPr>
        <w:pStyle w:val="Style5"/>
        <w:keepNext w:val="0"/>
        <w:keepLines w:val="0"/>
        <w:widowControl w:val="0"/>
        <w:numPr>
          <w:ilvl w:val="0"/>
          <w:numId w:val="59"/>
        </w:numPr>
        <w:shd w:val="clear" w:color="auto" w:fill="auto"/>
        <w:tabs>
          <w:tab w:pos="1284" w:val="left"/>
        </w:tabs>
        <w:bidi w:val="0"/>
        <w:spacing w:before="0" w:after="0" w:line="312" w:lineRule="exact"/>
        <w:ind w:left="1280" w:right="0" w:hanging="540"/>
        <w:jc w:val="both"/>
        <w:rPr>
          <w:sz w:val="22"/>
          <w:szCs w:val="22"/>
        </w:rPr>
      </w:pPr>
      <w:bookmarkStart w:id="784" w:name="bookmark784"/>
      <w:bookmarkEnd w:id="784"/>
      <w:r>
        <w:rPr>
          <w:color w:val="000000"/>
          <w:spacing w:val="0"/>
          <w:w w:val="100"/>
          <w:position w:val="0"/>
          <w:sz w:val="22"/>
          <w:szCs w:val="22"/>
        </w:rPr>
        <w:t>本集团从经营活动中持续取得的净现金流入；</w:t>
      </w:r>
    </w:p>
    <w:p>
      <w:pPr>
        <w:pStyle w:val="Style5"/>
        <w:keepNext w:val="0"/>
        <w:keepLines w:val="0"/>
        <w:widowControl w:val="0"/>
        <w:numPr>
          <w:ilvl w:val="0"/>
          <w:numId w:val="59"/>
        </w:numPr>
        <w:shd w:val="clear" w:color="auto" w:fill="auto"/>
        <w:tabs>
          <w:tab w:pos="1284" w:val="left"/>
        </w:tabs>
        <w:bidi w:val="0"/>
        <w:spacing w:before="0" w:after="0" w:line="312" w:lineRule="exact"/>
        <w:ind w:left="1280" w:right="0" w:hanging="540"/>
        <w:jc w:val="both"/>
        <w:rPr>
          <w:sz w:val="22"/>
          <w:szCs w:val="22"/>
        </w:rPr>
      </w:pPr>
      <w:bookmarkStart w:id="785" w:name="bookmark785"/>
      <w:bookmarkEnd w:id="785"/>
      <w:r>
        <w:rPr>
          <w:color w:val="000000"/>
          <w:spacing w:val="0"/>
          <w:w w:val="100"/>
          <w:position w:val="0"/>
          <w:sz w:val="22"/>
          <w:szCs w:val="22"/>
        </w:rPr>
        <w:t>循环银行信贷额度约为人民币</w:t>
      </w:r>
      <w:r>
        <w:rPr>
          <w:rFonts w:ascii="Times New Roman" w:eastAsia="Times New Roman" w:hAnsi="Times New Roman" w:cs="Times New Roman"/>
          <w:color w:val="000000"/>
          <w:spacing w:val="0"/>
          <w:w w:val="100"/>
          <w:position w:val="0"/>
          <w:sz w:val="24"/>
          <w:szCs w:val="24"/>
        </w:rPr>
        <w:t>2,375</w:t>
      </w:r>
      <w:r>
        <w:rPr>
          <w:color w:val="000000"/>
          <w:spacing w:val="0"/>
          <w:w w:val="100"/>
          <w:position w:val="0"/>
          <w:sz w:val="22"/>
          <w:szCs w:val="22"/>
        </w:rPr>
        <w:t>亿元。于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日，尚未使用的额度 约为人民币</w:t>
      </w:r>
      <w:r>
        <w:rPr>
          <w:rFonts w:ascii="Times New Roman" w:eastAsia="Times New Roman" w:hAnsi="Times New Roman" w:cs="Times New Roman"/>
          <w:color w:val="000000"/>
          <w:spacing w:val="0"/>
          <w:w w:val="100"/>
          <w:position w:val="0"/>
          <w:sz w:val="24"/>
          <w:szCs w:val="24"/>
        </w:rPr>
        <w:t>2,233</w:t>
      </w:r>
      <w:r>
        <w:rPr>
          <w:color w:val="000000"/>
          <w:spacing w:val="0"/>
          <w:w w:val="100"/>
          <w:position w:val="0"/>
          <w:sz w:val="22"/>
          <w:szCs w:val="22"/>
        </w:rPr>
        <w:t>亿元；及</w:t>
      </w:r>
    </w:p>
    <w:p>
      <w:pPr>
        <w:pStyle w:val="Style5"/>
        <w:keepNext w:val="0"/>
        <w:keepLines w:val="0"/>
        <w:widowControl w:val="0"/>
        <w:numPr>
          <w:ilvl w:val="0"/>
          <w:numId w:val="59"/>
        </w:numPr>
        <w:shd w:val="clear" w:color="auto" w:fill="auto"/>
        <w:tabs>
          <w:tab w:pos="1284" w:val="left"/>
        </w:tabs>
        <w:bidi w:val="0"/>
        <w:spacing w:before="0" w:after="280" w:line="312" w:lineRule="exact"/>
        <w:ind w:left="740" w:right="0" w:firstLine="0"/>
        <w:jc w:val="both"/>
        <w:rPr>
          <w:sz w:val="22"/>
          <w:szCs w:val="22"/>
        </w:rPr>
      </w:pPr>
      <w:bookmarkStart w:id="786" w:name="bookmark786"/>
      <w:bookmarkEnd w:id="786"/>
      <w:r>
        <w:rPr>
          <w:color w:val="000000"/>
          <w:spacing w:val="0"/>
          <w:w w:val="100"/>
          <w:position w:val="0"/>
          <w:sz w:val="22"/>
          <w:szCs w:val="22"/>
        </w:rPr>
        <w:t>考虑到本集团的信贷记录，从国内银行和其他金融机构获得的其他融资渠道。</w:t>
      </w:r>
    </w:p>
    <w:p>
      <w:pPr>
        <w:pStyle w:val="Style5"/>
        <w:keepNext w:val="0"/>
        <w:keepLines w:val="0"/>
        <w:widowControl w:val="0"/>
        <w:shd w:val="clear" w:color="auto" w:fill="auto"/>
        <w:bidi w:val="0"/>
        <w:spacing w:before="0" w:after="280" w:line="307" w:lineRule="exact"/>
        <w:ind w:left="740" w:right="0" w:firstLine="0"/>
        <w:jc w:val="both"/>
        <w:rPr>
          <w:sz w:val="22"/>
          <w:szCs w:val="22"/>
        </w:rPr>
      </w:pPr>
      <w:r>
        <w:rPr>
          <w:color w:val="000000"/>
          <w:spacing w:val="0"/>
          <w:w w:val="100"/>
          <w:position w:val="0"/>
          <w:sz w:val="22"/>
          <w:szCs w:val="22"/>
        </w:rPr>
        <w:t>此外，本集团相信能够通过短、中、长期方式筹集资金，并通过适当安排融资组合以保持 合理的融资成本。</w:t>
      </w:r>
    </w:p>
    <w:p>
      <w:pPr>
        <w:pStyle w:val="Style5"/>
        <w:keepNext w:val="0"/>
        <w:keepLines w:val="0"/>
        <w:widowControl w:val="0"/>
        <w:shd w:val="clear" w:color="auto" w:fill="auto"/>
        <w:bidi w:val="0"/>
        <w:spacing w:before="0" w:after="280" w:line="298" w:lineRule="exact"/>
        <w:ind w:left="740" w:right="0" w:firstLine="0"/>
        <w:jc w:val="both"/>
        <w:rPr>
          <w:sz w:val="22"/>
          <w:szCs w:val="22"/>
        </w:rPr>
      </w:pPr>
      <w:r>
        <w:rPr>
          <w:color w:val="000000"/>
          <w:spacing w:val="0"/>
          <w:w w:val="100"/>
          <w:position w:val="0"/>
          <w:sz w:val="22"/>
          <w:szCs w:val="22"/>
        </w:rPr>
        <w:t>基于以上考虑，董事会认为本集团有足够的资金以满足营运资金、资本开支和偿债所需。 因此，本集团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年度财务报表按持续经营基础编制。</w:t>
      </w:r>
    </w:p>
    <w:p>
      <w:pPr>
        <w:pStyle w:val="Style5"/>
        <w:keepNext w:val="0"/>
        <w:keepLines w:val="0"/>
        <w:widowControl w:val="0"/>
        <w:shd w:val="clear" w:color="auto" w:fill="auto"/>
        <w:tabs>
          <w:tab w:pos="691" w:val="left"/>
        </w:tabs>
        <w:bidi w:val="0"/>
        <w:spacing w:before="0" w:after="280" w:line="312" w:lineRule="exact"/>
        <w:ind w:left="0" w:right="0" w:firstLine="0"/>
        <w:jc w:val="both"/>
        <w:rPr>
          <w:sz w:val="22"/>
          <w:szCs w:val="22"/>
        </w:rPr>
      </w:pPr>
      <w:bookmarkStart w:id="787" w:name="bookmark787"/>
      <w:r>
        <w:rPr>
          <w:rFonts w:ascii="Times New Roman" w:eastAsia="Times New Roman" w:hAnsi="Times New Roman" w:cs="Times New Roman"/>
          <w:color w:val="000000"/>
          <w:spacing w:val="0"/>
          <w:w w:val="100"/>
          <w:position w:val="0"/>
          <w:sz w:val="24"/>
          <w:szCs w:val="24"/>
        </w:rPr>
        <w:t>3</w:t>
      </w:r>
      <w:bookmarkEnd w:id="787"/>
      <w:r>
        <w:rPr>
          <w:color w:val="000000"/>
          <w:spacing w:val="0"/>
          <w:w w:val="100"/>
          <w:position w:val="0"/>
          <w:sz w:val="22"/>
          <w:szCs w:val="22"/>
        </w:rPr>
        <w:t>、</w:t>
        <w:tab/>
        <w:t>记账基础和计价原则</w:t>
      </w:r>
    </w:p>
    <w:p>
      <w:pPr>
        <w:pStyle w:val="Style5"/>
        <w:keepNext w:val="0"/>
        <w:keepLines w:val="0"/>
        <w:widowControl w:val="0"/>
        <w:shd w:val="clear" w:color="auto" w:fill="auto"/>
        <w:bidi w:val="0"/>
        <w:spacing w:before="0" w:after="280" w:line="307" w:lineRule="exact"/>
        <w:ind w:left="740" w:right="0" w:firstLine="0"/>
        <w:jc w:val="both"/>
        <w:rPr>
          <w:sz w:val="22"/>
          <w:szCs w:val="22"/>
        </w:rPr>
      </w:pPr>
      <w:r>
        <w:rPr>
          <w:color w:val="000000"/>
          <w:spacing w:val="0"/>
          <w:w w:val="100"/>
          <w:position w:val="0"/>
          <w:sz w:val="22"/>
          <w:szCs w:val="22"/>
        </w:rPr>
        <w:t>本集团会计核算以权责发生制为记账基础。除某些金融工具以公允价值计量外，本财务报 表以历史成本作为计量基础。资产如果发生减值，则按照相关规定计提相应的减值准备。</w:t>
      </w:r>
    </w:p>
    <w:p>
      <w:pPr>
        <w:pStyle w:val="Style5"/>
        <w:keepNext w:val="0"/>
        <w:keepLines w:val="0"/>
        <w:widowControl w:val="0"/>
        <w:shd w:val="clear" w:color="auto" w:fill="auto"/>
        <w:bidi w:val="0"/>
        <w:spacing w:before="0" w:after="280" w:line="310" w:lineRule="exact"/>
        <w:ind w:left="740" w:right="0" w:firstLine="0"/>
        <w:jc w:val="both"/>
        <w:rPr>
          <w:sz w:val="22"/>
          <w:szCs w:val="22"/>
        </w:rPr>
        <w:sectPr>
          <w:footnotePr>
            <w:pos w:val="pageBottom"/>
            <w:numFmt w:val="decimal"/>
            <w:numRestart w:val="continuous"/>
          </w:footnotePr>
          <w:pgSz w:w="11900" w:h="16840"/>
          <w:pgMar w:top="1599" w:right="710" w:bottom="1052" w:left="980" w:header="0" w:footer="3" w:gutter="0"/>
          <w:cols w:space="720"/>
          <w:noEndnote/>
          <w:rtlGutter w:val="0"/>
          <w:docGrid w:linePitch="360"/>
        </w:sectPr>
      </w:pPr>
      <w:r>
        <w:rPr>
          <w:color w:val="000000"/>
          <w:spacing w:val="0"/>
          <w:w w:val="100"/>
          <w:position w:val="0"/>
          <w:sz w:val="22"/>
          <w:szCs w:val="22"/>
        </w:rPr>
        <w:t>在历史成本计量下，资产按照购置时支付的现金或者现金等价物的金额或者所付出的对价 的公允价值计量。负债按照因承担现时义务而实际收到的款项或者资产的金额，或者承担 现时义务的合同金额，或者按照日常活动中为偿还负债预期需要支付的现金或者现金等价 物的金额计量。</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8" w:val="left"/>
        </w:tabs>
        <w:bidi w:val="0"/>
        <w:spacing w:before="0" w:after="260" w:line="312" w:lineRule="exact"/>
        <w:ind w:left="0" w:right="0" w:firstLine="0"/>
        <w:jc w:val="both"/>
        <w:rPr>
          <w:sz w:val="22"/>
          <w:szCs w:val="22"/>
        </w:rPr>
      </w:pPr>
      <w:bookmarkStart w:id="788" w:name="bookmark788"/>
      <w:r>
        <w:rPr>
          <w:color w:val="000000"/>
          <w:spacing w:val="0"/>
          <w:w w:val="100"/>
          <w:position w:val="0"/>
          <w:sz w:val="22"/>
          <w:szCs w:val="22"/>
        </w:rPr>
        <w:t>二</w:t>
      </w:r>
      <w:bookmarkEnd w:id="788"/>
      <w:r>
        <w:rPr>
          <w:color w:val="000000"/>
          <w:spacing w:val="0"/>
          <w:w w:val="100"/>
          <w:position w:val="0"/>
          <w:sz w:val="22"/>
          <w:szCs w:val="22"/>
        </w:rPr>
        <w:t>、</w:t>
        <w:tab/>
        <w:t>财务报表的编制基础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8" w:val="left"/>
        </w:tabs>
        <w:bidi w:val="0"/>
        <w:spacing w:before="0" w:after="260" w:line="312" w:lineRule="exact"/>
        <w:ind w:left="0" w:right="0" w:firstLine="0"/>
        <w:jc w:val="both"/>
        <w:rPr>
          <w:sz w:val="22"/>
          <w:szCs w:val="22"/>
        </w:rPr>
      </w:pPr>
      <w:bookmarkStart w:id="789" w:name="bookmark789"/>
      <w:r>
        <w:rPr>
          <w:rFonts w:ascii="Times New Roman" w:eastAsia="Times New Roman" w:hAnsi="Times New Roman" w:cs="Times New Roman"/>
          <w:color w:val="000000"/>
          <w:spacing w:val="0"/>
          <w:w w:val="100"/>
          <w:position w:val="0"/>
          <w:sz w:val="24"/>
          <w:szCs w:val="24"/>
        </w:rPr>
        <w:t>3</w:t>
      </w:r>
      <w:bookmarkEnd w:id="789"/>
      <w:r>
        <w:rPr>
          <w:color w:val="000000"/>
          <w:spacing w:val="0"/>
          <w:w w:val="100"/>
          <w:position w:val="0"/>
          <w:sz w:val="22"/>
          <w:szCs w:val="22"/>
        </w:rPr>
        <w:t>、</w:t>
        <w:tab/>
        <w:t>记账基础和计价原则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0" w:lineRule="exact"/>
        <w:ind w:left="740" w:right="0" w:firstLine="0"/>
        <w:jc w:val="both"/>
        <w:rPr>
          <w:sz w:val="22"/>
          <w:szCs w:val="22"/>
        </w:rPr>
      </w:pPr>
      <w:r>
        <w:rPr>
          <w:color w:val="000000"/>
          <w:spacing w:val="0"/>
          <w:w w:val="100"/>
          <w:position w:val="0"/>
          <w:sz w:val="22"/>
          <w:szCs w:val="22"/>
        </w:rPr>
        <w:t>公允价值是市场参与者在计量日发生的有序交易中，出售一项资产所能收到或者转移一项 负债所需支付的价格。无论公允价值是可观察到的还是采用估值技术估计的，在本财务报 表中计量和披露的公允价值均在此基础上予以确定。</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对于以交易价格作为初始确认时的公允价值，且在公允价值后续计量中使用了涉及不可观 察输入值的估值技术的金融资产，在估值过程中校正该估值技术，以使估值技术确定的初 始确认结果与交易价格相等。</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公允价值计量基于公允价值的输入值的可观察程度以及该等输入值对公允价值计量整体的 重要性，被划分为三个层次：</w:t>
      </w:r>
    </w:p>
    <w:p>
      <w:pPr>
        <w:pStyle w:val="Style5"/>
        <w:keepNext w:val="0"/>
        <w:keepLines w:val="0"/>
        <w:widowControl w:val="0"/>
        <w:numPr>
          <w:ilvl w:val="0"/>
          <w:numId w:val="59"/>
        </w:numPr>
        <w:shd w:val="clear" w:color="auto" w:fill="auto"/>
        <w:tabs>
          <w:tab w:pos="1282" w:val="left"/>
        </w:tabs>
        <w:bidi w:val="0"/>
        <w:spacing w:before="0" w:after="0" w:line="322" w:lineRule="exact"/>
        <w:ind w:left="1280" w:right="0" w:hanging="540"/>
        <w:jc w:val="both"/>
        <w:rPr>
          <w:sz w:val="22"/>
          <w:szCs w:val="22"/>
        </w:rPr>
      </w:pPr>
      <w:bookmarkStart w:id="790" w:name="bookmark790"/>
      <w:bookmarkEnd w:id="790"/>
      <w:r>
        <w:rPr>
          <w:color w:val="000000"/>
          <w:spacing w:val="0"/>
          <w:w w:val="100"/>
          <w:position w:val="0"/>
          <w:sz w:val="22"/>
          <w:szCs w:val="22"/>
        </w:rPr>
        <w:t>第一层次输入值是在计量日能够取得的相同资产或负债在活跃市场上未经调整的报 价。</w:t>
      </w:r>
    </w:p>
    <w:p>
      <w:pPr>
        <w:pStyle w:val="Style5"/>
        <w:keepNext w:val="0"/>
        <w:keepLines w:val="0"/>
        <w:widowControl w:val="0"/>
        <w:numPr>
          <w:ilvl w:val="0"/>
          <w:numId w:val="59"/>
        </w:numPr>
        <w:shd w:val="clear" w:color="auto" w:fill="auto"/>
        <w:tabs>
          <w:tab w:pos="1282" w:val="left"/>
        </w:tabs>
        <w:bidi w:val="0"/>
        <w:spacing w:before="0" w:after="0" w:line="322" w:lineRule="exact"/>
        <w:ind w:left="1280" w:right="0" w:hanging="540"/>
        <w:jc w:val="both"/>
        <w:rPr>
          <w:sz w:val="22"/>
          <w:szCs w:val="22"/>
        </w:rPr>
      </w:pPr>
      <w:bookmarkStart w:id="791" w:name="bookmark791"/>
      <w:bookmarkEnd w:id="791"/>
      <w:r>
        <w:rPr>
          <w:color w:val="000000"/>
          <w:spacing w:val="0"/>
          <w:w w:val="100"/>
          <w:position w:val="0"/>
          <w:sz w:val="22"/>
          <w:szCs w:val="22"/>
        </w:rPr>
        <w:t>第二层次输入值是除第一层次输入值外相关资产或负债直接或间接可观察的输入值。</w:t>
      </w:r>
    </w:p>
    <w:p>
      <w:pPr>
        <w:pStyle w:val="Style5"/>
        <w:keepNext w:val="0"/>
        <w:keepLines w:val="0"/>
        <w:widowControl w:val="0"/>
        <w:numPr>
          <w:ilvl w:val="0"/>
          <w:numId w:val="59"/>
        </w:numPr>
        <w:shd w:val="clear" w:color="auto" w:fill="auto"/>
        <w:tabs>
          <w:tab w:pos="1282" w:val="left"/>
        </w:tabs>
        <w:bidi w:val="0"/>
        <w:spacing w:before="0" w:after="540" w:line="322" w:lineRule="exact"/>
        <w:ind w:left="1280" w:right="0" w:hanging="540"/>
        <w:jc w:val="both"/>
        <w:rPr>
          <w:sz w:val="22"/>
          <w:szCs w:val="22"/>
        </w:rPr>
      </w:pPr>
      <w:bookmarkStart w:id="792" w:name="bookmark792"/>
      <w:bookmarkEnd w:id="792"/>
      <w:r>
        <w:rPr>
          <w:color w:val="000000"/>
          <w:spacing w:val="0"/>
          <w:w w:val="100"/>
          <w:position w:val="0"/>
          <w:sz w:val="22"/>
          <w:szCs w:val="22"/>
        </w:rPr>
        <w:t>第三层次输入值是相关资产或负债的不可观察输入值。</w:t>
      </w:r>
    </w:p>
    <w:p>
      <w:pPr>
        <w:pStyle w:val="Style5"/>
        <w:keepNext w:val="0"/>
        <w:keepLines w:val="0"/>
        <w:widowControl w:val="0"/>
        <w:shd w:val="clear" w:color="auto" w:fill="auto"/>
        <w:bidi w:val="0"/>
        <w:spacing w:before="0" w:after="320" w:line="307" w:lineRule="exact"/>
        <w:ind w:left="0" w:right="0" w:firstLine="0"/>
        <w:jc w:val="both"/>
        <w:rPr>
          <w:sz w:val="22"/>
          <w:szCs w:val="22"/>
        </w:rPr>
      </w:pPr>
      <w:bookmarkStart w:id="793" w:name="bookmark793"/>
      <w:r>
        <w:rPr>
          <w:color w:val="000000"/>
          <w:spacing w:val="0"/>
          <w:w w:val="100"/>
          <w:position w:val="0"/>
          <w:sz w:val="22"/>
          <w:szCs w:val="22"/>
        </w:rPr>
        <w:t>三</w:t>
      </w:r>
      <w:bookmarkEnd w:id="793"/>
      <w:r>
        <w:rPr>
          <w:color w:val="000000"/>
          <w:spacing w:val="0"/>
          <w:w w:val="100"/>
          <w:position w:val="0"/>
          <w:sz w:val="22"/>
          <w:szCs w:val="22"/>
        </w:rPr>
        <w:t>、重要会计政策和会计估计</w:t>
      </w:r>
    </w:p>
    <w:p>
      <w:pPr>
        <w:pStyle w:val="Style5"/>
        <w:keepNext w:val="0"/>
        <w:keepLines w:val="0"/>
        <w:widowControl w:val="0"/>
        <w:shd w:val="clear" w:color="auto" w:fill="auto"/>
        <w:tabs>
          <w:tab w:pos="698" w:val="left"/>
        </w:tabs>
        <w:bidi w:val="0"/>
        <w:spacing w:before="0" w:after="260" w:line="307" w:lineRule="exact"/>
        <w:ind w:left="0" w:right="0" w:firstLine="0"/>
        <w:jc w:val="both"/>
        <w:rPr>
          <w:sz w:val="22"/>
          <w:szCs w:val="22"/>
        </w:rPr>
      </w:pPr>
      <w:bookmarkStart w:id="794" w:name="bookmark794"/>
      <w:r>
        <w:rPr>
          <w:rFonts w:ascii="Times New Roman" w:eastAsia="Times New Roman" w:hAnsi="Times New Roman" w:cs="Times New Roman"/>
          <w:color w:val="000000"/>
          <w:spacing w:val="0"/>
          <w:w w:val="100"/>
          <w:position w:val="0"/>
          <w:sz w:val="24"/>
          <w:szCs w:val="24"/>
        </w:rPr>
        <w:t>1</w:t>
      </w:r>
      <w:bookmarkEnd w:id="794"/>
      <w:r>
        <w:rPr>
          <w:color w:val="000000"/>
          <w:spacing w:val="0"/>
          <w:w w:val="100"/>
          <w:position w:val="0"/>
          <w:sz w:val="22"/>
          <w:szCs w:val="22"/>
        </w:rPr>
        <w:t>、</w:t>
        <w:tab/>
        <w:t>遵循企业会计准则的声明</w:t>
      </w:r>
    </w:p>
    <w:p>
      <w:pPr>
        <w:pStyle w:val="Style5"/>
        <w:keepNext w:val="0"/>
        <w:keepLines w:val="0"/>
        <w:widowControl w:val="0"/>
        <w:shd w:val="clear" w:color="auto" w:fill="auto"/>
        <w:bidi w:val="0"/>
        <w:spacing w:before="0" w:after="260" w:line="305" w:lineRule="exact"/>
        <w:ind w:left="740" w:right="0" w:firstLine="0"/>
        <w:jc w:val="left"/>
        <w:rPr>
          <w:sz w:val="22"/>
          <w:szCs w:val="22"/>
        </w:rPr>
      </w:pPr>
      <w:r>
        <w:rPr>
          <w:color w:val="000000"/>
          <w:spacing w:val="0"/>
          <w:w w:val="100"/>
          <w:position w:val="0"/>
          <w:sz w:val="22"/>
          <w:szCs w:val="22"/>
        </w:rPr>
        <w:t>本财务报表符合中华人民共和国财政部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财政部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颁布的企业会计准则的要求， 真实、完整地反映了本公司于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日的合并及公司财务状况以及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年度的 合并及公司经营成果、合并及公司股东权益变动和合并及公司现金流量。</w:t>
      </w:r>
    </w:p>
    <w:p>
      <w:pPr>
        <w:pStyle w:val="Style5"/>
        <w:keepNext w:val="0"/>
        <w:keepLines w:val="0"/>
        <w:widowControl w:val="0"/>
        <w:shd w:val="clear" w:color="auto" w:fill="auto"/>
        <w:bidi w:val="0"/>
        <w:spacing w:before="0" w:after="0" w:line="307" w:lineRule="exact"/>
        <w:ind w:left="740" w:right="0" w:firstLine="0"/>
        <w:jc w:val="left"/>
        <w:rPr>
          <w:sz w:val="22"/>
          <w:szCs w:val="22"/>
        </w:rPr>
      </w:pPr>
      <w:r>
        <w:rPr>
          <w:color w:val="000000"/>
          <w:spacing w:val="0"/>
          <w:w w:val="100"/>
          <w:position w:val="0"/>
          <w:sz w:val="22"/>
          <w:szCs w:val="22"/>
        </w:rPr>
        <w:t>此外，本财务报表同时符合中国证券监督管理委员会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证监会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年修订的 《公开发行证券的公司信息披露编报规则第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号——财务报告的一般规定》有关的披露</w:t>
      </w:r>
    </w:p>
    <w:p>
      <w:pPr>
        <w:pStyle w:val="Style5"/>
        <w:keepNext w:val="0"/>
        <w:keepLines w:val="0"/>
        <w:widowControl w:val="0"/>
        <w:shd w:val="clear" w:color="auto" w:fill="auto"/>
        <w:bidi w:val="0"/>
        <w:spacing w:before="0" w:after="320" w:line="307" w:lineRule="exact"/>
        <w:ind w:left="0" w:right="0" w:firstLine="740"/>
        <w:jc w:val="both"/>
        <w:rPr>
          <w:sz w:val="22"/>
          <w:szCs w:val="22"/>
        </w:rPr>
      </w:pPr>
      <w:r>
        <w:rPr>
          <w:color w:val="000000"/>
          <w:spacing w:val="0"/>
          <w:w w:val="100"/>
          <w:position w:val="0"/>
          <w:sz w:val="22"/>
          <w:szCs w:val="22"/>
        </w:rPr>
        <w:t>要求。</w:t>
      </w:r>
    </w:p>
    <w:p>
      <w:pPr>
        <w:pStyle w:val="Style5"/>
        <w:keepNext w:val="0"/>
        <w:keepLines w:val="0"/>
        <w:widowControl w:val="0"/>
        <w:shd w:val="clear" w:color="auto" w:fill="auto"/>
        <w:tabs>
          <w:tab w:pos="698" w:val="left"/>
        </w:tabs>
        <w:bidi w:val="0"/>
        <w:spacing w:before="0" w:after="260" w:line="266" w:lineRule="auto"/>
        <w:ind w:left="0" w:right="0" w:firstLine="0"/>
        <w:jc w:val="both"/>
        <w:rPr>
          <w:sz w:val="22"/>
          <w:szCs w:val="22"/>
        </w:rPr>
      </w:pPr>
      <w:bookmarkStart w:id="795" w:name="bookmark795"/>
      <w:r>
        <w:rPr>
          <w:rFonts w:ascii="Times New Roman" w:eastAsia="Times New Roman" w:hAnsi="Times New Roman" w:cs="Times New Roman"/>
          <w:color w:val="000000"/>
          <w:spacing w:val="0"/>
          <w:w w:val="100"/>
          <w:position w:val="0"/>
          <w:sz w:val="24"/>
          <w:szCs w:val="24"/>
        </w:rPr>
        <w:t>2</w:t>
      </w:r>
      <w:bookmarkEnd w:id="795"/>
      <w:r>
        <w:rPr>
          <w:color w:val="000000"/>
          <w:spacing w:val="0"/>
          <w:w w:val="100"/>
          <w:position w:val="0"/>
          <w:sz w:val="22"/>
          <w:szCs w:val="22"/>
        </w:rPr>
        <w:t>、</w:t>
        <w:tab/>
        <w:t>会计期间</w:t>
      </w:r>
    </w:p>
    <w:p>
      <w:pPr>
        <w:pStyle w:val="Style5"/>
        <w:keepNext w:val="0"/>
        <w:keepLines w:val="0"/>
        <w:widowControl w:val="0"/>
        <w:shd w:val="clear" w:color="auto" w:fill="auto"/>
        <w:bidi w:val="0"/>
        <w:spacing w:before="0" w:after="320" w:line="302" w:lineRule="exact"/>
        <w:ind w:left="740" w:right="0" w:firstLine="0"/>
        <w:jc w:val="both"/>
        <w:rPr>
          <w:sz w:val="22"/>
          <w:szCs w:val="22"/>
        </w:rPr>
      </w:pPr>
      <w:r>
        <w:rPr>
          <w:color w:val="000000"/>
          <w:spacing w:val="0"/>
          <w:w w:val="100"/>
          <w:position w:val="0"/>
          <w:sz w:val="22"/>
          <w:szCs w:val="22"/>
        </w:rPr>
        <w:t>会计年度自公历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日止。本财务报表会计期间为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w:t>
      </w:r>
    </w:p>
    <w:p>
      <w:pPr>
        <w:pStyle w:val="Style5"/>
        <w:keepNext w:val="0"/>
        <w:keepLines w:val="0"/>
        <w:widowControl w:val="0"/>
        <w:shd w:val="clear" w:color="auto" w:fill="auto"/>
        <w:tabs>
          <w:tab w:pos="698" w:val="left"/>
        </w:tabs>
        <w:bidi w:val="0"/>
        <w:spacing w:before="0" w:after="260" w:line="266" w:lineRule="auto"/>
        <w:ind w:left="0" w:right="0" w:firstLine="0"/>
        <w:jc w:val="both"/>
        <w:rPr>
          <w:sz w:val="22"/>
          <w:szCs w:val="22"/>
        </w:rPr>
      </w:pPr>
      <w:bookmarkStart w:id="796" w:name="bookmark796"/>
      <w:r>
        <w:rPr>
          <w:rFonts w:ascii="Times New Roman" w:eastAsia="Times New Roman" w:hAnsi="Times New Roman" w:cs="Times New Roman"/>
          <w:color w:val="000000"/>
          <w:spacing w:val="0"/>
          <w:w w:val="100"/>
          <w:position w:val="0"/>
          <w:sz w:val="24"/>
          <w:szCs w:val="24"/>
        </w:rPr>
        <w:t>3</w:t>
      </w:r>
      <w:bookmarkEnd w:id="796"/>
      <w:r>
        <w:rPr>
          <w:color w:val="000000"/>
          <w:spacing w:val="0"/>
          <w:w w:val="100"/>
          <w:position w:val="0"/>
          <w:sz w:val="22"/>
          <w:szCs w:val="22"/>
        </w:rPr>
        <w:t>、</w:t>
        <w:tab/>
        <w:t>记账本位币</w:t>
      </w:r>
    </w:p>
    <w:p>
      <w:pPr>
        <w:pStyle w:val="Style5"/>
        <w:keepNext w:val="0"/>
        <w:keepLines w:val="0"/>
        <w:widowControl w:val="0"/>
        <w:shd w:val="clear" w:color="auto" w:fill="auto"/>
        <w:bidi w:val="0"/>
        <w:spacing w:before="0" w:after="160" w:line="310" w:lineRule="exact"/>
        <w:ind w:left="740" w:right="0" w:firstLine="0"/>
        <w:jc w:val="both"/>
        <w:rPr>
          <w:sz w:val="22"/>
          <w:szCs w:val="22"/>
        </w:rPr>
      </w:pPr>
      <w:r>
        <w:rPr>
          <w:color w:val="000000"/>
          <w:spacing w:val="0"/>
          <w:w w:val="100"/>
          <w:position w:val="0"/>
          <w:sz w:val="22"/>
          <w:szCs w:val="22"/>
        </w:rPr>
        <w:t>人民币为本公司及境内子公司经营所处的主要经济环境中的货币，本公司及境内子公司以 人民币为记账本位币。本公司之境外子公司根据其经营所处的主要经济环境中的货币确定 其记账本位币。本集团编制本财务报表时采用的货币为人民币。</w:t>
      </w:r>
    </w:p>
    <w:p>
      <w:pPr>
        <w:pStyle w:val="Style39"/>
        <w:keepNext w:val="0"/>
        <w:keepLines w:val="0"/>
        <w:widowControl w:val="0"/>
        <w:shd w:val="clear" w:color="auto" w:fill="auto"/>
        <w:bidi w:val="0"/>
        <w:spacing w:before="0" w:after="260" w:line="240" w:lineRule="auto"/>
        <w:ind w:left="0" w:right="0" w:firstLine="0"/>
        <w:jc w:val="center"/>
        <w:rPr>
          <w:sz w:val="16"/>
          <w:szCs w:val="16"/>
        </w:rPr>
        <w:sectPr>
          <w:footnotePr>
            <w:pos w:val="pageBottom"/>
            <w:numFmt w:val="decimal"/>
            <w:numRestart w:val="continuous"/>
          </w:footnotePr>
          <w:pgSz w:w="11900" w:h="16840"/>
          <w:pgMar w:top="1599" w:right="700" w:bottom="524" w:left="982" w:header="0" w:footer="3" w:gutter="0"/>
          <w:cols w:space="720"/>
          <w:noEndnote/>
          <w:rtlGutter w:val="0"/>
          <w:docGrid w:linePitch="360"/>
        </w:sectPr>
      </w:pPr>
      <w:r>
        <w:rPr>
          <w:color w:val="000000"/>
          <w:spacing w:val="0"/>
          <w:w w:val="100"/>
          <w:position w:val="0"/>
          <w:sz w:val="16"/>
          <w:szCs w:val="16"/>
        </w:rPr>
        <w:t>84 / 203</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6" w:val="left"/>
        </w:tabs>
        <w:bidi w:val="0"/>
        <w:spacing w:before="0" w:after="280" w:line="310" w:lineRule="exact"/>
        <w:ind w:left="0" w:right="0" w:firstLine="0"/>
        <w:jc w:val="both"/>
        <w:rPr>
          <w:sz w:val="22"/>
          <w:szCs w:val="22"/>
        </w:rPr>
      </w:pPr>
      <w:bookmarkStart w:id="797" w:name="bookmark797"/>
      <w:r>
        <w:rPr>
          <w:color w:val="000000"/>
          <w:spacing w:val="0"/>
          <w:w w:val="100"/>
          <w:position w:val="0"/>
          <w:sz w:val="22"/>
          <w:szCs w:val="22"/>
        </w:rPr>
        <w:t>三</w:t>
      </w:r>
      <w:bookmarkEnd w:id="797"/>
      <w:r>
        <w:rPr>
          <w:color w:val="000000"/>
          <w:spacing w:val="0"/>
          <w:w w:val="100"/>
          <w:position w:val="0"/>
          <w:sz w:val="22"/>
          <w:szCs w:val="22"/>
        </w:rPr>
        <w:t>、</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6" w:val="left"/>
        </w:tabs>
        <w:bidi w:val="0"/>
        <w:spacing w:before="0" w:after="280" w:line="271" w:lineRule="auto"/>
        <w:ind w:left="0" w:right="0" w:firstLine="0"/>
        <w:jc w:val="both"/>
        <w:rPr>
          <w:sz w:val="22"/>
          <w:szCs w:val="22"/>
        </w:rPr>
      </w:pPr>
      <w:bookmarkStart w:id="798" w:name="bookmark798"/>
      <w:r>
        <w:rPr>
          <w:rFonts w:ascii="Times New Roman" w:eastAsia="Times New Roman" w:hAnsi="Times New Roman" w:cs="Times New Roman"/>
          <w:color w:val="000000"/>
          <w:spacing w:val="0"/>
          <w:w w:val="100"/>
          <w:position w:val="0"/>
          <w:sz w:val="24"/>
          <w:szCs w:val="24"/>
        </w:rPr>
        <w:t>4</w:t>
      </w:r>
      <w:bookmarkEnd w:id="798"/>
      <w:r>
        <w:rPr>
          <w:color w:val="000000"/>
          <w:spacing w:val="0"/>
          <w:w w:val="100"/>
          <w:position w:val="0"/>
          <w:sz w:val="22"/>
          <w:szCs w:val="22"/>
        </w:rPr>
        <w:t>、</w:t>
        <w:tab/>
        <w:t>企业合并</w:t>
      </w:r>
    </w:p>
    <w:p>
      <w:pPr>
        <w:pStyle w:val="Style5"/>
        <w:keepNext w:val="0"/>
        <w:keepLines w:val="0"/>
        <w:widowControl w:val="0"/>
        <w:shd w:val="clear" w:color="auto" w:fill="auto"/>
        <w:bidi w:val="0"/>
        <w:spacing w:before="0" w:after="280" w:line="307" w:lineRule="exact"/>
        <w:ind w:left="740" w:right="0" w:firstLine="0"/>
        <w:jc w:val="both"/>
        <w:rPr>
          <w:sz w:val="22"/>
          <w:szCs w:val="22"/>
        </w:rPr>
      </w:pPr>
      <w:r>
        <w:rPr>
          <w:color w:val="000000"/>
          <w:spacing w:val="0"/>
          <w:w w:val="100"/>
          <w:position w:val="0"/>
          <w:sz w:val="22"/>
          <w:szCs w:val="22"/>
        </w:rPr>
        <w:t>本集团取得对另一个或多个企业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或一组资产或净资产</w:t>
      </w:r>
      <w:r>
        <w:rPr>
          <w:color w:val="000000"/>
          <w:spacing w:val="0"/>
          <w:w w:val="100"/>
          <w:position w:val="0"/>
          <w:sz w:val="24"/>
          <w:szCs w:val="24"/>
        </w:rPr>
        <w:t>）</w:t>
      </w:r>
      <w:r>
        <w:rPr>
          <w:color w:val="000000"/>
          <w:spacing w:val="0"/>
          <w:w w:val="100"/>
          <w:position w:val="0"/>
          <w:sz w:val="22"/>
          <w:szCs w:val="22"/>
        </w:rPr>
        <w:t>的控制权且其构成业务的，该交易 或事项构成企业合并。企业合并分为同一控制下的企业合并和非同一控制下的企业合并。</w:t>
      </w:r>
    </w:p>
    <w:p>
      <w:pPr>
        <w:pStyle w:val="Style5"/>
        <w:keepNext w:val="0"/>
        <w:keepLines w:val="0"/>
        <w:widowControl w:val="0"/>
        <w:shd w:val="clear" w:color="auto" w:fill="auto"/>
        <w:bidi w:val="0"/>
        <w:spacing w:before="0" w:after="280" w:line="310" w:lineRule="exact"/>
        <w:ind w:left="740" w:right="0" w:firstLine="0"/>
        <w:jc w:val="both"/>
        <w:rPr>
          <w:sz w:val="22"/>
          <w:szCs w:val="22"/>
        </w:rPr>
      </w:pPr>
      <w:r>
        <w:rPr>
          <w:color w:val="000000"/>
          <w:spacing w:val="0"/>
          <w:w w:val="100"/>
          <w:position w:val="0"/>
          <w:sz w:val="22"/>
          <w:szCs w:val="22"/>
        </w:rPr>
        <w:t>对于非同一控制下企业合并，购买方在判断取得的生产经营活动或资产的组合是否构成一 项业务时，将考虑是否选择采用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集中度测试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的简化判断方式。如果该组合通过集中度测 试，则判断为不构成业务；如果该组合未通过集中度测试，仍按照业务条件进行判断，即 组合至少同时具有一项投入和一项实质性加工处理过程，且二者相结合对产出能力有显著 贡献，该组合才构成业务。</w:t>
      </w:r>
    </w:p>
    <w:p>
      <w:pPr>
        <w:pStyle w:val="Style5"/>
        <w:keepNext w:val="0"/>
        <w:keepLines w:val="0"/>
        <w:widowControl w:val="0"/>
        <w:shd w:val="clear" w:color="auto" w:fill="auto"/>
        <w:bidi w:val="0"/>
        <w:spacing w:before="0" w:after="280" w:line="302" w:lineRule="exact"/>
        <w:ind w:left="740" w:right="0" w:firstLine="0"/>
        <w:jc w:val="both"/>
        <w:rPr>
          <w:sz w:val="22"/>
          <w:szCs w:val="22"/>
        </w:rPr>
      </w:pPr>
      <w:r>
        <w:rPr>
          <w:color w:val="000000"/>
          <w:spacing w:val="0"/>
          <w:w w:val="100"/>
          <w:position w:val="0"/>
          <w:sz w:val="22"/>
          <w:szCs w:val="22"/>
        </w:rPr>
        <w:t>当本集团取得了不构成业务的一组资产或净资产时，将购买成本按购买日所取得各项可辨 认资产、负债的相对公允价值基础进行分配，不按照以下企业合并的会计处理方法进行处 理。</w:t>
      </w:r>
    </w:p>
    <w:p>
      <w:pPr>
        <w:pStyle w:val="Style5"/>
        <w:keepNext w:val="0"/>
        <w:keepLines w:val="0"/>
        <w:widowControl w:val="0"/>
        <w:shd w:val="clear" w:color="auto" w:fill="auto"/>
        <w:tabs>
          <w:tab w:pos="1149" w:val="left"/>
        </w:tabs>
        <w:bidi w:val="0"/>
        <w:spacing w:before="0" w:after="280" w:line="310" w:lineRule="exact"/>
        <w:ind w:left="740" w:right="0" w:firstLine="0"/>
        <w:jc w:val="both"/>
        <w:rPr>
          <w:sz w:val="22"/>
          <w:szCs w:val="22"/>
        </w:rPr>
      </w:pPr>
      <w:bookmarkStart w:id="799" w:name="bookmark799"/>
      <w:r>
        <w:rPr>
          <w:rFonts w:ascii="Times New Roman" w:eastAsia="Times New Roman" w:hAnsi="Times New Roman" w:cs="Times New Roman"/>
          <w:color w:val="000000"/>
          <w:spacing w:val="0"/>
          <w:w w:val="100"/>
          <w:position w:val="0"/>
          <w:sz w:val="24"/>
          <w:szCs w:val="24"/>
        </w:rPr>
        <w:t>（</w:t>
      </w:r>
      <w:bookmarkEnd w:id="799"/>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2"/>
          <w:szCs w:val="22"/>
        </w:rPr>
        <w:t>同一控制下的企业合并</w:t>
      </w:r>
    </w:p>
    <w:p>
      <w:pPr>
        <w:pStyle w:val="Style5"/>
        <w:keepNext w:val="0"/>
        <w:keepLines w:val="0"/>
        <w:widowControl w:val="0"/>
        <w:shd w:val="clear" w:color="auto" w:fill="auto"/>
        <w:bidi w:val="0"/>
        <w:spacing w:before="0" w:after="280" w:line="310" w:lineRule="exact"/>
        <w:ind w:left="740" w:right="0" w:firstLine="0"/>
        <w:jc w:val="both"/>
        <w:rPr>
          <w:sz w:val="22"/>
          <w:szCs w:val="22"/>
        </w:rPr>
      </w:pPr>
      <w:r>
        <w:rPr>
          <w:color w:val="000000"/>
          <w:spacing w:val="0"/>
          <w:w w:val="100"/>
          <w:position w:val="0"/>
          <w:sz w:val="22"/>
          <w:szCs w:val="22"/>
        </w:rPr>
        <w:t>合并方支付的合并对价及取得的净资产均按最终控制方合并财务报表中的账面价值计量。 合并方取得的净资产账面价值与支付的合并对价账面价值的差额，调整资本公积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股本溢 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不足以冲减的，调整留存收益。为进行企业合并发生的直接相关 费用于发生时计入当期损益。为企业合并而发行权益性证券或债务性证券的交易费用，计 入权益性证券或债务性证券的初始确认金额。</w:t>
      </w:r>
    </w:p>
    <w:p>
      <w:pPr>
        <w:pStyle w:val="Style5"/>
        <w:keepNext w:val="0"/>
        <w:keepLines w:val="0"/>
        <w:widowControl w:val="0"/>
        <w:shd w:val="clear" w:color="auto" w:fill="auto"/>
        <w:tabs>
          <w:tab w:pos="1158" w:val="left"/>
        </w:tabs>
        <w:bidi w:val="0"/>
        <w:spacing w:before="0" w:after="280" w:line="310" w:lineRule="exact"/>
        <w:ind w:left="740" w:right="0" w:firstLine="0"/>
        <w:jc w:val="both"/>
        <w:rPr>
          <w:sz w:val="22"/>
          <w:szCs w:val="22"/>
        </w:rPr>
      </w:pPr>
      <w:bookmarkStart w:id="800" w:name="bookmark800"/>
      <w:r>
        <w:rPr>
          <w:rFonts w:ascii="Times New Roman" w:eastAsia="Times New Roman" w:hAnsi="Times New Roman" w:cs="Times New Roman"/>
          <w:color w:val="000000"/>
          <w:spacing w:val="0"/>
          <w:w w:val="100"/>
          <w:position w:val="0"/>
          <w:sz w:val="24"/>
          <w:szCs w:val="24"/>
        </w:rPr>
        <w:t>（</w:t>
      </w:r>
      <w:bookmarkEnd w:id="800"/>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2"/>
          <w:szCs w:val="22"/>
        </w:rPr>
        <w:t>非同一控制下的企业合并</w:t>
      </w:r>
    </w:p>
    <w:p>
      <w:pPr>
        <w:pStyle w:val="Style5"/>
        <w:keepNext w:val="0"/>
        <w:keepLines w:val="0"/>
        <w:widowControl w:val="0"/>
        <w:shd w:val="clear" w:color="auto" w:fill="auto"/>
        <w:bidi w:val="0"/>
        <w:spacing w:before="0" w:after="280" w:line="311" w:lineRule="exact"/>
        <w:ind w:left="740" w:right="0" w:firstLine="0"/>
        <w:jc w:val="both"/>
        <w:rPr>
          <w:sz w:val="22"/>
          <w:szCs w:val="22"/>
        </w:rPr>
      </w:pPr>
      <w:r>
        <w:rPr>
          <w:color w:val="000000"/>
          <w:spacing w:val="0"/>
          <w:w w:val="100"/>
          <w:position w:val="0"/>
          <w:sz w:val="22"/>
          <w:szCs w:val="22"/>
        </w:rPr>
        <w:t>购买方发生的合并成本及在合并中取得的可辨认净资产按购买日的公允价值计量。合并成 本大于合并中取得的被购买方于购买日可辨认净资产公允价值份额的差额，确认为商誉。 合并成本小于合并中取得的被购买方可辨认净资产公允价值份额的，首先对取得的被购买 方各项可辨认资产、负债及或有负债的公允价值以及合并成本的计量进行复核，复核后合 并成本仍小于合并中取得的被购买方可辨认净资产公允价值份额的，计入当期损益。为进 行企业合并发生的直接相关费用于发生时计入当期损益。为企业合并而发行权益性证券或 债务性证券的交易费用，计入权益性证券或债务性证券的初始确认金额。</w:t>
      </w:r>
    </w:p>
    <w:p>
      <w:pPr>
        <w:pStyle w:val="Style5"/>
        <w:keepNext w:val="0"/>
        <w:keepLines w:val="0"/>
        <w:widowControl w:val="0"/>
        <w:shd w:val="clear" w:color="auto" w:fill="auto"/>
        <w:bidi w:val="0"/>
        <w:spacing w:before="0" w:after="280" w:line="311" w:lineRule="exact"/>
        <w:ind w:left="740" w:right="0" w:firstLine="0"/>
        <w:jc w:val="both"/>
        <w:rPr>
          <w:sz w:val="22"/>
          <w:szCs w:val="22"/>
        </w:rPr>
      </w:pPr>
      <w:r>
        <w:rPr>
          <w:color w:val="000000"/>
          <w:spacing w:val="0"/>
          <w:w w:val="100"/>
          <w:position w:val="0"/>
          <w:sz w:val="22"/>
          <w:szCs w:val="22"/>
        </w:rPr>
        <w:t>通过多次交易分步实现非同一控制企业合并时，对于购买日之前持有的被购买方的股权， 本集团会按照该股权在购买日的公允价值进行重新计量，公允价值与其账面价值的差额计 入当期投资收益或其他综合收益。购买日之前持有的被购买方的股权涉及的权益法核算下 的以后可重分类进损益的其他综合收益及其他所有者权益变动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参见附注三</w:t>
      </w:r>
      <w:r>
        <w:rPr>
          <w:rFonts w:ascii="Times New Roman" w:eastAsia="Times New Roman" w:hAnsi="Times New Roman" w:cs="Times New Roman"/>
          <w:color w:val="000000"/>
          <w:spacing w:val="0"/>
          <w:w w:val="100"/>
          <w:position w:val="0"/>
          <w:sz w:val="24"/>
          <w:szCs w:val="24"/>
        </w:rPr>
        <w:t>（11）（b）</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于购买 日转入当期投资收益；购买日之前持有的被购买方的股权被指定为以公允价值计量且其变 动计入其他综合收益的非交易性权益工具投资的，购买日之前确认的其他综合收益于购买 日转入留存收益。</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8" w:val="left"/>
        </w:tabs>
        <w:bidi w:val="0"/>
        <w:spacing w:before="0" w:after="260" w:line="312" w:lineRule="exact"/>
        <w:ind w:left="0" w:right="0" w:firstLine="0"/>
        <w:jc w:val="both"/>
        <w:rPr>
          <w:sz w:val="22"/>
          <w:szCs w:val="22"/>
        </w:rPr>
      </w:pPr>
      <w:bookmarkStart w:id="801" w:name="bookmark801"/>
      <w:r>
        <w:rPr>
          <w:color w:val="000000"/>
          <w:spacing w:val="0"/>
          <w:w w:val="100"/>
          <w:position w:val="0"/>
          <w:sz w:val="22"/>
          <w:szCs w:val="22"/>
        </w:rPr>
        <w:t>三</w:t>
      </w:r>
      <w:bookmarkEnd w:id="801"/>
      <w:r>
        <w:rPr>
          <w:color w:val="000000"/>
          <w:spacing w:val="0"/>
          <w:w w:val="100"/>
          <w:position w:val="0"/>
          <w:sz w:val="22"/>
          <w:szCs w:val="22"/>
        </w:rPr>
        <w:t>、</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8" w:val="left"/>
        </w:tabs>
        <w:bidi w:val="0"/>
        <w:spacing w:before="0" w:after="260" w:line="312" w:lineRule="exact"/>
        <w:ind w:left="0" w:right="0" w:firstLine="0"/>
        <w:jc w:val="both"/>
        <w:rPr>
          <w:sz w:val="22"/>
          <w:szCs w:val="22"/>
        </w:rPr>
      </w:pPr>
      <w:bookmarkStart w:id="802" w:name="bookmark802"/>
      <w:r>
        <w:rPr>
          <w:rFonts w:ascii="Times New Roman" w:eastAsia="Times New Roman" w:hAnsi="Times New Roman" w:cs="Times New Roman"/>
          <w:color w:val="000000"/>
          <w:spacing w:val="0"/>
          <w:w w:val="100"/>
          <w:position w:val="0"/>
          <w:sz w:val="24"/>
          <w:szCs w:val="24"/>
        </w:rPr>
        <w:t>5</w:t>
      </w:r>
      <w:bookmarkEnd w:id="802"/>
      <w:r>
        <w:rPr>
          <w:color w:val="000000"/>
          <w:spacing w:val="0"/>
          <w:w w:val="100"/>
          <w:position w:val="0"/>
          <w:sz w:val="22"/>
          <w:szCs w:val="22"/>
        </w:rPr>
        <w:t>、</w:t>
        <w:tab/>
        <w:t>合并财务报表的编制方法</w:t>
      </w:r>
    </w:p>
    <w:p>
      <w:pPr>
        <w:pStyle w:val="Style5"/>
        <w:keepNext w:val="0"/>
        <w:keepLines w:val="0"/>
        <w:widowControl w:val="0"/>
        <w:shd w:val="clear" w:color="auto" w:fill="auto"/>
        <w:bidi w:val="0"/>
        <w:spacing w:before="0" w:after="260" w:line="312" w:lineRule="exact"/>
        <w:ind w:left="0" w:right="0" w:firstLine="720"/>
        <w:jc w:val="left"/>
        <w:rPr>
          <w:sz w:val="22"/>
          <w:szCs w:val="22"/>
        </w:rPr>
      </w:pPr>
      <w:r>
        <w:rPr>
          <w:color w:val="000000"/>
          <w:spacing w:val="0"/>
          <w:w w:val="100"/>
          <w:position w:val="0"/>
          <w:sz w:val="22"/>
          <w:szCs w:val="22"/>
        </w:rPr>
        <w:t>编制合并财务报表时，合并范围包括本公司及本公司控制的子公司。</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从取得子公司的实际控制权之日起，本集团开始将其纳入合并范围；从丧失实际控制权之 日起停止纳入合并范围。对于同一控制下企业合并取得的子公司，以被合并子公司的各项 资产、负债在最终控制方财务报表中的账面价值为基础，自其与本公司同受最终控制方控 制之日起纳入本公司合并范围，并对合并财务报表的期初数以及前期比较报表进行相应调 整。</w:t>
      </w:r>
    </w:p>
    <w:p>
      <w:pPr>
        <w:pStyle w:val="Style5"/>
        <w:keepNext w:val="0"/>
        <w:keepLines w:val="0"/>
        <w:widowControl w:val="0"/>
        <w:shd w:val="clear" w:color="auto" w:fill="auto"/>
        <w:bidi w:val="0"/>
        <w:spacing w:before="0" w:after="260" w:line="307" w:lineRule="exact"/>
        <w:ind w:left="720" w:right="0" w:firstLine="0"/>
        <w:jc w:val="both"/>
        <w:rPr>
          <w:sz w:val="22"/>
          <w:szCs w:val="22"/>
        </w:rPr>
      </w:pPr>
      <w:r>
        <w:rPr>
          <w:color w:val="000000"/>
          <w:spacing w:val="0"/>
          <w:w w:val="100"/>
          <w:position w:val="0"/>
          <w:sz w:val="22"/>
          <w:szCs w:val="22"/>
        </w:rPr>
        <w:t>在编制合并财务报表时，子公司与本公司采用的会计政策或会计期间不一致的，按照本公 司的会计政策和会计期间对子公司财务报表进行必要的调整。对于非同一控制下企业合并 取得的子公司，以购买日可辨认净资产公允价值为基础对其财务报表进行调整。</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集团内所有重大往来余额、交易及未实现利润在合并财务报表编制时予以抵销。子公司少 数股东应占的权益、损益和综合收益分别在合并财务报表中股东权益、净利润及综合收益 总额项目下单独列示。少数股东分担的子公司的亏损超过了少数股东在该子公司期初所有 者权益中所享有的份额，其余额仍冲减少数股东权益。</w:t>
      </w:r>
    </w:p>
    <w:p>
      <w:pPr>
        <w:pStyle w:val="Style5"/>
        <w:keepNext w:val="0"/>
        <w:keepLines w:val="0"/>
        <w:widowControl w:val="0"/>
        <w:shd w:val="clear" w:color="auto" w:fill="auto"/>
        <w:tabs>
          <w:tab w:pos="698" w:val="left"/>
        </w:tabs>
        <w:bidi w:val="0"/>
        <w:spacing w:before="0" w:after="260" w:line="312" w:lineRule="exact"/>
        <w:ind w:left="0" w:right="0" w:firstLine="0"/>
        <w:jc w:val="both"/>
        <w:rPr>
          <w:sz w:val="22"/>
          <w:szCs w:val="22"/>
        </w:rPr>
      </w:pPr>
      <w:bookmarkStart w:id="803" w:name="bookmark803"/>
      <w:r>
        <w:rPr>
          <w:rFonts w:ascii="Times New Roman" w:eastAsia="Times New Roman" w:hAnsi="Times New Roman" w:cs="Times New Roman"/>
          <w:color w:val="000000"/>
          <w:spacing w:val="0"/>
          <w:w w:val="100"/>
          <w:position w:val="0"/>
          <w:sz w:val="24"/>
          <w:szCs w:val="24"/>
        </w:rPr>
        <w:t>6</w:t>
      </w:r>
      <w:bookmarkEnd w:id="803"/>
      <w:r>
        <w:rPr>
          <w:color w:val="000000"/>
          <w:spacing w:val="0"/>
          <w:w w:val="100"/>
          <w:position w:val="0"/>
          <w:sz w:val="22"/>
          <w:szCs w:val="22"/>
        </w:rPr>
        <w:t>、</w:t>
        <w:tab/>
        <w:t>现金及现金等价物的确定标准</w:t>
      </w:r>
    </w:p>
    <w:p>
      <w:pPr>
        <w:pStyle w:val="Style5"/>
        <w:keepNext w:val="0"/>
        <w:keepLines w:val="0"/>
        <w:widowControl w:val="0"/>
        <w:shd w:val="clear" w:color="auto" w:fill="auto"/>
        <w:bidi w:val="0"/>
        <w:spacing w:before="0" w:after="260" w:line="317" w:lineRule="exact"/>
        <w:ind w:left="720" w:right="0" w:firstLine="0"/>
        <w:jc w:val="both"/>
        <w:rPr>
          <w:sz w:val="22"/>
          <w:szCs w:val="22"/>
        </w:rPr>
      </w:pPr>
      <w:r>
        <w:rPr>
          <w:color w:val="000000"/>
          <w:spacing w:val="0"/>
          <w:w w:val="100"/>
          <w:position w:val="0"/>
          <w:sz w:val="22"/>
          <w:szCs w:val="22"/>
        </w:rPr>
        <w:t>现金及现金等价物包括库存现金、可随时用于支付的存款以及持有的期限短、流动性强、 易于转换为已知金额现金、价值变动风险很小的投资。</w:t>
      </w:r>
    </w:p>
    <w:p>
      <w:pPr>
        <w:pStyle w:val="Style5"/>
        <w:keepNext w:val="0"/>
        <w:keepLines w:val="0"/>
        <w:widowControl w:val="0"/>
        <w:shd w:val="clear" w:color="auto" w:fill="auto"/>
        <w:tabs>
          <w:tab w:pos="698" w:val="left"/>
        </w:tabs>
        <w:bidi w:val="0"/>
        <w:spacing w:before="0" w:after="260" w:line="312" w:lineRule="exact"/>
        <w:ind w:left="0" w:right="0" w:firstLine="0"/>
        <w:jc w:val="both"/>
        <w:rPr>
          <w:sz w:val="22"/>
          <w:szCs w:val="22"/>
        </w:rPr>
      </w:pPr>
      <w:bookmarkStart w:id="804" w:name="bookmark804"/>
      <w:r>
        <w:rPr>
          <w:rFonts w:ascii="Times New Roman" w:eastAsia="Times New Roman" w:hAnsi="Times New Roman" w:cs="Times New Roman"/>
          <w:color w:val="000000"/>
          <w:spacing w:val="0"/>
          <w:w w:val="100"/>
          <w:position w:val="0"/>
          <w:sz w:val="24"/>
          <w:szCs w:val="24"/>
        </w:rPr>
        <w:t>7</w:t>
      </w:r>
      <w:bookmarkEnd w:id="804"/>
      <w:r>
        <w:rPr>
          <w:color w:val="000000"/>
          <w:spacing w:val="0"/>
          <w:w w:val="100"/>
          <w:position w:val="0"/>
          <w:sz w:val="22"/>
          <w:szCs w:val="22"/>
        </w:rPr>
        <w:t>、</w:t>
        <w:tab/>
        <w:t>合营安排分类及共同经营会计处理方法</w:t>
      </w:r>
    </w:p>
    <w:p>
      <w:pPr>
        <w:pStyle w:val="Style5"/>
        <w:keepNext w:val="0"/>
        <w:keepLines w:val="0"/>
        <w:widowControl w:val="0"/>
        <w:shd w:val="clear" w:color="auto" w:fill="auto"/>
        <w:bidi w:val="0"/>
        <w:spacing w:before="0" w:after="260" w:line="314" w:lineRule="exact"/>
        <w:ind w:left="720" w:right="0" w:firstLine="0"/>
        <w:jc w:val="both"/>
        <w:rPr>
          <w:sz w:val="22"/>
          <w:szCs w:val="22"/>
        </w:rPr>
      </w:pPr>
      <w:r>
        <w:rPr>
          <w:color w:val="000000"/>
          <w:spacing w:val="0"/>
          <w:w w:val="100"/>
          <w:position w:val="0"/>
          <w:sz w:val="22"/>
          <w:szCs w:val="22"/>
        </w:rPr>
        <w:t>合营安排分为共同经营和合营企业，该分类通过考虑该安排的结构、法律形式以及合同条 款等因素根据合营方在合营安排中享有的权利和承担的义务确定。共同经营，是指合营方 享有该安排相关资产且承担该安排相关负债的合营安排。合营企业是指合营方仅对该安排 的净资产享有权利的合营安排。</w:t>
      </w:r>
    </w:p>
    <w:p>
      <w:pPr>
        <w:pStyle w:val="Style5"/>
        <w:keepNext w:val="0"/>
        <w:keepLines w:val="0"/>
        <w:widowControl w:val="0"/>
        <w:shd w:val="clear" w:color="auto" w:fill="auto"/>
        <w:bidi w:val="0"/>
        <w:spacing w:before="0" w:after="260" w:line="312" w:lineRule="exact"/>
        <w:ind w:left="0" w:right="0" w:firstLine="720"/>
        <w:jc w:val="left"/>
        <w:rPr>
          <w:sz w:val="22"/>
          <w:szCs w:val="22"/>
        </w:rPr>
      </w:pPr>
      <w:r>
        <w:rPr>
          <w:color w:val="000000"/>
          <w:spacing w:val="0"/>
          <w:w w:val="100"/>
          <w:position w:val="0"/>
          <w:sz w:val="22"/>
          <w:szCs w:val="22"/>
        </w:rPr>
        <w:t>本集团对合营企业的投资采用权益法核算，具体参见附注三</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w:t>
      </w:r>
    </w:p>
    <w:p>
      <w:pPr>
        <w:pStyle w:val="Style5"/>
        <w:keepNext w:val="0"/>
        <w:keepLines w:val="0"/>
        <w:widowControl w:val="0"/>
        <w:shd w:val="clear" w:color="auto" w:fill="auto"/>
        <w:bidi w:val="0"/>
        <w:spacing w:before="0" w:after="260" w:line="316" w:lineRule="exact"/>
        <w:ind w:left="720" w:right="0" w:firstLine="0"/>
        <w:jc w:val="both"/>
        <w:rPr>
          <w:sz w:val="22"/>
          <w:szCs w:val="22"/>
        </w:rPr>
      </w:pPr>
      <w:r>
        <w:rPr>
          <w:color w:val="000000"/>
          <w:spacing w:val="0"/>
          <w:w w:val="100"/>
          <w:position w:val="0"/>
          <w:sz w:val="22"/>
          <w:szCs w:val="22"/>
        </w:rPr>
        <w:t>本集团根据共同经营的安排确认本集团单独所持有的资产以及按本集团份额确认共同持有 的资产；确认本集团单独所承担的负债以及按本集团份额确认共同承担的负债；确认出售 本集团享有的共同经营产出份额所产生的收入；按本集团份额确认共同经营因出售产出所 产生的收入；确认本集团单独所发生的费用，以及按本集团份额确认共同经营发生的费 用。本集团按照适用于特定资产、负债、收入和费用的规定核算确认的与共同经营相关的 资产、负债、收入和费用。</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8" w:val="left"/>
        </w:tabs>
        <w:bidi w:val="0"/>
        <w:spacing w:before="0" w:after="24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8" w:val="left"/>
        </w:tabs>
        <w:bidi w:val="0"/>
        <w:spacing w:before="0" w:after="300" w:line="312" w:lineRule="exact"/>
        <w:ind w:left="0" w:right="0" w:firstLine="0"/>
        <w:jc w:val="both"/>
        <w:rPr>
          <w:sz w:val="22"/>
          <w:szCs w:val="22"/>
        </w:rPr>
      </w:pPr>
      <w:bookmarkStart w:id="805" w:name="bookmark805"/>
      <w:r>
        <w:rPr>
          <w:rFonts w:ascii="Times New Roman" w:eastAsia="Times New Roman" w:hAnsi="Times New Roman" w:cs="Times New Roman"/>
          <w:color w:val="000000"/>
          <w:spacing w:val="0"/>
          <w:w w:val="100"/>
          <w:position w:val="0"/>
          <w:sz w:val="24"/>
          <w:szCs w:val="24"/>
        </w:rPr>
        <w:t>8</w:t>
      </w:r>
      <w:bookmarkEnd w:id="805"/>
      <w:r>
        <w:rPr>
          <w:color w:val="000000"/>
          <w:spacing w:val="0"/>
          <w:w w:val="100"/>
          <w:position w:val="0"/>
          <w:sz w:val="22"/>
          <w:szCs w:val="22"/>
        </w:rPr>
        <w:t>、</w:t>
        <w:tab/>
        <w:t>外币业务和外币报表折算</w:t>
      </w:r>
    </w:p>
    <w:p>
      <w:pPr>
        <w:pStyle w:val="Style5"/>
        <w:keepNext w:val="0"/>
        <w:keepLines w:val="0"/>
        <w:widowControl w:val="0"/>
        <w:numPr>
          <w:ilvl w:val="0"/>
          <w:numId w:val="61"/>
        </w:numPr>
        <w:shd w:val="clear" w:color="auto" w:fill="auto"/>
        <w:tabs>
          <w:tab w:pos="1170" w:val="left"/>
        </w:tabs>
        <w:bidi w:val="0"/>
        <w:spacing w:before="0" w:after="240" w:line="271" w:lineRule="auto"/>
        <w:ind w:left="0" w:right="0" w:firstLine="720"/>
        <w:jc w:val="both"/>
        <w:rPr>
          <w:sz w:val="22"/>
          <w:szCs w:val="22"/>
        </w:rPr>
      </w:pPr>
      <w:bookmarkStart w:id="806" w:name="bookmark806"/>
      <w:bookmarkEnd w:id="806"/>
      <w:r>
        <w:rPr>
          <w:color w:val="000000"/>
          <w:spacing w:val="0"/>
          <w:w w:val="100"/>
          <w:position w:val="0"/>
          <w:sz w:val="22"/>
          <w:szCs w:val="22"/>
        </w:rPr>
        <w:t>外币交易</w:t>
      </w:r>
    </w:p>
    <w:p>
      <w:pPr>
        <w:pStyle w:val="Style5"/>
        <w:keepNext w:val="0"/>
        <w:keepLines w:val="0"/>
        <w:widowControl w:val="0"/>
        <w:shd w:val="clear" w:color="auto" w:fill="auto"/>
        <w:bidi w:val="0"/>
        <w:spacing w:before="0" w:after="300" w:line="312" w:lineRule="exact"/>
        <w:ind w:left="0" w:right="0" w:firstLine="720"/>
        <w:jc w:val="both"/>
        <w:rPr>
          <w:sz w:val="22"/>
          <w:szCs w:val="22"/>
        </w:rPr>
      </w:pPr>
      <w:r>
        <w:rPr>
          <w:color w:val="000000"/>
          <w:spacing w:val="0"/>
          <w:w w:val="100"/>
          <w:position w:val="0"/>
          <w:sz w:val="22"/>
          <w:szCs w:val="22"/>
        </w:rPr>
        <w:t>外币交易按交易发生日的即期汇率折算。</w:t>
      </w:r>
    </w:p>
    <w:p>
      <w:pPr>
        <w:pStyle w:val="Style5"/>
        <w:keepNext w:val="0"/>
        <w:keepLines w:val="0"/>
        <w:widowControl w:val="0"/>
        <w:shd w:val="clear" w:color="auto" w:fill="auto"/>
        <w:bidi w:val="0"/>
        <w:spacing w:before="0" w:after="300" w:line="310" w:lineRule="exact"/>
        <w:ind w:left="720" w:right="0" w:firstLine="0"/>
        <w:jc w:val="both"/>
        <w:rPr>
          <w:sz w:val="22"/>
          <w:szCs w:val="22"/>
        </w:rPr>
      </w:pPr>
      <w:r>
        <w:rPr>
          <w:color w:val="000000"/>
          <w:spacing w:val="0"/>
          <w:w w:val="100"/>
          <w:position w:val="0"/>
          <w:sz w:val="22"/>
          <w:szCs w:val="22"/>
        </w:rPr>
        <w:t>于资产负债表日，外币货币性项目采用该日的即期汇率折算。除为购建符合借款费用资本 化条件的资产而借入的外币专门借款产生的汇兑差额在资本化期间内予以资本化外，其他 汇兑差额直接计入当期损益。以历史成本计量的外币非货币性项目，仍采用交易发生日的 即期汇率折算。以公允价值计量的外币非货币性项目，采用公允价值确定日的即期汇率折 算，由此产生的汇兑差额，属于以公允价值计量且其变动计入其他综合收益的权益工具投 资的汇兑差额，计入其他综合收益；其他汇兑差额计入当期损益。</w:t>
      </w:r>
    </w:p>
    <w:p>
      <w:pPr>
        <w:pStyle w:val="Style5"/>
        <w:keepNext w:val="0"/>
        <w:keepLines w:val="0"/>
        <w:widowControl w:val="0"/>
        <w:numPr>
          <w:ilvl w:val="0"/>
          <w:numId w:val="61"/>
        </w:numPr>
        <w:shd w:val="clear" w:color="auto" w:fill="auto"/>
        <w:tabs>
          <w:tab w:pos="1179" w:val="left"/>
        </w:tabs>
        <w:bidi w:val="0"/>
        <w:spacing w:before="0" w:after="240" w:line="271" w:lineRule="auto"/>
        <w:ind w:left="720" w:right="0" w:firstLine="0"/>
        <w:jc w:val="both"/>
        <w:rPr>
          <w:sz w:val="22"/>
          <w:szCs w:val="22"/>
        </w:rPr>
      </w:pPr>
      <w:bookmarkStart w:id="807" w:name="bookmark807"/>
      <w:bookmarkEnd w:id="807"/>
      <w:r>
        <w:rPr>
          <w:color w:val="000000"/>
          <w:spacing w:val="0"/>
          <w:w w:val="100"/>
          <w:position w:val="0"/>
          <w:sz w:val="22"/>
          <w:szCs w:val="22"/>
        </w:rPr>
        <w:t>外币财务报表的折算</w:t>
      </w:r>
    </w:p>
    <w:p>
      <w:pPr>
        <w:pStyle w:val="Style5"/>
        <w:keepNext w:val="0"/>
        <w:keepLines w:val="0"/>
        <w:widowControl w:val="0"/>
        <w:shd w:val="clear" w:color="auto" w:fill="auto"/>
        <w:bidi w:val="0"/>
        <w:spacing w:before="0" w:after="240" w:line="313" w:lineRule="exact"/>
        <w:ind w:left="720" w:right="0" w:firstLine="0"/>
        <w:jc w:val="both"/>
        <w:rPr>
          <w:sz w:val="22"/>
          <w:szCs w:val="22"/>
        </w:rPr>
      </w:pPr>
      <w:r>
        <w:rPr>
          <w:color w:val="000000"/>
          <w:spacing w:val="0"/>
          <w:w w:val="100"/>
          <w:position w:val="0"/>
          <w:sz w:val="22"/>
          <w:szCs w:val="22"/>
        </w:rPr>
        <w:t>境外经营的子公司资产负债表中的资产和负债项目，采用资产负债表日的即期汇率折算， 股东权益中除未分配利润及其他综合收益中的外币财务报表折算差额项目外，其他项目采 用发生时的即期汇率折算。境外经营的子公司利润表中的收入与费用项目，采用交易发生 日的即期汇率之近似汇率折算。上述折算产生的外币财务报表折算差额，在其他综合收益 中列示。</w:t>
      </w:r>
    </w:p>
    <w:p>
      <w:pPr>
        <w:pStyle w:val="Style5"/>
        <w:keepNext w:val="0"/>
        <w:keepLines w:val="0"/>
        <w:widowControl w:val="0"/>
        <w:shd w:val="clear" w:color="auto" w:fill="auto"/>
        <w:bidi w:val="0"/>
        <w:spacing w:before="0" w:after="240" w:line="312" w:lineRule="exact"/>
        <w:ind w:left="720" w:right="0" w:firstLine="0"/>
        <w:jc w:val="both"/>
        <w:rPr>
          <w:sz w:val="22"/>
          <w:szCs w:val="22"/>
        </w:rPr>
      </w:pPr>
      <w:r>
        <w:rPr>
          <w:color w:val="000000"/>
          <w:spacing w:val="0"/>
          <w:w w:val="100"/>
          <w:position w:val="0"/>
          <w:sz w:val="22"/>
          <w:szCs w:val="22"/>
        </w:rPr>
        <w:t>外币现金流量以及境外经营的子公司的现金流量，采用现金流量发生日即期汇率近似的汇 率折算，汇率变动对现金及现金等价物的影响额，作为调节项目，在现金流量表中以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汇 率变动对现金及现金等价物的影响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单独列示。</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年初数和上年实际数按照上年财务报表折算后的数额列示。</w:t>
      </w:r>
    </w:p>
    <w:p>
      <w:pPr>
        <w:pStyle w:val="Style5"/>
        <w:keepNext w:val="0"/>
        <w:keepLines w:val="0"/>
        <w:widowControl w:val="0"/>
        <w:shd w:val="clear" w:color="auto" w:fill="auto"/>
        <w:tabs>
          <w:tab w:pos="678" w:val="left"/>
        </w:tabs>
        <w:bidi w:val="0"/>
        <w:spacing w:before="0" w:after="240" w:line="271" w:lineRule="auto"/>
        <w:ind w:left="0" w:right="0" w:firstLine="0"/>
        <w:jc w:val="both"/>
        <w:rPr>
          <w:sz w:val="22"/>
          <w:szCs w:val="22"/>
        </w:rPr>
      </w:pPr>
      <w:bookmarkStart w:id="808" w:name="bookmark808"/>
      <w:r>
        <w:rPr>
          <w:rFonts w:ascii="Times New Roman" w:eastAsia="Times New Roman" w:hAnsi="Times New Roman" w:cs="Times New Roman"/>
          <w:color w:val="000000"/>
          <w:spacing w:val="0"/>
          <w:w w:val="100"/>
          <w:position w:val="0"/>
          <w:sz w:val="24"/>
          <w:szCs w:val="24"/>
        </w:rPr>
        <w:t>9</w:t>
      </w:r>
      <w:bookmarkEnd w:id="808"/>
      <w:r>
        <w:rPr>
          <w:color w:val="000000"/>
          <w:spacing w:val="0"/>
          <w:w w:val="100"/>
          <w:position w:val="0"/>
          <w:sz w:val="22"/>
          <w:szCs w:val="22"/>
        </w:rPr>
        <w:t>、</w:t>
        <w:tab/>
        <w:t>金融工具</w:t>
      </w:r>
    </w:p>
    <w:p>
      <w:pPr>
        <w:pStyle w:val="Style5"/>
        <w:keepNext w:val="0"/>
        <w:keepLines w:val="0"/>
        <w:widowControl w:val="0"/>
        <w:shd w:val="clear" w:color="auto" w:fill="auto"/>
        <w:bidi w:val="0"/>
        <w:spacing w:before="0" w:after="240" w:line="312" w:lineRule="exact"/>
        <w:ind w:left="0" w:right="0" w:firstLine="720"/>
        <w:jc w:val="both"/>
        <w:rPr>
          <w:sz w:val="22"/>
          <w:szCs w:val="22"/>
        </w:rPr>
      </w:pPr>
      <w:r>
        <w:rPr>
          <w:color w:val="000000"/>
          <w:spacing w:val="0"/>
          <w:w w:val="100"/>
          <w:position w:val="0"/>
          <w:sz w:val="22"/>
          <w:szCs w:val="22"/>
        </w:rPr>
        <w:t>本集团在成为金融工具合同的一方时确认一项金融资产或金融负债。</w:t>
      </w:r>
    </w:p>
    <w:p>
      <w:pPr>
        <w:pStyle w:val="Style5"/>
        <w:keepNext w:val="0"/>
        <w:keepLines w:val="0"/>
        <w:widowControl w:val="0"/>
        <w:shd w:val="clear" w:color="auto" w:fill="auto"/>
        <w:bidi w:val="0"/>
        <w:spacing w:before="0" w:after="0" w:line="312" w:lineRule="exact"/>
        <w:ind w:left="0" w:right="0" w:firstLine="720"/>
        <w:jc w:val="both"/>
        <w:rPr>
          <w:sz w:val="22"/>
          <w:szCs w:val="22"/>
        </w:rPr>
      </w:pPr>
      <w:r>
        <w:rPr>
          <w:color w:val="000000"/>
          <w:spacing w:val="0"/>
          <w:w w:val="100"/>
          <w:position w:val="0"/>
          <w:sz w:val="22"/>
          <w:szCs w:val="22"/>
        </w:rPr>
        <w:t>对于以常规方式购买或出售金融资产的，在交易日确认将收到的资产和为此将承担的负</w:t>
      </w:r>
    </w:p>
    <w:p>
      <w:pPr>
        <w:pStyle w:val="Style5"/>
        <w:keepNext w:val="0"/>
        <w:keepLines w:val="0"/>
        <w:widowControl w:val="0"/>
        <w:shd w:val="clear" w:color="auto" w:fill="auto"/>
        <w:bidi w:val="0"/>
        <w:spacing w:before="0" w:after="240" w:line="312" w:lineRule="exact"/>
        <w:ind w:left="0" w:right="0" w:firstLine="720"/>
        <w:jc w:val="both"/>
        <w:rPr>
          <w:sz w:val="22"/>
          <w:szCs w:val="22"/>
        </w:rPr>
      </w:pPr>
      <w:r>
        <w:rPr>
          <w:color w:val="000000"/>
          <w:spacing w:val="0"/>
          <w:w w:val="100"/>
          <w:position w:val="0"/>
          <w:sz w:val="22"/>
          <w:szCs w:val="22"/>
        </w:rPr>
        <w:t>债，或者在交易日终止确认已出售的资产。</w:t>
      </w:r>
    </w:p>
    <w:p>
      <w:pPr>
        <w:pStyle w:val="Style5"/>
        <w:keepNext w:val="0"/>
        <w:keepLines w:val="0"/>
        <w:widowControl w:val="0"/>
        <w:shd w:val="clear" w:color="auto" w:fill="auto"/>
        <w:bidi w:val="0"/>
        <w:spacing w:before="0" w:after="240" w:line="312" w:lineRule="exact"/>
        <w:ind w:left="720" w:right="0" w:firstLine="0"/>
        <w:jc w:val="both"/>
        <w:rPr>
          <w:sz w:val="22"/>
          <w:szCs w:val="22"/>
        </w:rPr>
      </w:pPr>
      <w:r>
        <w:rPr>
          <w:color w:val="000000"/>
          <w:spacing w:val="0"/>
          <w:w w:val="100"/>
          <w:position w:val="0"/>
          <w:sz w:val="22"/>
          <w:szCs w:val="22"/>
        </w:rPr>
        <w:t>金融资产和金融负债在初始确认时以公允价值计量。对于以公允价值计量且其变动计入当 期损益的金融资产和金融负债，相关的交易费用直接计入当期损益；对于其他类别的金融 资产和金融负债，相关交易费用计入初始确认金额。当本集团按照《企业会计准则第</w:t>
      </w:r>
      <w:r>
        <w:rPr>
          <w:rFonts w:ascii="Times New Roman" w:eastAsia="Times New Roman" w:hAnsi="Times New Roman" w:cs="Times New Roman"/>
          <w:color w:val="000000"/>
          <w:spacing w:val="0"/>
          <w:w w:val="100"/>
          <w:position w:val="0"/>
          <w:sz w:val="24"/>
          <w:szCs w:val="24"/>
        </w:rPr>
        <w:t xml:space="preserve">14 </w:t>
      </w:r>
      <w:r>
        <w:rPr>
          <w:color w:val="000000"/>
          <w:spacing w:val="0"/>
          <w:w w:val="100"/>
          <w:position w:val="0"/>
          <w:sz w:val="22"/>
          <w:szCs w:val="22"/>
        </w:rPr>
        <w:t>号</w:t>
      </w:r>
      <w:r>
        <w:rPr>
          <w:color w:val="000000"/>
          <w:spacing w:val="0"/>
          <w:w w:val="100"/>
          <w:position w:val="0"/>
          <w:sz w:val="24"/>
          <w:szCs w:val="24"/>
        </w:rPr>
        <w:t>一一</w:t>
      </w:r>
      <w:r>
        <w:rPr>
          <w:color w:val="000000"/>
          <w:spacing w:val="0"/>
          <w:w w:val="100"/>
          <w:position w:val="0"/>
          <w:sz w:val="22"/>
          <w:szCs w:val="22"/>
        </w:rPr>
        <w:t>收入》</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初始确认未包含重大融资成分或不考虑不超过一年的合同中的 融资成分的应收账款时，按照收入准则定义的交易价格进行初始计量。</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9" w:val="left"/>
        </w:tabs>
        <w:bidi w:val="0"/>
        <w:spacing w:before="0" w:after="24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9" w:val="left"/>
        </w:tabs>
        <w:bidi w:val="0"/>
        <w:spacing w:before="0" w:after="240" w:line="271" w:lineRule="auto"/>
        <w:ind w:left="0" w:right="0" w:firstLine="0"/>
        <w:jc w:val="both"/>
        <w:rPr>
          <w:sz w:val="22"/>
          <w:szCs w:val="22"/>
        </w:rPr>
      </w:pPr>
      <w:bookmarkStart w:id="809" w:name="bookmark809"/>
      <w:r>
        <w:rPr>
          <w:rFonts w:ascii="Times New Roman" w:eastAsia="Times New Roman" w:hAnsi="Times New Roman" w:cs="Times New Roman"/>
          <w:color w:val="000000"/>
          <w:spacing w:val="0"/>
          <w:w w:val="100"/>
          <w:position w:val="0"/>
          <w:sz w:val="24"/>
          <w:szCs w:val="24"/>
        </w:rPr>
        <w:t>9</w:t>
      </w:r>
      <w:bookmarkEnd w:id="809"/>
      <w:r>
        <w:rPr>
          <w:color w:val="000000"/>
          <w:spacing w:val="0"/>
          <w:w w:val="100"/>
          <w:position w:val="0"/>
          <w:sz w:val="22"/>
          <w:szCs w:val="22"/>
        </w:rPr>
        <w:t>、</w:t>
        <w:tab/>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40" w:line="310" w:lineRule="exact"/>
        <w:ind w:left="720" w:right="0" w:firstLine="0"/>
        <w:jc w:val="both"/>
        <w:rPr>
          <w:sz w:val="22"/>
          <w:szCs w:val="22"/>
        </w:rPr>
      </w:pPr>
      <w:r>
        <w:rPr>
          <w:color w:val="000000"/>
          <w:spacing w:val="0"/>
          <w:w w:val="100"/>
          <w:position w:val="0"/>
          <w:sz w:val="22"/>
          <w:szCs w:val="22"/>
        </w:rPr>
        <w:t>金融资产或金融负债的摊余成本是以该金融资产或金融负债的初始确认金额扣除已偿还的 本金，加上或减去采用实际利率法将该初始确认金额与到期日金额之间的差额进行摊销形 成的累计摊销额，再扣除累计计提的损失准备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仅适用于金融资产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240" w:line="312" w:lineRule="exact"/>
        <w:ind w:left="720" w:right="0" w:firstLine="0"/>
        <w:jc w:val="both"/>
        <w:rPr>
          <w:sz w:val="22"/>
          <w:szCs w:val="22"/>
        </w:rPr>
      </w:pPr>
      <w:r>
        <w:rPr>
          <w:color w:val="000000"/>
          <w:spacing w:val="0"/>
          <w:w w:val="100"/>
          <w:position w:val="0"/>
          <w:sz w:val="22"/>
          <w:szCs w:val="22"/>
        </w:rPr>
        <w:t>实际利率法是指计算金融资产或金融负债的摊余成本以及将利息收入或利息费用分摊计入 各会计期间的方法。</w:t>
      </w:r>
    </w:p>
    <w:p>
      <w:pPr>
        <w:pStyle w:val="Style5"/>
        <w:keepNext w:val="0"/>
        <w:keepLines w:val="0"/>
        <w:widowControl w:val="0"/>
        <w:shd w:val="clear" w:color="auto" w:fill="auto"/>
        <w:bidi w:val="0"/>
        <w:spacing w:before="0" w:after="300" w:line="314" w:lineRule="exact"/>
        <w:ind w:left="720" w:right="0" w:firstLine="0"/>
        <w:jc w:val="both"/>
        <w:rPr>
          <w:sz w:val="22"/>
          <w:szCs w:val="22"/>
        </w:rPr>
      </w:pPr>
      <w:r>
        <w:rPr>
          <w:color w:val="000000"/>
          <w:spacing w:val="0"/>
          <w:w w:val="100"/>
          <w:position w:val="0"/>
          <w:sz w:val="22"/>
          <w:szCs w:val="22"/>
        </w:rPr>
        <w:t>实际利率，是指将金融资产或金融负债在预计存续期的估计未来现金流量，折现为该金融 资产账面余额或该金融负债摊余成本所使用的利率。在确定实际利率时，在考虑金融资产 或金融负债所有合同条款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如提前还款、展期、看涨期权或其他类似期权等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的基础上估计 预期现金流量，但不考虑预期信用损失。</w:t>
      </w:r>
    </w:p>
    <w:p>
      <w:pPr>
        <w:pStyle w:val="Style5"/>
        <w:keepNext w:val="0"/>
        <w:keepLines w:val="0"/>
        <w:widowControl w:val="0"/>
        <w:shd w:val="clear" w:color="auto" w:fill="auto"/>
        <w:bidi w:val="0"/>
        <w:spacing w:before="0" w:after="240" w:line="271"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金融资产</w:t>
      </w:r>
    </w:p>
    <w:p>
      <w:pPr>
        <w:pStyle w:val="Style5"/>
        <w:keepNext w:val="0"/>
        <w:keepLines w:val="0"/>
        <w:widowControl w:val="0"/>
        <w:shd w:val="clear" w:color="auto" w:fill="auto"/>
        <w:bidi w:val="0"/>
        <w:spacing w:before="0" w:after="240" w:line="271" w:lineRule="auto"/>
        <w:ind w:left="0" w:right="0" w:firstLine="720"/>
        <w:jc w:val="both"/>
        <w:rPr>
          <w:sz w:val="22"/>
          <w:szCs w:val="22"/>
        </w:rPr>
      </w:pPr>
      <w:bookmarkStart w:id="810" w:name="bookmark810"/>
      <w:r>
        <w:rPr>
          <w:rFonts w:ascii="Times New Roman" w:eastAsia="Times New Roman" w:hAnsi="Times New Roman" w:cs="Times New Roman"/>
          <w:color w:val="000000"/>
          <w:spacing w:val="0"/>
          <w:w w:val="100"/>
          <w:position w:val="0"/>
          <w:sz w:val="24"/>
          <w:szCs w:val="24"/>
        </w:rPr>
        <w:t>（</w:t>
      </w:r>
      <w:bookmarkEnd w:id="81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金融资产分类</w:t>
      </w:r>
    </w:p>
    <w:p>
      <w:pPr>
        <w:pStyle w:val="Style5"/>
        <w:keepNext w:val="0"/>
        <w:keepLines w:val="0"/>
        <w:widowControl w:val="0"/>
        <w:shd w:val="clear" w:color="auto" w:fill="auto"/>
        <w:bidi w:val="0"/>
        <w:spacing w:before="0" w:after="240" w:line="310" w:lineRule="exact"/>
        <w:ind w:left="720" w:right="0" w:firstLine="0"/>
        <w:jc w:val="both"/>
        <w:rPr>
          <w:sz w:val="22"/>
          <w:szCs w:val="22"/>
        </w:rPr>
      </w:pPr>
      <w:r>
        <w:rPr>
          <w:color w:val="000000"/>
          <w:spacing w:val="0"/>
          <w:w w:val="100"/>
          <w:position w:val="0"/>
          <w:sz w:val="22"/>
          <w:szCs w:val="22"/>
        </w:rPr>
        <w:t>本集团在初始确认时根据管理金融资产的业务模式和金融资产的合同现金流量特征，将金 融资产分为不同类别：以摊余成本计量的金融资产、以公允价值计量且其变动计入其他综 合收益的金融资产及以公允价值计量且其变动计入当期损益的金融资产。</w:t>
      </w:r>
    </w:p>
    <w:p>
      <w:pPr>
        <w:pStyle w:val="Style5"/>
        <w:keepNext w:val="0"/>
        <w:keepLines w:val="0"/>
        <w:widowControl w:val="0"/>
        <w:shd w:val="clear" w:color="auto" w:fill="auto"/>
        <w:bidi w:val="0"/>
        <w:spacing w:before="0" w:after="300" w:line="334" w:lineRule="exact"/>
        <w:ind w:left="720" w:right="0" w:firstLine="0"/>
        <w:jc w:val="both"/>
        <w:rPr>
          <w:sz w:val="22"/>
          <w:szCs w:val="22"/>
        </w:rPr>
      </w:pPr>
      <w:r>
        <w:rPr>
          <w:color w:val="000000"/>
          <w:spacing w:val="0"/>
          <w:w w:val="100"/>
          <w:position w:val="0"/>
          <w:sz w:val="22"/>
          <w:szCs w:val="22"/>
        </w:rPr>
        <w:t>除非本集团改变管理金融资产的业务模式，在此情形下，所有受影响的相关金融资产在业 务模式发生变更后的首个报告期间的第一天进行重分类，否则金融资产在初始确认后不得 进行重分类。</w:t>
      </w:r>
    </w:p>
    <w:p>
      <w:pPr>
        <w:pStyle w:val="Style5"/>
        <w:keepNext w:val="0"/>
        <w:keepLines w:val="0"/>
        <w:widowControl w:val="0"/>
        <w:shd w:val="clear" w:color="auto" w:fill="auto"/>
        <w:bidi w:val="0"/>
        <w:spacing w:before="0" w:after="300" w:line="293" w:lineRule="exact"/>
        <w:ind w:left="720" w:right="0" w:firstLine="0"/>
        <w:jc w:val="both"/>
        <w:rPr>
          <w:sz w:val="22"/>
          <w:szCs w:val="22"/>
        </w:rPr>
      </w:pPr>
      <w:r>
        <w:rPr>
          <w:color w:val="000000"/>
          <w:spacing w:val="0"/>
          <w:w w:val="100"/>
          <w:position w:val="0"/>
          <w:sz w:val="22"/>
          <w:szCs w:val="22"/>
        </w:rPr>
        <w:t>本集团将同时符合下列条件且未被指定为以公允价值计量且其变动计入当期损益的金融资 产，分类为以摊余成本计量的金融资产：</w:t>
      </w:r>
    </w:p>
    <w:p>
      <w:pPr>
        <w:pStyle w:val="Style5"/>
        <w:keepNext w:val="0"/>
        <w:keepLines w:val="0"/>
        <w:widowControl w:val="0"/>
        <w:numPr>
          <w:ilvl w:val="0"/>
          <w:numId w:val="63"/>
        </w:numPr>
        <w:shd w:val="clear" w:color="auto" w:fill="auto"/>
        <w:tabs>
          <w:tab w:pos="1265" w:val="left"/>
        </w:tabs>
        <w:bidi w:val="0"/>
        <w:spacing w:before="0" w:after="0" w:line="312" w:lineRule="exact"/>
        <w:ind w:left="0" w:right="0" w:firstLine="720"/>
        <w:jc w:val="left"/>
        <w:rPr>
          <w:sz w:val="22"/>
          <w:szCs w:val="22"/>
        </w:rPr>
      </w:pPr>
      <w:bookmarkStart w:id="811" w:name="bookmark811"/>
      <w:bookmarkEnd w:id="811"/>
      <w:r>
        <w:rPr>
          <w:color w:val="000000"/>
          <w:spacing w:val="0"/>
          <w:w w:val="100"/>
          <w:position w:val="0"/>
          <w:sz w:val="22"/>
          <w:szCs w:val="22"/>
        </w:rPr>
        <w:t>本集团管理该金融资产的业务模式是以收取合同现金流量为目标；</w:t>
      </w:r>
    </w:p>
    <w:p>
      <w:pPr>
        <w:pStyle w:val="Style5"/>
        <w:keepNext w:val="0"/>
        <w:keepLines w:val="0"/>
        <w:widowControl w:val="0"/>
        <w:numPr>
          <w:ilvl w:val="0"/>
          <w:numId w:val="63"/>
        </w:numPr>
        <w:shd w:val="clear" w:color="auto" w:fill="auto"/>
        <w:tabs>
          <w:tab w:pos="1265" w:val="left"/>
        </w:tabs>
        <w:bidi w:val="0"/>
        <w:spacing w:before="0" w:after="240" w:line="312" w:lineRule="exact"/>
        <w:ind w:left="1280" w:right="0" w:hanging="560"/>
        <w:jc w:val="both"/>
        <w:rPr>
          <w:sz w:val="22"/>
          <w:szCs w:val="22"/>
        </w:rPr>
      </w:pPr>
      <w:bookmarkStart w:id="812" w:name="bookmark812"/>
      <w:bookmarkEnd w:id="812"/>
      <w:r>
        <w:rPr>
          <w:color w:val="000000"/>
          <w:spacing w:val="0"/>
          <w:w w:val="100"/>
          <w:position w:val="0"/>
          <w:sz w:val="22"/>
          <w:szCs w:val="22"/>
        </w:rPr>
        <w:t>该金融资产的合同条款规定，在特定日期产生的现金流量，仅为对本金和以未偿付本 金金额为基础的利息的支付。</w:t>
      </w:r>
    </w:p>
    <w:p>
      <w:pPr>
        <w:pStyle w:val="Style5"/>
        <w:keepNext w:val="0"/>
        <w:keepLines w:val="0"/>
        <w:widowControl w:val="0"/>
        <w:shd w:val="clear" w:color="auto" w:fill="auto"/>
        <w:bidi w:val="0"/>
        <w:spacing w:before="0" w:after="240" w:line="307" w:lineRule="exact"/>
        <w:ind w:left="720" w:right="0" w:firstLine="0"/>
        <w:jc w:val="both"/>
        <w:rPr>
          <w:sz w:val="22"/>
          <w:szCs w:val="22"/>
        </w:rPr>
      </w:pPr>
      <w:r>
        <w:rPr>
          <w:color w:val="000000"/>
          <w:spacing w:val="0"/>
          <w:w w:val="100"/>
          <w:position w:val="0"/>
          <w:sz w:val="22"/>
          <w:szCs w:val="22"/>
        </w:rPr>
        <w:t>此类金融资产主要包括货币资金、应收票据、应收账款、其他应收款、分期收款销售商品 形成的长期应收款及债权投资等。</w:t>
      </w:r>
    </w:p>
    <w:p>
      <w:pPr>
        <w:pStyle w:val="Style5"/>
        <w:keepNext w:val="0"/>
        <w:keepLines w:val="0"/>
        <w:widowControl w:val="0"/>
        <w:shd w:val="clear" w:color="auto" w:fill="auto"/>
        <w:bidi w:val="0"/>
        <w:spacing w:before="0" w:after="240" w:line="312" w:lineRule="exact"/>
        <w:ind w:left="720" w:right="0" w:firstLine="0"/>
        <w:jc w:val="both"/>
        <w:rPr>
          <w:sz w:val="22"/>
          <w:szCs w:val="22"/>
        </w:rPr>
      </w:pPr>
      <w:r>
        <w:rPr>
          <w:color w:val="000000"/>
          <w:spacing w:val="0"/>
          <w:w w:val="100"/>
          <w:position w:val="0"/>
          <w:sz w:val="22"/>
          <w:szCs w:val="22"/>
        </w:rPr>
        <w:t>本集团将同时符合下列条件且未被指定为以公允价值计量且其变动计入当期损益的金融资 产，分类为以公允价值计量且其变动计入其他综合收益的金融资产：</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9" w:val="left"/>
        </w:tabs>
        <w:bidi w:val="0"/>
        <w:spacing w:before="0" w:after="280" w:line="310"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9" w:val="left"/>
        </w:tabs>
        <w:bidi w:val="0"/>
        <w:spacing w:before="0" w:after="280" w:line="271"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271"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271"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金融资产分类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63"/>
        </w:numPr>
        <w:shd w:val="clear" w:color="auto" w:fill="auto"/>
        <w:tabs>
          <w:tab w:pos="1264" w:val="left"/>
        </w:tabs>
        <w:bidi w:val="0"/>
        <w:spacing w:before="0" w:after="0" w:line="312" w:lineRule="exact"/>
        <w:ind w:left="1280" w:right="0" w:hanging="560"/>
        <w:jc w:val="both"/>
        <w:rPr>
          <w:sz w:val="22"/>
          <w:szCs w:val="22"/>
        </w:rPr>
      </w:pPr>
      <w:bookmarkStart w:id="813" w:name="bookmark813"/>
      <w:bookmarkEnd w:id="813"/>
      <w:r>
        <w:rPr>
          <w:color w:val="000000"/>
          <w:spacing w:val="0"/>
          <w:w w:val="100"/>
          <w:position w:val="0"/>
          <w:sz w:val="22"/>
          <w:szCs w:val="22"/>
        </w:rPr>
        <w:t>本集团管理该金融资产的业务模式既以收取合同现金流量为目标又以出售该金融资产 为目标；</w:t>
      </w:r>
    </w:p>
    <w:p>
      <w:pPr>
        <w:pStyle w:val="Style5"/>
        <w:keepNext w:val="0"/>
        <w:keepLines w:val="0"/>
        <w:widowControl w:val="0"/>
        <w:numPr>
          <w:ilvl w:val="0"/>
          <w:numId w:val="63"/>
        </w:numPr>
        <w:shd w:val="clear" w:color="auto" w:fill="auto"/>
        <w:tabs>
          <w:tab w:pos="1264" w:val="left"/>
        </w:tabs>
        <w:bidi w:val="0"/>
        <w:spacing w:before="0" w:after="280" w:line="312" w:lineRule="exact"/>
        <w:ind w:left="1280" w:right="0" w:hanging="560"/>
        <w:jc w:val="both"/>
        <w:rPr>
          <w:sz w:val="22"/>
          <w:szCs w:val="22"/>
        </w:rPr>
      </w:pPr>
      <w:bookmarkStart w:id="814" w:name="bookmark814"/>
      <w:bookmarkEnd w:id="814"/>
      <w:r>
        <w:rPr>
          <w:color w:val="000000"/>
          <w:spacing w:val="0"/>
          <w:w w:val="100"/>
          <w:position w:val="0"/>
          <w:sz w:val="22"/>
          <w:szCs w:val="22"/>
        </w:rPr>
        <w:t>该金融资产的合同条款规定，在特定日期产生的现金流量，仅为对本金和以未偿付本 金金额为基础的利息的支付。</w:t>
      </w:r>
    </w:p>
    <w:p>
      <w:pPr>
        <w:pStyle w:val="Style5"/>
        <w:keepNext w:val="0"/>
        <w:keepLines w:val="0"/>
        <w:widowControl w:val="0"/>
        <w:shd w:val="clear" w:color="auto" w:fill="auto"/>
        <w:bidi w:val="0"/>
        <w:spacing w:before="0" w:after="280" w:line="312" w:lineRule="exact"/>
        <w:ind w:left="720" w:right="0" w:firstLine="0"/>
        <w:jc w:val="left"/>
        <w:rPr>
          <w:sz w:val="22"/>
          <w:szCs w:val="22"/>
        </w:rPr>
      </w:pPr>
      <w:r>
        <w:rPr>
          <w:color w:val="000000"/>
          <w:spacing w:val="0"/>
          <w:w w:val="100"/>
          <w:position w:val="0"/>
          <w:sz w:val="22"/>
          <w:szCs w:val="22"/>
        </w:rPr>
        <w:t>此类金融资产自取得起期限在一年以上的，列示为其他债权投资，自资产负债表日起一年 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到期的，列示于一年内到期的非流动资产；取得时期限在一年内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项目列 示于其他流动资产。</w:t>
      </w:r>
    </w:p>
    <w:p>
      <w:pPr>
        <w:pStyle w:val="Style5"/>
        <w:keepNext w:val="0"/>
        <w:keepLines w:val="0"/>
        <w:widowControl w:val="0"/>
        <w:shd w:val="clear" w:color="auto" w:fill="auto"/>
        <w:bidi w:val="0"/>
        <w:spacing w:before="0" w:after="280" w:line="310" w:lineRule="exact"/>
        <w:ind w:left="720" w:right="0" w:firstLine="0"/>
        <w:jc w:val="left"/>
        <w:rPr>
          <w:sz w:val="22"/>
          <w:szCs w:val="22"/>
        </w:rPr>
      </w:pPr>
      <w:r>
        <w:rPr>
          <w:color w:val="000000"/>
          <w:spacing w:val="0"/>
          <w:w w:val="100"/>
          <w:position w:val="0"/>
          <w:sz w:val="22"/>
          <w:szCs w:val="22"/>
        </w:rPr>
        <w:t>对于非交易性权益工具投资，本集团可在初始确认时将其不可撤销地指定为以公允价值计 量且其变动计入其他综合收益的金融资产。该指定在单项投资的基础上作出，且相关投资 从发行者的角度符合权益工具的定义，此类金融资产作为其他权益工具投资列示。</w:t>
      </w:r>
    </w:p>
    <w:p>
      <w:pPr>
        <w:pStyle w:val="Style5"/>
        <w:keepNext w:val="0"/>
        <w:keepLines w:val="0"/>
        <w:widowControl w:val="0"/>
        <w:shd w:val="clear" w:color="auto" w:fill="auto"/>
        <w:bidi w:val="0"/>
        <w:spacing w:before="0" w:after="280" w:line="310" w:lineRule="exact"/>
        <w:ind w:left="720" w:right="0" w:firstLine="0"/>
        <w:jc w:val="left"/>
        <w:rPr>
          <w:sz w:val="22"/>
          <w:szCs w:val="22"/>
        </w:rPr>
      </w:pPr>
      <w:r>
        <w:rPr>
          <w:color w:val="000000"/>
          <w:spacing w:val="0"/>
          <w:w w:val="100"/>
          <w:position w:val="0"/>
          <w:sz w:val="22"/>
          <w:szCs w:val="22"/>
        </w:rPr>
        <w:t>金融资产满足下列条件之一的，表明本集团持有该金融资产的目的是交易性的：</w:t>
      </w:r>
    </w:p>
    <w:p>
      <w:pPr>
        <w:pStyle w:val="Style5"/>
        <w:keepNext w:val="0"/>
        <w:keepLines w:val="0"/>
        <w:widowControl w:val="0"/>
        <w:numPr>
          <w:ilvl w:val="0"/>
          <w:numId w:val="63"/>
        </w:numPr>
        <w:shd w:val="clear" w:color="auto" w:fill="auto"/>
        <w:tabs>
          <w:tab w:pos="1264" w:val="left"/>
        </w:tabs>
        <w:bidi w:val="0"/>
        <w:spacing w:before="0" w:after="0" w:line="310" w:lineRule="exact"/>
        <w:ind w:left="720" w:right="0" w:firstLine="0"/>
        <w:jc w:val="left"/>
        <w:rPr>
          <w:sz w:val="22"/>
          <w:szCs w:val="22"/>
        </w:rPr>
      </w:pPr>
      <w:bookmarkStart w:id="815" w:name="bookmark815"/>
      <w:bookmarkEnd w:id="815"/>
      <w:r>
        <w:rPr>
          <w:color w:val="000000"/>
          <w:spacing w:val="0"/>
          <w:w w:val="100"/>
          <w:position w:val="0"/>
          <w:sz w:val="22"/>
          <w:szCs w:val="22"/>
        </w:rPr>
        <w:t>取得相关金融资产的目的，主要是为了近期出售。</w:t>
      </w:r>
    </w:p>
    <w:p>
      <w:pPr>
        <w:pStyle w:val="Style5"/>
        <w:keepNext w:val="0"/>
        <w:keepLines w:val="0"/>
        <w:widowControl w:val="0"/>
        <w:numPr>
          <w:ilvl w:val="0"/>
          <w:numId w:val="63"/>
        </w:numPr>
        <w:shd w:val="clear" w:color="auto" w:fill="auto"/>
        <w:tabs>
          <w:tab w:pos="1264" w:val="left"/>
        </w:tabs>
        <w:bidi w:val="0"/>
        <w:spacing w:before="0" w:after="0" w:line="310" w:lineRule="exact"/>
        <w:ind w:left="1280" w:right="0" w:hanging="560"/>
        <w:jc w:val="both"/>
        <w:rPr>
          <w:sz w:val="22"/>
          <w:szCs w:val="22"/>
        </w:rPr>
      </w:pPr>
      <w:bookmarkStart w:id="816" w:name="bookmark816"/>
      <w:bookmarkEnd w:id="816"/>
      <w:r>
        <w:rPr>
          <w:color w:val="000000"/>
          <w:spacing w:val="0"/>
          <w:w w:val="100"/>
          <w:position w:val="0"/>
          <w:sz w:val="22"/>
          <w:szCs w:val="22"/>
        </w:rPr>
        <w:t>相关金融资产在初始确认时属于集中管理的可辨认金融工具组合的一部分，且有客观 证据表明近期实际存在短期获利模式。</w:t>
      </w:r>
    </w:p>
    <w:p>
      <w:pPr>
        <w:pStyle w:val="Style5"/>
        <w:keepNext w:val="0"/>
        <w:keepLines w:val="0"/>
        <w:widowControl w:val="0"/>
        <w:numPr>
          <w:ilvl w:val="0"/>
          <w:numId w:val="63"/>
        </w:numPr>
        <w:shd w:val="clear" w:color="auto" w:fill="auto"/>
        <w:tabs>
          <w:tab w:pos="1264" w:val="left"/>
        </w:tabs>
        <w:bidi w:val="0"/>
        <w:spacing w:before="0" w:after="280" w:line="310" w:lineRule="exact"/>
        <w:ind w:left="1280" w:right="0" w:hanging="560"/>
        <w:jc w:val="both"/>
        <w:rPr>
          <w:sz w:val="22"/>
          <w:szCs w:val="22"/>
        </w:rPr>
      </w:pPr>
      <w:bookmarkStart w:id="817" w:name="bookmark817"/>
      <w:bookmarkEnd w:id="817"/>
      <w:r>
        <w:rPr>
          <w:color w:val="000000"/>
          <w:spacing w:val="0"/>
          <w:w w:val="100"/>
          <w:position w:val="0"/>
          <w:sz w:val="22"/>
          <w:szCs w:val="22"/>
        </w:rPr>
        <w:t>相关金融资产属于衍生工具。但符合财务担保合同定义的衍生工具以及被指定为有效 套期工具的衍生工具除外。</w:t>
      </w:r>
    </w:p>
    <w:p>
      <w:pPr>
        <w:pStyle w:val="Style5"/>
        <w:keepNext w:val="0"/>
        <w:keepLines w:val="0"/>
        <w:widowControl w:val="0"/>
        <w:shd w:val="clear" w:color="auto" w:fill="auto"/>
        <w:bidi w:val="0"/>
        <w:spacing w:before="0" w:after="280" w:line="302" w:lineRule="exact"/>
        <w:ind w:left="720" w:right="0" w:firstLine="0"/>
        <w:jc w:val="both"/>
        <w:rPr>
          <w:sz w:val="22"/>
          <w:szCs w:val="22"/>
        </w:rPr>
      </w:pPr>
      <w:r>
        <w:rPr>
          <w:color w:val="000000"/>
          <w:spacing w:val="0"/>
          <w:w w:val="100"/>
          <w:position w:val="0"/>
          <w:sz w:val="22"/>
          <w:szCs w:val="22"/>
        </w:rPr>
        <w:t>以公允价值计量且其变动计入当期损益的金融资产包括分类为以公允价值计量且其变动计 入当期损益的金融资产和指定为以公允价值计量且其变动计入当期损益的金融资产：</w:t>
      </w:r>
    </w:p>
    <w:p>
      <w:pPr>
        <w:pStyle w:val="Style5"/>
        <w:keepNext w:val="0"/>
        <w:keepLines w:val="0"/>
        <w:widowControl w:val="0"/>
        <w:numPr>
          <w:ilvl w:val="0"/>
          <w:numId w:val="63"/>
        </w:numPr>
        <w:shd w:val="clear" w:color="auto" w:fill="auto"/>
        <w:tabs>
          <w:tab w:pos="1264" w:val="left"/>
        </w:tabs>
        <w:bidi w:val="0"/>
        <w:spacing w:before="0" w:after="0" w:line="310" w:lineRule="exact"/>
        <w:ind w:left="1280" w:right="0" w:hanging="560"/>
        <w:jc w:val="both"/>
        <w:rPr>
          <w:sz w:val="22"/>
          <w:szCs w:val="22"/>
        </w:rPr>
      </w:pPr>
      <w:bookmarkStart w:id="818" w:name="bookmark818"/>
      <w:bookmarkEnd w:id="818"/>
      <w:r>
        <w:rPr>
          <w:color w:val="000000"/>
          <w:spacing w:val="0"/>
          <w:w w:val="100"/>
          <w:position w:val="0"/>
          <w:sz w:val="22"/>
          <w:szCs w:val="22"/>
        </w:rPr>
        <w:t>不符合分类为以摊余成本计量的金融资产、以公允价值计量且其变动计入其他综合收 益的金融资产条件的金融资产、亦未指定为以公允价值计量且其变动计入其他综合收 益的金融资产均分类为以公允价值计量且其变动计入当期损益的金融资产。</w:t>
      </w:r>
    </w:p>
    <w:p>
      <w:pPr>
        <w:pStyle w:val="Style5"/>
        <w:keepNext w:val="0"/>
        <w:keepLines w:val="0"/>
        <w:widowControl w:val="0"/>
        <w:numPr>
          <w:ilvl w:val="0"/>
          <w:numId w:val="63"/>
        </w:numPr>
        <w:shd w:val="clear" w:color="auto" w:fill="auto"/>
        <w:tabs>
          <w:tab w:pos="1264" w:val="left"/>
        </w:tabs>
        <w:bidi w:val="0"/>
        <w:spacing w:before="0" w:after="280" w:line="310" w:lineRule="exact"/>
        <w:ind w:left="1280" w:right="0" w:hanging="560"/>
        <w:jc w:val="both"/>
        <w:rPr>
          <w:sz w:val="22"/>
          <w:szCs w:val="22"/>
        </w:rPr>
      </w:pPr>
      <w:bookmarkStart w:id="819" w:name="bookmark819"/>
      <w:bookmarkEnd w:id="819"/>
      <w:r>
        <w:rPr>
          <w:color w:val="000000"/>
          <w:spacing w:val="0"/>
          <w:w w:val="100"/>
          <w:position w:val="0"/>
          <w:sz w:val="22"/>
          <w:szCs w:val="22"/>
        </w:rPr>
        <w:t>在初始确认时，为消除或显著减少会计错配，本集团可以将金融资产不可撤销地指定 为以公允价值计量且其变动计入当期损益的金融资产。</w:t>
      </w:r>
    </w:p>
    <w:p>
      <w:pPr>
        <w:pStyle w:val="Style5"/>
        <w:keepNext w:val="0"/>
        <w:keepLines w:val="0"/>
        <w:widowControl w:val="0"/>
        <w:shd w:val="clear" w:color="auto" w:fill="auto"/>
        <w:bidi w:val="0"/>
        <w:spacing w:before="0" w:after="280" w:line="312" w:lineRule="exact"/>
        <w:ind w:left="720" w:right="0" w:firstLine="0"/>
        <w:jc w:val="both"/>
        <w:rPr>
          <w:sz w:val="22"/>
          <w:szCs w:val="22"/>
        </w:rPr>
      </w:pPr>
      <w:r>
        <w:rPr>
          <w:color w:val="000000"/>
          <w:spacing w:val="0"/>
          <w:w w:val="100"/>
          <w:position w:val="0"/>
          <w:sz w:val="22"/>
          <w:szCs w:val="22"/>
        </w:rPr>
        <w:t>以公允价值计量且其变动计入当期损益的金融资产列示于交易性金融资产。自资产负债表 日起超过一年到期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或无固定期限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且预期持有超过一年的，列示于其他非流动金融资产。</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65" w:val="left"/>
        </w:tabs>
        <w:bidi w:val="0"/>
        <w:spacing w:before="0" w:after="26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65" w:val="left"/>
        </w:tabs>
        <w:bidi w:val="0"/>
        <w:spacing w:before="0" w:after="260" w:line="271"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271"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65"/>
        </w:numPr>
        <w:shd w:val="clear" w:color="auto" w:fill="auto"/>
        <w:tabs>
          <w:tab w:pos="1170" w:val="left"/>
        </w:tabs>
        <w:bidi w:val="0"/>
        <w:spacing w:before="0" w:after="260" w:line="271" w:lineRule="auto"/>
        <w:ind w:left="0" w:right="0" w:firstLine="720"/>
        <w:jc w:val="both"/>
        <w:rPr>
          <w:sz w:val="22"/>
          <w:szCs w:val="22"/>
        </w:rPr>
      </w:pPr>
      <w:bookmarkStart w:id="820" w:name="bookmark820"/>
      <w:bookmarkEnd w:id="820"/>
      <w:r>
        <w:rPr>
          <w:color w:val="000000"/>
          <w:spacing w:val="0"/>
          <w:w w:val="100"/>
          <w:position w:val="0"/>
          <w:sz w:val="22"/>
          <w:szCs w:val="22"/>
        </w:rPr>
        <w:t>金融资产分类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管理金融资产的业务模式，是指本集团如何管理金融资产以产生现金流量。业务模式决定 本集团所管理金融资产现金流量的来源是收取合同现金流量、出售金融资产还是两者兼 有。本集团以客观事实为依据、以关键管理人员决定的对金融资产进行管理的特定业务目 标为基础，确定管理金融资产的业务模式。</w:t>
      </w:r>
    </w:p>
    <w:p>
      <w:pPr>
        <w:pStyle w:val="Style5"/>
        <w:keepNext w:val="0"/>
        <w:keepLines w:val="0"/>
        <w:widowControl w:val="0"/>
        <w:shd w:val="clear" w:color="auto" w:fill="auto"/>
        <w:bidi w:val="0"/>
        <w:spacing w:before="0" w:after="320" w:line="312" w:lineRule="exact"/>
        <w:ind w:left="720" w:right="0" w:firstLine="0"/>
        <w:jc w:val="both"/>
        <w:rPr>
          <w:sz w:val="22"/>
          <w:szCs w:val="22"/>
        </w:rPr>
      </w:pPr>
      <w:r>
        <w:rPr>
          <w:color w:val="000000"/>
          <w:spacing w:val="0"/>
          <w:w w:val="100"/>
          <w:position w:val="0"/>
          <w:sz w:val="22"/>
          <w:szCs w:val="22"/>
        </w:rPr>
        <w:t>本集团对金融资产的合同现金流量特征进行评估，以确定相关金融资产在特定日期产生的 合同现金流量是否仅为对本金和以未偿付本金金额为基础的利息的支付。其中，本金是指 金融资产在初始确认时的公允价值；利息包括对货币时间价值、与特定时期未偿付本金金 额相关的信用风险、以及其他基本借贷风险、成本和利润的对价。此外，本集团对可能导 致金融资产合同现金流量的时间分布或金额发生变更的合同条款进行评估，以确定其是否 满足上述合同现金流量特征的要求。</w:t>
      </w:r>
    </w:p>
    <w:p>
      <w:pPr>
        <w:pStyle w:val="Style5"/>
        <w:keepNext w:val="0"/>
        <w:keepLines w:val="0"/>
        <w:widowControl w:val="0"/>
        <w:numPr>
          <w:ilvl w:val="0"/>
          <w:numId w:val="65"/>
        </w:numPr>
        <w:shd w:val="clear" w:color="auto" w:fill="auto"/>
        <w:tabs>
          <w:tab w:pos="1170" w:val="left"/>
        </w:tabs>
        <w:bidi w:val="0"/>
        <w:spacing w:before="0" w:after="260" w:line="271" w:lineRule="auto"/>
        <w:ind w:left="0" w:right="0" w:firstLine="720"/>
        <w:jc w:val="both"/>
        <w:rPr>
          <w:sz w:val="22"/>
          <w:szCs w:val="22"/>
        </w:rPr>
      </w:pPr>
      <w:bookmarkStart w:id="821" w:name="bookmark821"/>
      <w:bookmarkEnd w:id="821"/>
      <w:r>
        <w:rPr>
          <w:color w:val="000000"/>
          <w:spacing w:val="0"/>
          <w:w w:val="100"/>
          <w:position w:val="0"/>
          <w:sz w:val="22"/>
          <w:szCs w:val="22"/>
        </w:rPr>
        <w:t>确认和计量</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除不包含重大融资成分或不考虑不超过一年的合同中的融资成分的应收账款外，金融资产 在初始确认时以公允价值计量。对于不包含重大融资成分或不考虑不超过一年的合同中的 融资成分的应收账款，本集团按照根据附注三</w:t>
      </w:r>
      <w:r>
        <w:rPr>
          <w:rFonts w:ascii="Times New Roman" w:eastAsia="Times New Roman" w:hAnsi="Times New Roman" w:cs="Times New Roman"/>
          <w:color w:val="000000"/>
          <w:spacing w:val="0"/>
          <w:w w:val="100"/>
          <w:position w:val="0"/>
          <w:sz w:val="24"/>
          <w:szCs w:val="24"/>
        </w:rPr>
        <w:t>(23 )</w:t>
      </w:r>
      <w:r>
        <w:rPr>
          <w:color w:val="000000"/>
          <w:spacing w:val="0"/>
          <w:w w:val="100"/>
          <w:position w:val="0"/>
          <w:sz w:val="22"/>
          <w:szCs w:val="22"/>
        </w:rPr>
        <w:t>的会计政策确定的交易价格进行初始计 量。以公允价值计量且其变动计入当期损益的金融资产，取得时发生的相关交易费用直接 计入当期损益。其他金融资产的相关交易费用计入初始确认金额。</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以公允价值计量且其变动计入当期损益的金融资产按照公允价值进行后续计量，产生的利 得或损失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包括利息和股利收入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计入当期损益，除非该金融资产属于套期关系的一部分。</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以摊余成本计量的金融资产采用实际利率法，以摊余成本计量。以摊余成本计量且不属于 任何套期关系的一部分的金融资产所产生的利得或损失，在终止确认、按照实际利率法摊 销或确认减值时，计入当期损益。</w:t>
      </w:r>
    </w:p>
    <w:p>
      <w:pPr>
        <w:pStyle w:val="Style5"/>
        <w:keepNext w:val="0"/>
        <w:keepLines w:val="0"/>
        <w:widowControl w:val="0"/>
        <w:shd w:val="clear" w:color="auto" w:fill="auto"/>
        <w:bidi w:val="0"/>
        <w:spacing w:before="0" w:after="260" w:line="311" w:lineRule="exact"/>
        <w:ind w:left="720" w:right="0" w:firstLine="0"/>
        <w:jc w:val="both"/>
        <w:rPr>
          <w:sz w:val="22"/>
          <w:szCs w:val="22"/>
        </w:rPr>
      </w:pPr>
      <w:r>
        <w:rPr>
          <w:color w:val="000000"/>
          <w:spacing w:val="0"/>
          <w:w w:val="100"/>
          <w:position w:val="0"/>
          <w:sz w:val="22"/>
          <w:szCs w:val="22"/>
        </w:rPr>
        <w:t>分类为以公允价值计量且其变动计入其他综合收益的金融资产相关的减值损失或利得、采 用实际利率法计算的利息收入计入当期损益，除此以外该金融资产的公允价值变动均计入 其他综合收益。该金融资产计入各期损益的金额与视同其一直按摊余成本计量而计入各期 损益的金额相等。该金融资产终止确认时，之前计入其他综合收益的累计利得或损失从其 他综合收益中转出，计入当期损益。</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65" w:val="left"/>
        </w:tabs>
        <w:bidi w:val="0"/>
        <w:spacing w:before="0" w:after="260" w:line="310"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65" w:val="left"/>
        </w:tabs>
        <w:bidi w:val="0"/>
        <w:spacing w:before="0" w:after="260" w:line="269"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269"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67"/>
        </w:numPr>
        <w:shd w:val="clear" w:color="auto" w:fill="auto"/>
        <w:tabs>
          <w:tab w:pos="1186" w:val="left"/>
        </w:tabs>
        <w:bidi w:val="0"/>
        <w:spacing w:before="0" w:after="260" w:line="269" w:lineRule="auto"/>
        <w:ind w:left="0" w:right="0" w:firstLine="720"/>
        <w:jc w:val="both"/>
        <w:rPr>
          <w:sz w:val="22"/>
          <w:szCs w:val="22"/>
        </w:rPr>
      </w:pPr>
      <w:bookmarkStart w:id="822" w:name="bookmark822"/>
      <w:bookmarkEnd w:id="822"/>
      <w:r>
        <w:rPr>
          <w:color w:val="000000"/>
          <w:spacing w:val="0"/>
          <w:w w:val="100"/>
          <w:position w:val="0"/>
          <w:sz w:val="22"/>
          <w:szCs w:val="22"/>
        </w:rPr>
        <w:t>确认和计量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指定为以公允价值计量且其变动计入其他综合收益的非交易性权益工具投资以公允价值进 行后续计量。股利收入计入损益，其他利得或损失计入其他综合收益。终止确认时，将之 前计入其他综合收益的累计利得或损失从其他综合收益中转出，计入留存收益。</w:t>
      </w:r>
    </w:p>
    <w:p>
      <w:pPr>
        <w:pStyle w:val="Style5"/>
        <w:keepNext w:val="0"/>
        <w:keepLines w:val="0"/>
        <w:widowControl w:val="0"/>
        <w:numPr>
          <w:ilvl w:val="0"/>
          <w:numId w:val="67"/>
        </w:numPr>
        <w:shd w:val="clear" w:color="auto" w:fill="auto"/>
        <w:tabs>
          <w:tab w:pos="1186" w:val="left"/>
        </w:tabs>
        <w:bidi w:val="0"/>
        <w:spacing w:before="0" w:after="260" w:line="310" w:lineRule="exact"/>
        <w:ind w:left="0" w:right="0" w:firstLine="720"/>
        <w:jc w:val="both"/>
        <w:rPr>
          <w:sz w:val="22"/>
          <w:szCs w:val="22"/>
        </w:rPr>
      </w:pPr>
      <w:bookmarkStart w:id="823" w:name="bookmark823"/>
      <w:bookmarkEnd w:id="823"/>
      <w:r>
        <w:rPr>
          <w:color w:val="000000"/>
          <w:spacing w:val="0"/>
          <w:w w:val="100"/>
          <w:position w:val="0"/>
          <w:sz w:val="22"/>
          <w:szCs w:val="22"/>
        </w:rPr>
        <w:t>金融资产及其他项目减值</w:t>
      </w:r>
    </w:p>
    <w:p>
      <w:pPr>
        <w:pStyle w:val="Style5"/>
        <w:keepNext w:val="0"/>
        <w:keepLines w:val="0"/>
        <w:widowControl w:val="0"/>
        <w:shd w:val="clear" w:color="auto" w:fill="auto"/>
        <w:bidi w:val="0"/>
        <w:spacing w:before="0" w:after="260" w:line="310" w:lineRule="exact"/>
        <w:ind w:left="0" w:right="0" w:firstLine="720"/>
        <w:jc w:val="both"/>
        <w:rPr>
          <w:sz w:val="22"/>
          <w:szCs w:val="22"/>
        </w:rPr>
      </w:pPr>
      <w:r>
        <w:rPr>
          <w:color w:val="000000"/>
          <w:spacing w:val="0"/>
          <w:w w:val="100"/>
          <w:position w:val="0"/>
          <w:sz w:val="22"/>
          <w:szCs w:val="22"/>
        </w:rPr>
        <w:t>本集团以预期信用损失为基础，对下列项目进行减值会计处理并确认损失准备：</w:t>
      </w:r>
    </w:p>
    <w:p>
      <w:pPr>
        <w:pStyle w:val="Style5"/>
        <w:keepNext w:val="0"/>
        <w:keepLines w:val="0"/>
        <w:widowControl w:val="0"/>
        <w:numPr>
          <w:ilvl w:val="0"/>
          <w:numId w:val="63"/>
        </w:numPr>
        <w:shd w:val="clear" w:color="auto" w:fill="auto"/>
        <w:tabs>
          <w:tab w:pos="1291" w:val="left"/>
        </w:tabs>
        <w:bidi w:val="0"/>
        <w:spacing w:before="0" w:after="0" w:line="310" w:lineRule="exact"/>
        <w:ind w:left="0" w:right="0" w:firstLine="720"/>
        <w:jc w:val="both"/>
        <w:rPr>
          <w:sz w:val="22"/>
          <w:szCs w:val="22"/>
        </w:rPr>
      </w:pPr>
      <w:bookmarkStart w:id="824" w:name="bookmark824"/>
      <w:bookmarkEnd w:id="824"/>
      <w:r>
        <w:rPr>
          <w:color w:val="000000"/>
          <w:spacing w:val="0"/>
          <w:w w:val="100"/>
          <w:position w:val="0"/>
          <w:sz w:val="22"/>
          <w:szCs w:val="22"/>
        </w:rPr>
        <w:t>以摊余成本计量的金融资产；</w:t>
      </w:r>
    </w:p>
    <w:p>
      <w:pPr>
        <w:pStyle w:val="Style5"/>
        <w:keepNext w:val="0"/>
        <w:keepLines w:val="0"/>
        <w:widowControl w:val="0"/>
        <w:numPr>
          <w:ilvl w:val="0"/>
          <w:numId w:val="63"/>
        </w:numPr>
        <w:shd w:val="clear" w:color="auto" w:fill="auto"/>
        <w:tabs>
          <w:tab w:pos="1291" w:val="left"/>
        </w:tabs>
        <w:bidi w:val="0"/>
        <w:spacing w:before="0" w:after="40" w:line="310" w:lineRule="exact"/>
        <w:ind w:left="0" w:right="0" w:firstLine="720"/>
        <w:jc w:val="both"/>
        <w:rPr>
          <w:sz w:val="22"/>
          <w:szCs w:val="22"/>
        </w:rPr>
      </w:pPr>
      <w:bookmarkStart w:id="825" w:name="bookmark825"/>
      <w:bookmarkEnd w:id="825"/>
      <w:r>
        <w:rPr>
          <w:color w:val="000000"/>
          <w:spacing w:val="0"/>
          <w:w w:val="100"/>
          <w:position w:val="0"/>
          <w:sz w:val="22"/>
          <w:szCs w:val="22"/>
        </w:rPr>
        <w:t>分类为以公允价值计量且其变动计入其他综合收益的金融资产；</w:t>
      </w:r>
    </w:p>
    <w:p>
      <w:pPr>
        <w:pStyle w:val="Style5"/>
        <w:keepNext w:val="0"/>
        <w:keepLines w:val="0"/>
        <w:widowControl w:val="0"/>
        <w:numPr>
          <w:ilvl w:val="0"/>
          <w:numId w:val="63"/>
        </w:numPr>
        <w:shd w:val="clear" w:color="auto" w:fill="auto"/>
        <w:tabs>
          <w:tab w:pos="1291" w:val="left"/>
        </w:tabs>
        <w:bidi w:val="0"/>
        <w:spacing w:before="0" w:after="0" w:line="269" w:lineRule="auto"/>
        <w:ind w:left="0" w:right="0" w:firstLine="720"/>
        <w:jc w:val="both"/>
        <w:rPr>
          <w:sz w:val="22"/>
          <w:szCs w:val="22"/>
        </w:rPr>
      </w:pPr>
      <w:bookmarkStart w:id="826" w:name="bookmark826"/>
      <w:bookmarkEnd w:id="826"/>
      <w:r>
        <w:rPr>
          <w:color w:val="000000"/>
          <w:spacing w:val="0"/>
          <w:w w:val="100"/>
          <w:position w:val="0"/>
          <w:sz w:val="22"/>
          <w:szCs w:val="22"/>
        </w:rPr>
        <w:t>应收融资租赁款；</w:t>
      </w:r>
    </w:p>
    <w:p>
      <w:pPr>
        <w:pStyle w:val="Style5"/>
        <w:keepNext w:val="0"/>
        <w:keepLines w:val="0"/>
        <w:widowControl w:val="0"/>
        <w:numPr>
          <w:ilvl w:val="0"/>
          <w:numId w:val="63"/>
        </w:numPr>
        <w:shd w:val="clear" w:color="auto" w:fill="auto"/>
        <w:tabs>
          <w:tab w:pos="1291" w:val="left"/>
        </w:tabs>
        <w:bidi w:val="0"/>
        <w:spacing w:before="0" w:after="260" w:line="269" w:lineRule="auto"/>
        <w:ind w:left="0" w:right="0" w:firstLine="720"/>
        <w:jc w:val="both"/>
        <w:rPr>
          <w:sz w:val="22"/>
          <w:szCs w:val="22"/>
        </w:rPr>
      </w:pPr>
      <w:bookmarkStart w:id="827" w:name="bookmark827"/>
      <w:bookmarkEnd w:id="827"/>
      <w:r>
        <w:rPr>
          <w:color w:val="000000"/>
          <w:spacing w:val="0"/>
          <w:w w:val="100"/>
          <w:position w:val="0"/>
          <w:sz w:val="22"/>
          <w:szCs w:val="22"/>
        </w:rPr>
        <w:t>合同资产。</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本集团持有的其他以公允价值计量的金融资产不适用预期信用损失模型，包括以公允价值 计量且其变动计入当期损益的金融资产，以及指定为以公允价值计量且其变动计入其他综 合收益的非交易性权益工具投资。</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⑴预期信用损失的计量</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预期信用损失，是指以发生违约的风险为权重的金融工具信用损失的加权平均值。信用损 失，是指本集团按照原实际利率折现的、根据合同应收的所有合同现金流量与预期收取的 所有现金流量之间的差额，即全部现金短缺的现值。</w:t>
      </w:r>
    </w:p>
    <w:p>
      <w:pPr>
        <w:pStyle w:val="Style5"/>
        <w:keepNext w:val="0"/>
        <w:keepLines w:val="0"/>
        <w:widowControl w:val="0"/>
        <w:shd w:val="clear" w:color="auto" w:fill="auto"/>
        <w:bidi w:val="0"/>
        <w:spacing w:before="0" w:after="260" w:line="307" w:lineRule="exact"/>
        <w:ind w:left="720" w:right="0" w:firstLine="0"/>
        <w:jc w:val="both"/>
        <w:rPr>
          <w:sz w:val="22"/>
          <w:szCs w:val="22"/>
        </w:rPr>
      </w:pPr>
      <w:r>
        <w:rPr>
          <w:color w:val="000000"/>
          <w:spacing w:val="0"/>
          <w:w w:val="100"/>
          <w:position w:val="0"/>
          <w:sz w:val="22"/>
          <w:szCs w:val="22"/>
        </w:rPr>
        <w:t>在计量预期信用损失时，需考虑的最长期限为本集团面临信用风险的最长合同期限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包括考 虑续约选择权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260" w:line="307" w:lineRule="exact"/>
        <w:ind w:left="720" w:right="0" w:firstLine="0"/>
        <w:jc w:val="both"/>
        <w:rPr>
          <w:sz w:val="22"/>
          <w:szCs w:val="22"/>
        </w:rPr>
      </w:pPr>
      <w:r>
        <w:rPr>
          <w:color w:val="000000"/>
          <w:spacing w:val="0"/>
          <w:w w:val="100"/>
          <w:position w:val="0"/>
          <w:sz w:val="22"/>
          <w:szCs w:val="22"/>
        </w:rPr>
        <w:t>整个存续期预期信用损失，是指因金融工具整个预计存续期内所有可能发生的违约事件而 导致的预期信用损失。</w:t>
      </w:r>
    </w:p>
    <w:p>
      <w:pPr>
        <w:pStyle w:val="Style5"/>
        <w:keepNext w:val="0"/>
        <w:keepLines w:val="0"/>
        <w:widowControl w:val="0"/>
        <w:shd w:val="clear" w:color="auto" w:fill="auto"/>
        <w:bidi w:val="0"/>
        <w:spacing w:before="0" w:after="260" w:line="319" w:lineRule="exact"/>
        <w:ind w:left="720" w:right="0" w:firstLine="0"/>
        <w:jc w:val="both"/>
        <w:rPr>
          <w:sz w:val="22"/>
          <w:szCs w:val="22"/>
        </w:rPr>
      </w:pPr>
      <w:r>
        <w:rPr>
          <w:color w:val="000000"/>
          <w:spacing w:val="0"/>
          <w:w w:val="100"/>
          <w:position w:val="0"/>
          <w:sz w:val="22"/>
          <w:szCs w:val="22"/>
        </w:rPr>
        <w:t>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个月内预期信用损失，是指因资产负债表日后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若金融工具的预计存续期 少于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个月，则为预计存续期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可能发生的金融工具违约事件而导致的预期信用损失，是 整个存续期预期信用损失的一部分。</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4" w:val="left"/>
        </w:tabs>
        <w:bidi w:val="0"/>
        <w:spacing w:before="0" w:after="260" w:line="311"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4" w:val="left"/>
        </w:tabs>
        <w:bidi w:val="0"/>
        <w:spacing w:before="0" w:after="260" w:line="271"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271" w:lineRule="auto"/>
        <w:ind w:left="720" w:right="0" w:firstLine="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65"/>
        </w:numPr>
        <w:shd w:val="clear" w:color="auto" w:fill="auto"/>
        <w:bidi w:val="0"/>
        <w:spacing w:before="0" w:after="260" w:line="311" w:lineRule="exact"/>
        <w:ind w:left="720" w:right="0" w:firstLine="0"/>
        <w:jc w:val="both"/>
        <w:rPr>
          <w:sz w:val="22"/>
          <w:szCs w:val="22"/>
        </w:rPr>
      </w:pPr>
      <w:bookmarkStart w:id="828" w:name="bookmark828"/>
      <w:bookmarkEnd w:id="828"/>
      <w:r>
        <w:rPr>
          <w:color w:val="000000"/>
          <w:spacing w:val="0"/>
          <w:w w:val="100"/>
          <w:position w:val="0"/>
          <w:sz w:val="22"/>
          <w:szCs w:val="22"/>
        </w:rPr>
        <w:t>金融资产及其他项目减值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1" w:lineRule="exact"/>
        <w:ind w:left="720" w:right="0" w:firstLine="0"/>
        <w:jc w:val="both"/>
        <w:rPr>
          <w:sz w:val="22"/>
          <w:szCs w:val="22"/>
        </w:rPr>
      </w:pPr>
      <w:r>
        <w:rPr>
          <w:color w:val="000000"/>
          <w:spacing w:val="0"/>
          <w:w w:val="100"/>
          <w:position w:val="0"/>
          <w:sz w:val="22"/>
          <w:szCs w:val="22"/>
        </w:rPr>
        <w:t>⑴预期信用损失的计量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对于应收账款及合同资产，本集团始终按照相当于整个存续期内预期信用损失的金额计量 其损失准备。除已发生信用减值的金融资产外，本集团基于历史信用损失经验，使用减值 矩阵计算上述金融资产的预期信用损失，相关历史经验根据资产负债表日借款人的特定因 素，以及对当前状况和未来经济状况预测的评估进行调整。</w:t>
      </w:r>
    </w:p>
    <w:p>
      <w:pPr>
        <w:pStyle w:val="Style5"/>
        <w:keepNext w:val="0"/>
        <w:keepLines w:val="0"/>
        <w:widowControl w:val="0"/>
        <w:shd w:val="clear" w:color="auto" w:fill="auto"/>
        <w:bidi w:val="0"/>
        <w:spacing w:before="0" w:after="260" w:line="314" w:lineRule="exact"/>
        <w:ind w:left="720" w:right="0" w:firstLine="0"/>
        <w:jc w:val="both"/>
        <w:rPr>
          <w:sz w:val="22"/>
          <w:szCs w:val="22"/>
        </w:rPr>
      </w:pPr>
      <w:r>
        <w:rPr>
          <w:color w:val="000000"/>
          <w:spacing w:val="0"/>
          <w:w w:val="100"/>
          <w:position w:val="0"/>
          <w:sz w:val="22"/>
          <w:szCs w:val="22"/>
        </w:rPr>
        <w:t>除应收账款及合同资产外，本集团对满足下列情形的金融工具按照相当于未来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 预期信用损失的金额计量其损失准备，对其他金融工具按照相当于整个存续期内预期信用 损失的金额计量其损失准备：</w:t>
      </w:r>
    </w:p>
    <w:p>
      <w:pPr>
        <w:pStyle w:val="Style5"/>
        <w:keepNext w:val="0"/>
        <w:keepLines w:val="0"/>
        <w:widowControl w:val="0"/>
        <w:numPr>
          <w:ilvl w:val="0"/>
          <w:numId w:val="63"/>
        </w:numPr>
        <w:shd w:val="clear" w:color="auto" w:fill="auto"/>
        <w:tabs>
          <w:tab w:pos="1217" w:val="left"/>
        </w:tabs>
        <w:bidi w:val="0"/>
        <w:spacing w:before="0" w:after="0" w:line="311" w:lineRule="exact"/>
        <w:ind w:left="720" w:right="0" w:firstLine="0"/>
        <w:jc w:val="both"/>
        <w:rPr>
          <w:sz w:val="22"/>
          <w:szCs w:val="22"/>
        </w:rPr>
      </w:pPr>
      <w:bookmarkStart w:id="829" w:name="bookmark829"/>
      <w:bookmarkEnd w:id="829"/>
      <w:r>
        <w:rPr>
          <w:color w:val="000000"/>
          <w:spacing w:val="0"/>
          <w:w w:val="100"/>
          <w:position w:val="0"/>
          <w:sz w:val="22"/>
          <w:szCs w:val="22"/>
        </w:rPr>
        <w:t>该金融工具在资产负债表日只具有较低的信用风险；或</w:t>
      </w:r>
    </w:p>
    <w:p>
      <w:pPr>
        <w:pStyle w:val="Style5"/>
        <w:keepNext w:val="0"/>
        <w:keepLines w:val="0"/>
        <w:widowControl w:val="0"/>
        <w:numPr>
          <w:ilvl w:val="0"/>
          <w:numId w:val="63"/>
        </w:numPr>
        <w:shd w:val="clear" w:color="auto" w:fill="auto"/>
        <w:tabs>
          <w:tab w:pos="1217" w:val="left"/>
        </w:tabs>
        <w:bidi w:val="0"/>
        <w:spacing w:before="0" w:after="260" w:line="311" w:lineRule="exact"/>
        <w:ind w:left="720" w:right="0" w:firstLine="0"/>
        <w:jc w:val="both"/>
        <w:rPr>
          <w:sz w:val="22"/>
          <w:szCs w:val="22"/>
        </w:rPr>
      </w:pPr>
      <w:bookmarkStart w:id="830" w:name="bookmark830"/>
      <w:bookmarkEnd w:id="830"/>
      <w:r>
        <w:rPr>
          <w:color w:val="000000"/>
          <w:spacing w:val="0"/>
          <w:w w:val="100"/>
          <w:position w:val="0"/>
          <w:sz w:val="22"/>
          <w:szCs w:val="22"/>
        </w:rPr>
        <w:t>该金融工具的信用风险自初始确认后并未显著增加。</w:t>
      </w:r>
    </w:p>
    <w:p>
      <w:pPr>
        <w:pStyle w:val="Style5"/>
        <w:keepNext w:val="0"/>
        <w:keepLines w:val="0"/>
        <w:widowControl w:val="0"/>
        <w:numPr>
          <w:ilvl w:val="0"/>
          <w:numId w:val="69"/>
        </w:numPr>
        <w:shd w:val="clear" w:color="auto" w:fill="auto"/>
        <w:tabs>
          <w:tab w:pos="1217" w:val="left"/>
        </w:tabs>
        <w:bidi w:val="0"/>
        <w:spacing w:before="0" w:after="260" w:line="311" w:lineRule="exact"/>
        <w:ind w:left="720" w:right="0" w:firstLine="0"/>
        <w:jc w:val="both"/>
        <w:rPr>
          <w:sz w:val="22"/>
          <w:szCs w:val="22"/>
        </w:rPr>
      </w:pPr>
      <w:bookmarkStart w:id="831" w:name="bookmark831"/>
      <w:bookmarkEnd w:id="831"/>
      <w:r>
        <w:rPr>
          <w:color w:val="000000"/>
          <w:spacing w:val="0"/>
          <w:w w:val="100"/>
          <w:position w:val="0"/>
          <w:sz w:val="22"/>
          <w:szCs w:val="22"/>
        </w:rPr>
        <w:t>具有较低的信用风险</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如果金融工具的违约风险较低，借款人在短期内履行其合同现金流量义务的能力很强，并 且即便较长时期内经济形势和经营环境存在不利变化但未必一定降低借款人履行其合同现 金流量义务的能力，该金融工具被视为具有较低的信用风险。</w:t>
      </w:r>
    </w:p>
    <w:p>
      <w:pPr>
        <w:pStyle w:val="Style5"/>
        <w:keepNext w:val="0"/>
        <w:keepLines w:val="0"/>
        <w:widowControl w:val="0"/>
        <w:shd w:val="clear" w:color="auto" w:fill="auto"/>
        <w:bidi w:val="0"/>
        <w:spacing w:before="0" w:after="260" w:line="307" w:lineRule="exact"/>
        <w:ind w:left="720" w:right="0" w:firstLine="0"/>
        <w:jc w:val="both"/>
        <w:rPr>
          <w:sz w:val="22"/>
          <w:szCs w:val="22"/>
        </w:rPr>
      </w:pPr>
      <w:r>
        <w:rPr>
          <w:color w:val="000000"/>
          <w:spacing w:val="0"/>
          <w:w w:val="100"/>
          <w:position w:val="0"/>
          <w:sz w:val="22"/>
          <w:szCs w:val="22"/>
        </w:rPr>
        <w:t>由于银行存款主要存放于信用良好的国有及其他大型银行，本集团认为银行存款具有低信 用风险。</w:t>
      </w:r>
    </w:p>
    <w:p>
      <w:pPr>
        <w:pStyle w:val="Style5"/>
        <w:keepNext w:val="0"/>
        <w:keepLines w:val="0"/>
        <w:widowControl w:val="0"/>
        <w:numPr>
          <w:ilvl w:val="0"/>
          <w:numId w:val="69"/>
        </w:numPr>
        <w:shd w:val="clear" w:color="auto" w:fill="auto"/>
        <w:tabs>
          <w:tab w:pos="1256" w:val="left"/>
        </w:tabs>
        <w:bidi w:val="0"/>
        <w:spacing w:before="0" w:after="260" w:line="311" w:lineRule="exact"/>
        <w:ind w:left="720" w:right="0" w:firstLine="0"/>
        <w:jc w:val="both"/>
        <w:rPr>
          <w:sz w:val="22"/>
          <w:szCs w:val="22"/>
        </w:rPr>
      </w:pPr>
      <w:bookmarkStart w:id="832" w:name="bookmark832"/>
      <w:bookmarkEnd w:id="832"/>
      <w:r>
        <w:rPr>
          <w:color w:val="000000"/>
          <w:spacing w:val="0"/>
          <w:w w:val="100"/>
          <w:position w:val="0"/>
          <w:sz w:val="22"/>
          <w:szCs w:val="22"/>
        </w:rPr>
        <w:t>信用风险显著增加</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本集团通过比较金融工具在资产负债表日发生违约的风险与在初始确认日发生违约的风 险，以确定金融工具预计存续期内发生违约风险的相对变化，进而评估金融工具的信用风 险自初始确认后是否已显著增加。</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在确定信用风险自初始确认后是否显著增加时，本集团考虑无须付出不必要的额外成本或 努力即可获得的合理且有依据的信息，包括前瞻性信息。本集团考虑的信息包括：</w:t>
      </w:r>
    </w:p>
    <w:p>
      <w:pPr>
        <w:pStyle w:val="Style5"/>
        <w:keepNext w:val="0"/>
        <w:keepLines w:val="0"/>
        <w:widowControl w:val="0"/>
        <w:numPr>
          <w:ilvl w:val="0"/>
          <w:numId w:val="63"/>
        </w:numPr>
        <w:shd w:val="clear" w:color="auto" w:fill="auto"/>
        <w:tabs>
          <w:tab w:pos="1217" w:val="left"/>
        </w:tabs>
        <w:bidi w:val="0"/>
        <w:spacing w:before="0" w:after="0" w:line="311" w:lineRule="exact"/>
        <w:ind w:left="720" w:right="0" w:firstLine="0"/>
        <w:jc w:val="both"/>
        <w:rPr>
          <w:sz w:val="22"/>
          <w:szCs w:val="22"/>
        </w:rPr>
      </w:pPr>
      <w:bookmarkStart w:id="833" w:name="bookmark833"/>
      <w:bookmarkEnd w:id="833"/>
      <w:r>
        <w:rPr>
          <w:color w:val="000000"/>
          <w:spacing w:val="0"/>
          <w:w w:val="100"/>
          <w:position w:val="0"/>
          <w:sz w:val="22"/>
          <w:szCs w:val="22"/>
        </w:rPr>
        <w:t>债务人未能按合同到期日支付本金和利息的情况；</w:t>
      </w:r>
    </w:p>
    <w:p>
      <w:pPr>
        <w:pStyle w:val="Style5"/>
        <w:keepNext w:val="0"/>
        <w:keepLines w:val="0"/>
        <w:widowControl w:val="0"/>
        <w:numPr>
          <w:ilvl w:val="0"/>
          <w:numId w:val="63"/>
        </w:numPr>
        <w:shd w:val="clear" w:color="auto" w:fill="auto"/>
        <w:tabs>
          <w:tab w:pos="1217" w:val="left"/>
        </w:tabs>
        <w:bidi w:val="0"/>
        <w:spacing w:before="0" w:after="260" w:line="311" w:lineRule="exact"/>
        <w:ind w:left="720" w:right="0" w:firstLine="0"/>
        <w:jc w:val="both"/>
        <w:rPr>
          <w:sz w:val="22"/>
          <w:szCs w:val="22"/>
        </w:rPr>
      </w:pPr>
      <w:bookmarkStart w:id="834" w:name="bookmark834"/>
      <w:bookmarkEnd w:id="834"/>
      <w:r>
        <w:rPr>
          <w:color w:val="000000"/>
          <w:spacing w:val="0"/>
          <w:w w:val="100"/>
          <w:position w:val="0"/>
          <w:sz w:val="22"/>
          <w:szCs w:val="22"/>
        </w:rPr>
        <w:t>已发生的或预期的金融工具的外部或内部信用评级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的严重恶化；</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4" w:val="left"/>
        </w:tabs>
        <w:bidi w:val="0"/>
        <w:spacing w:before="0" w:after="26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4" w:val="left"/>
        </w:tabs>
        <w:bidi w:val="0"/>
        <w:spacing w:before="0" w:after="260" w:line="271"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271" w:lineRule="auto"/>
        <w:ind w:left="1280" w:right="0" w:hanging="56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71"/>
        </w:numPr>
        <w:shd w:val="clear" w:color="auto" w:fill="auto"/>
        <w:bidi w:val="0"/>
        <w:spacing w:before="0" w:after="260" w:line="312" w:lineRule="exact"/>
        <w:ind w:left="1280" w:right="0" w:hanging="560"/>
        <w:jc w:val="both"/>
        <w:rPr>
          <w:sz w:val="22"/>
          <w:szCs w:val="22"/>
        </w:rPr>
      </w:pPr>
      <w:bookmarkStart w:id="835" w:name="bookmark835"/>
      <w:bookmarkEnd w:id="835"/>
      <w:r>
        <w:rPr>
          <w:color w:val="000000"/>
          <w:spacing w:val="0"/>
          <w:w w:val="100"/>
          <w:position w:val="0"/>
          <w:sz w:val="22"/>
          <w:szCs w:val="22"/>
        </w:rPr>
        <w:t>金融资产及其他项目减值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73"/>
        </w:numPr>
        <w:shd w:val="clear" w:color="auto" w:fill="auto"/>
        <w:tabs>
          <w:tab w:pos="1256" w:val="left"/>
        </w:tabs>
        <w:bidi w:val="0"/>
        <w:spacing w:before="0" w:after="260" w:line="312" w:lineRule="exact"/>
        <w:ind w:left="1280" w:right="0" w:hanging="560"/>
        <w:jc w:val="both"/>
        <w:rPr>
          <w:sz w:val="22"/>
          <w:szCs w:val="22"/>
        </w:rPr>
      </w:pPr>
      <w:bookmarkStart w:id="836" w:name="bookmark836"/>
      <w:bookmarkEnd w:id="836"/>
      <w:r>
        <w:rPr>
          <w:color w:val="000000"/>
          <w:spacing w:val="0"/>
          <w:w w:val="100"/>
          <w:position w:val="0"/>
          <w:sz w:val="22"/>
          <w:szCs w:val="22"/>
        </w:rPr>
        <w:t>信用风险显著增加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63"/>
        </w:numPr>
        <w:shd w:val="clear" w:color="auto" w:fill="auto"/>
        <w:tabs>
          <w:tab w:pos="1224" w:val="left"/>
        </w:tabs>
        <w:bidi w:val="0"/>
        <w:spacing w:before="0" w:after="0" w:line="302" w:lineRule="exact"/>
        <w:ind w:left="1280" w:right="0" w:hanging="560"/>
        <w:jc w:val="both"/>
        <w:rPr>
          <w:sz w:val="22"/>
          <w:szCs w:val="22"/>
        </w:rPr>
      </w:pPr>
      <w:bookmarkStart w:id="837" w:name="bookmark837"/>
      <w:bookmarkEnd w:id="837"/>
      <w:r>
        <w:rPr>
          <w:color w:val="000000"/>
          <w:spacing w:val="0"/>
          <w:w w:val="100"/>
          <w:position w:val="0"/>
          <w:sz w:val="22"/>
          <w:szCs w:val="22"/>
        </w:rPr>
        <w:t>已发生的或预期的债务人经营成果的严重恶化；</w:t>
      </w:r>
    </w:p>
    <w:p>
      <w:pPr>
        <w:pStyle w:val="Style5"/>
        <w:keepNext w:val="0"/>
        <w:keepLines w:val="0"/>
        <w:widowControl w:val="0"/>
        <w:numPr>
          <w:ilvl w:val="0"/>
          <w:numId w:val="63"/>
        </w:numPr>
        <w:shd w:val="clear" w:color="auto" w:fill="auto"/>
        <w:tabs>
          <w:tab w:pos="1224" w:val="left"/>
        </w:tabs>
        <w:bidi w:val="0"/>
        <w:spacing w:before="0" w:after="260" w:line="302" w:lineRule="exact"/>
        <w:ind w:left="1280" w:right="0" w:hanging="560"/>
        <w:jc w:val="both"/>
        <w:rPr>
          <w:sz w:val="22"/>
          <w:szCs w:val="22"/>
        </w:rPr>
      </w:pPr>
      <w:bookmarkStart w:id="838" w:name="bookmark838"/>
      <w:bookmarkEnd w:id="838"/>
      <w:r>
        <w:rPr>
          <w:color w:val="000000"/>
          <w:spacing w:val="0"/>
          <w:w w:val="100"/>
          <w:position w:val="0"/>
          <w:sz w:val="22"/>
          <w:szCs w:val="22"/>
        </w:rPr>
        <w:t>现存的或预期的技术、市场、经济或法律环境变化，并将对债务人对本集团的还款能 力产生重大不利影响。</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根据金融工具的性质，本集团以单项金融工具或金融工具组合为基础评估信用风险是否显 著增加。以金融工具组合为基础进行评估时，本集团基于共同信用风险特征对金融工具进 行分类，例如逾期信息和信用风险评级。</w:t>
      </w:r>
    </w:p>
    <w:p>
      <w:pPr>
        <w:pStyle w:val="Style5"/>
        <w:keepNext w:val="0"/>
        <w:keepLines w:val="0"/>
        <w:widowControl w:val="0"/>
        <w:numPr>
          <w:ilvl w:val="0"/>
          <w:numId w:val="73"/>
        </w:numPr>
        <w:shd w:val="clear" w:color="auto" w:fill="auto"/>
        <w:tabs>
          <w:tab w:pos="1256" w:val="left"/>
        </w:tabs>
        <w:bidi w:val="0"/>
        <w:spacing w:before="0" w:after="260" w:line="312" w:lineRule="exact"/>
        <w:ind w:left="720" w:right="0" w:firstLine="0"/>
        <w:jc w:val="both"/>
        <w:rPr>
          <w:sz w:val="22"/>
          <w:szCs w:val="22"/>
        </w:rPr>
      </w:pPr>
      <w:bookmarkStart w:id="839" w:name="bookmark839"/>
      <w:bookmarkEnd w:id="839"/>
      <w:r>
        <w:rPr>
          <w:color w:val="000000"/>
          <w:spacing w:val="0"/>
          <w:w w:val="100"/>
          <w:position w:val="0"/>
          <w:sz w:val="22"/>
          <w:szCs w:val="22"/>
        </w:rPr>
        <w:t>预期信用损失准备的列报</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为反映金融工具的信用风险自初始确认后的变化，本集团在每个资产负债表日重新计量预 期信用损失，由此形成的损失准备的增加或转回金额，作为减值损失或利得计入当期损 益。除分类为以公允价值计量且其变动计入其他综合收益的金融资产外，损失准备抵减该 金融资产在资产负债表中列示的账面余额。对于分类为以公允价值计量且其变动计入其他 综合收益的金融资产，本集团在其他综合收益中确认其损失准备，不减少该金融资产在资 产负债表中列示的账面价值。</w:t>
      </w:r>
    </w:p>
    <w:p>
      <w:pPr>
        <w:pStyle w:val="Style5"/>
        <w:keepNext w:val="0"/>
        <w:keepLines w:val="0"/>
        <w:widowControl w:val="0"/>
        <w:numPr>
          <w:ilvl w:val="0"/>
          <w:numId w:val="73"/>
        </w:numPr>
        <w:shd w:val="clear" w:color="auto" w:fill="auto"/>
        <w:tabs>
          <w:tab w:pos="1256" w:val="left"/>
        </w:tabs>
        <w:bidi w:val="0"/>
        <w:spacing w:before="0" w:after="260" w:line="312" w:lineRule="exact"/>
        <w:ind w:left="0" w:right="0" w:firstLine="720"/>
        <w:jc w:val="both"/>
        <w:rPr>
          <w:sz w:val="22"/>
          <w:szCs w:val="22"/>
        </w:rPr>
      </w:pPr>
      <w:bookmarkStart w:id="840" w:name="bookmark840"/>
      <w:bookmarkEnd w:id="840"/>
      <w:r>
        <w:rPr>
          <w:color w:val="000000"/>
          <w:spacing w:val="0"/>
          <w:w w:val="100"/>
          <w:position w:val="0"/>
          <w:sz w:val="22"/>
          <w:szCs w:val="22"/>
        </w:rPr>
        <w:t>已发生信用减值的金融资产</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本集团在资产负债表日评估以摊余成本计量的金融资产、合同资产和分类为以公允价值计 量且其变动计入其他综合收益的金融资产是否已发生信用减值。当对金融资产预期未来现 金流量具有不利影响的一项或多项事件发生时，该金融资产成为已发生信用减值的金融资 产。金融资产已发生信用减值的证据包括下列可观察信息：</w:t>
      </w:r>
    </w:p>
    <w:p>
      <w:pPr>
        <w:pStyle w:val="Style5"/>
        <w:keepNext w:val="0"/>
        <w:keepLines w:val="0"/>
        <w:widowControl w:val="0"/>
        <w:numPr>
          <w:ilvl w:val="0"/>
          <w:numId w:val="63"/>
        </w:numPr>
        <w:shd w:val="clear" w:color="auto" w:fill="auto"/>
        <w:tabs>
          <w:tab w:pos="1224" w:val="left"/>
        </w:tabs>
        <w:bidi w:val="0"/>
        <w:spacing w:before="0" w:after="0" w:line="312" w:lineRule="exact"/>
        <w:ind w:left="720" w:right="0" w:firstLine="0"/>
        <w:jc w:val="both"/>
        <w:rPr>
          <w:sz w:val="22"/>
          <w:szCs w:val="22"/>
        </w:rPr>
      </w:pPr>
      <w:bookmarkStart w:id="841" w:name="bookmark841"/>
      <w:bookmarkEnd w:id="841"/>
      <w:r>
        <w:rPr>
          <w:color w:val="000000"/>
          <w:spacing w:val="0"/>
          <w:w w:val="100"/>
          <w:position w:val="0"/>
          <w:sz w:val="22"/>
          <w:szCs w:val="22"/>
        </w:rPr>
        <w:t>发行方或债务人发生重大财务困难；</w:t>
      </w:r>
    </w:p>
    <w:p>
      <w:pPr>
        <w:pStyle w:val="Style5"/>
        <w:keepNext w:val="0"/>
        <w:keepLines w:val="0"/>
        <w:widowControl w:val="0"/>
        <w:numPr>
          <w:ilvl w:val="0"/>
          <w:numId w:val="63"/>
        </w:numPr>
        <w:shd w:val="clear" w:color="auto" w:fill="auto"/>
        <w:tabs>
          <w:tab w:pos="1224" w:val="left"/>
        </w:tabs>
        <w:bidi w:val="0"/>
        <w:spacing w:before="0" w:after="0" w:line="312" w:lineRule="exact"/>
        <w:ind w:left="720" w:right="0" w:firstLine="0"/>
        <w:jc w:val="both"/>
        <w:rPr>
          <w:sz w:val="22"/>
          <w:szCs w:val="22"/>
        </w:rPr>
      </w:pPr>
      <w:bookmarkStart w:id="842" w:name="bookmark842"/>
      <w:bookmarkEnd w:id="842"/>
      <w:r>
        <w:rPr>
          <w:color w:val="000000"/>
          <w:spacing w:val="0"/>
          <w:w w:val="100"/>
          <w:position w:val="0"/>
          <w:sz w:val="22"/>
          <w:szCs w:val="22"/>
        </w:rPr>
        <w:t>债务人违反合同，如偿付利息或本金违约或逾期等；</w:t>
      </w:r>
    </w:p>
    <w:p>
      <w:pPr>
        <w:pStyle w:val="Style5"/>
        <w:keepNext w:val="0"/>
        <w:keepLines w:val="0"/>
        <w:widowControl w:val="0"/>
        <w:numPr>
          <w:ilvl w:val="0"/>
          <w:numId w:val="63"/>
        </w:numPr>
        <w:shd w:val="clear" w:color="auto" w:fill="auto"/>
        <w:tabs>
          <w:tab w:pos="1224" w:val="left"/>
        </w:tabs>
        <w:bidi w:val="0"/>
        <w:spacing w:before="0" w:after="0" w:line="312" w:lineRule="exact"/>
        <w:ind w:left="1280" w:right="0" w:hanging="560"/>
        <w:jc w:val="both"/>
        <w:rPr>
          <w:sz w:val="22"/>
          <w:szCs w:val="22"/>
        </w:rPr>
      </w:pPr>
      <w:bookmarkStart w:id="843" w:name="bookmark843"/>
      <w:bookmarkEnd w:id="843"/>
      <w:r>
        <w:rPr>
          <w:color w:val="000000"/>
          <w:spacing w:val="0"/>
          <w:w w:val="100"/>
          <w:position w:val="0"/>
          <w:sz w:val="22"/>
          <w:szCs w:val="22"/>
        </w:rPr>
        <w:t>本集团出于与债务人财务困难有关的经济或合同考虑，给予债务人在任何其他情况下 都不会做出的让步；</w:t>
      </w:r>
    </w:p>
    <w:p>
      <w:pPr>
        <w:pStyle w:val="Style5"/>
        <w:keepNext w:val="0"/>
        <w:keepLines w:val="0"/>
        <w:widowControl w:val="0"/>
        <w:numPr>
          <w:ilvl w:val="0"/>
          <w:numId w:val="63"/>
        </w:numPr>
        <w:shd w:val="clear" w:color="auto" w:fill="auto"/>
        <w:tabs>
          <w:tab w:pos="1224" w:val="left"/>
        </w:tabs>
        <w:bidi w:val="0"/>
        <w:spacing w:before="0" w:after="0" w:line="312" w:lineRule="exact"/>
        <w:ind w:left="0" w:right="0" w:firstLine="720"/>
        <w:jc w:val="both"/>
        <w:rPr>
          <w:sz w:val="22"/>
          <w:szCs w:val="22"/>
        </w:rPr>
      </w:pPr>
      <w:bookmarkStart w:id="844" w:name="bookmark844"/>
      <w:bookmarkEnd w:id="844"/>
      <w:r>
        <w:rPr>
          <w:color w:val="000000"/>
          <w:spacing w:val="0"/>
          <w:w w:val="100"/>
          <w:position w:val="0"/>
          <w:sz w:val="22"/>
          <w:szCs w:val="22"/>
        </w:rPr>
        <w:t>债务人很可能破产或进行其他财务重组；</w:t>
      </w:r>
    </w:p>
    <w:p>
      <w:pPr>
        <w:pStyle w:val="Style5"/>
        <w:keepNext w:val="0"/>
        <w:keepLines w:val="0"/>
        <w:widowControl w:val="0"/>
        <w:numPr>
          <w:ilvl w:val="0"/>
          <w:numId w:val="63"/>
        </w:numPr>
        <w:shd w:val="clear" w:color="auto" w:fill="auto"/>
        <w:tabs>
          <w:tab w:pos="1224" w:val="left"/>
        </w:tabs>
        <w:bidi w:val="0"/>
        <w:spacing w:before="0" w:after="260" w:line="312" w:lineRule="exact"/>
        <w:ind w:left="0" w:right="0" w:firstLine="720"/>
        <w:jc w:val="both"/>
        <w:rPr>
          <w:sz w:val="22"/>
          <w:szCs w:val="22"/>
        </w:rPr>
      </w:pPr>
      <w:bookmarkStart w:id="845" w:name="bookmark845"/>
      <w:bookmarkEnd w:id="845"/>
      <w:r>
        <w:rPr>
          <w:color w:val="000000"/>
          <w:spacing w:val="0"/>
          <w:w w:val="100"/>
          <w:position w:val="0"/>
          <w:sz w:val="22"/>
          <w:szCs w:val="22"/>
        </w:rPr>
        <w:t>发行方或债务人财务困难导致该金融资产的活跃市场消失。</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9" w:val="left"/>
        </w:tabs>
        <w:bidi w:val="0"/>
        <w:spacing w:before="0" w:after="260" w:line="310"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9" w:val="left"/>
        </w:tabs>
        <w:bidi w:val="0"/>
        <w:spacing w:before="0" w:after="260" w:line="269"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75"/>
        </w:numPr>
        <w:shd w:val="clear" w:color="auto" w:fill="auto"/>
        <w:tabs>
          <w:tab w:pos="1170" w:val="left"/>
        </w:tabs>
        <w:bidi w:val="0"/>
        <w:spacing w:before="0" w:after="260" w:line="269" w:lineRule="auto"/>
        <w:ind w:left="0" w:right="0" w:firstLine="720"/>
        <w:jc w:val="both"/>
        <w:rPr>
          <w:sz w:val="22"/>
          <w:szCs w:val="22"/>
        </w:rPr>
      </w:pPr>
      <w:bookmarkStart w:id="846" w:name="bookmark846"/>
      <w:bookmarkEnd w:id="846"/>
      <w:r>
        <w:rPr>
          <w:color w:val="000000"/>
          <w:spacing w:val="0"/>
          <w:w w:val="100"/>
          <w:position w:val="0"/>
          <w:sz w:val="22"/>
          <w:szCs w:val="22"/>
        </w:rPr>
        <w:t>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77"/>
        </w:numPr>
        <w:shd w:val="clear" w:color="auto" w:fill="auto"/>
        <w:tabs>
          <w:tab w:pos="1184" w:val="left"/>
        </w:tabs>
        <w:bidi w:val="0"/>
        <w:spacing w:before="0" w:after="320" w:line="310" w:lineRule="exact"/>
        <w:ind w:left="0" w:right="0" w:firstLine="720"/>
        <w:jc w:val="both"/>
        <w:rPr>
          <w:sz w:val="22"/>
          <w:szCs w:val="22"/>
        </w:rPr>
      </w:pPr>
      <w:bookmarkStart w:id="847" w:name="bookmark847"/>
      <w:bookmarkEnd w:id="847"/>
      <w:r>
        <w:rPr>
          <w:color w:val="000000"/>
          <w:spacing w:val="0"/>
          <w:w w:val="100"/>
          <w:position w:val="0"/>
          <w:sz w:val="22"/>
          <w:szCs w:val="22"/>
        </w:rPr>
        <w:t>金融资产及其他项目减值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89"/>
        <w:keepNext w:val="0"/>
        <w:keepLines w:val="0"/>
        <w:widowControl w:val="0"/>
        <w:numPr>
          <w:ilvl w:val="0"/>
          <w:numId w:val="73"/>
        </w:numPr>
        <w:shd w:val="clear" w:color="auto" w:fill="auto"/>
        <w:bidi w:val="0"/>
        <w:spacing w:before="0" w:after="260" w:line="269" w:lineRule="auto"/>
        <w:ind w:left="0" w:right="0" w:firstLine="720"/>
        <w:jc w:val="both"/>
        <w:rPr>
          <w:sz w:val="22"/>
          <w:szCs w:val="22"/>
        </w:rPr>
      </w:pPr>
      <w:bookmarkStart w:id="848" w:name="bookmark848"/>
      <w:bookmarkEnd w:id="848"/>
      <w:r>
        <w:rPr>
          <w:rFonts w:ascii="SimSun" w:eastAsia="SimSun" w:hAnsi="SimSun" w:cs="SimSun"/>
          <w:color w:val="000000"/>
          <w:spacing w:val="0"/>
          <w:w w:val="100"/>
          <w:position w:val="0"/>
          <w:sz w:val="22"/>
          <w:szCs w:val="22"/>
          <w:u w:val="none"/>
        </w:rPr>
        <w:t>核销</w:t>
      </w:r>
    </w:p>
    <w:p>
      <w:pPr>
        <w:pStyle w:val="Style5"/>
        <w:keepNext w:val="0"/>
        <w:keepLines w:val="0"/>
        <w:widowControl w:val="0"/>
        <w:shd w:val="clear" w:color="auto" w:fill="auto"/>
        <w:bidi w:val="0"/>
        <w:spacing w:before="0" w:after="320" w:line="311" w:lineRule="exact"/>
        <w:ind w:left="720" w:right="0" w:firstLine="0"/>
        <w:jc w:val="both"/>
        <w:rPr>
          <w:sz w:val="22"/>
          <w:szCs w:val="22"/>
        </w:rPr>
      </w:pPr>
      <w:r>
        <w:rPr>
          <w:color w:val="000000"/>
          <w:spacing w:val="0"/>
          <w:w w:val="100"/>
          <w:position w:val="0"/>
          <w:sz w:val="22"/>
          <w:szCs w:val="22"/>
        </w:rPr>
        <w:t>如果本集团不再合理预期金融资产合同现金流量能够全部或部分收回，则直接减记该金融 资产的账面余额。这种减记构成相关金融资产的终止确认。这种情况通常发生在本集团确 定债务人没有资产或收入来源可产生足够的现金流量以偿还将被减记的金额。但是，按照 本集团收回到期款项的程序，被减记的金融资产仍可能受到债权追偿活动的影响。已减记 的金融资产以后又收回的，作为减值损失的转回计入收回当期的损益。</w:t>
      </w:r>
    </w:p>
    <w:p>
      <w:pPr>
        <w:pStyle w:val="Style5"/>
        <w:keepNext w:val="0"/>
        <w:keepLines w:val="0"/>
        <w:widowControl w:val="0"/>
        <w:numPr>
          <w:ilvl w:val="0"/>
          <w:numId w:val="77"/>
        </w:numPr>
        <w:shd w:val="clear" w:color="auto" w:fill="auto"/>
        <w:tabs>
          <w:tab w:pos="1184" w:val="left"/>
        </w:tabs>
        <w:bidi w:val="0"/>
        <w:spacing w:before="0" w:after="260" w:line="269" w:lineRule="auto"/>
        <w:ind w:left="0" w:right="0" w:firstLine="720"/>
        <w:jc w:val="both"/>
        <w:rPr>
          <w:sz w:val="22"/>
          <w:szCs w:val="22"/>
        </w:rPr>
      </w:pPr>
      <w:bookmarkStart w:id="849" w:name="bookmark849"/>
      <w:bookmarkEnd w:id="849"/>
      <w:r>
        <w:rPr>
          <w:color w:val="000000"/>
          <w:spacing w:val="0"/>
          <w:w w:val="100"/>
          <w:position w:val="0"/>
          <w:sz w:val="22"/>
          <w:szCs w:val="22"/>
        </w:rPr>
        <w:t>金融资产的终止确认</w:t>
      </w:r>
    </w:p>
    <w:p>
      <w:pPr>
        <w:pStyle w:val="Style5"/>
        <w:keepNext w:val="0"/>
        <w:keepLines w:val="0"/>
        <w:widowControl w:val="0"/>
        <w:shd w:val="clear" w:color="auto" w:fill="auto"/>
        <w:bidi w:val="0"/>
        <w:spacing w:before="0" w:after="260" w:line="310" w:lineRule="exact"/>
        <w:ind w:left="0" w:right="0" w:firstLine="720"/>
        <w:jc w:val="both"/>
        <w:rPr>
          <w:sz w:val="22"/>
          <w:szCs w:val="22"/>
        </w:rPr>
      </w:pPr>
      <w:r>
        <w:rPr>
          <w:color w:val="000000"/>
          <w:spacing w:val="0"/>
          <w:w w:val="100"/>
          <w:position w:val="0"/>
          <w:sz w:val="22"/>
          <w:szCs w:val="22"/>
        </w:rPr>
        <w:t>金融资产满足下列条件之一的，本集团终止确认该金融资产：</w:t>
      </w:r>
    </w:p>
    <w:p>
      <w:pPr>
        <w:pStyle w:val="Style5"/>
        <w:keepNext w:val="0"/>
        <w:keepLines w:val="0"/>
        <w:widowControl w:val="0"/>
        <w:numPr>
          <w:ilvl w:val="0"/>
          <w:numId w:val="63"/>
        </w:numPr>
        <w:shd w:val="clear" w:color="auto" w:fill="auto"/>
        <w:tabs>
          <w:tab w:pos="1269" w:val="left"/>
        </w:tabs>
        <w:bidi w:val="0"/>
        <w:spacing w:before="0" w:after="0" w:line="310" w:lineRule="exact"/>
        <w:ind w:left="0" w:right="0" w:firstLine="720"/>
        <w:jc w:val="both"/>
        <w:rPr>
          <w:sz w:val="22"/>
          <w:szCs w:val="22"/>
        </w:rPr>
      </w:pPr>
      <w:bookmarkStart w:id="850" w:name="bookmark850"/>
      <w:bookmarkEnd w:id="850"/>
      <w:r>
        <w:rPr>
          <w:color w:val="000000"/>
          <w:spacing w:val="0"/>
          <w:w w:val="100"/>
          <w:position w:val="0"/>
          <w:sz w:val="22"/>
          <w:szCs w:val="22"/>
        </w:rPr>
        <w:t>收取该金融资产现金流量的合同权利终止；</w:t>
      </w:r>
    </w:p>
    <w:p>
      <w:pPr>
        <w:pStyle w:val="Style5"/>
        <w:keepNext w:val="0"/>
        <w:keepLines w:val="0"/>
        <w:widowControl w:val="0"/>
        <w:numPr>
          <w:ilvl w:val="0"/>
          <w:numId w:val="63"/>
        </w:numPr>
        <w:shd w:val="clear" w:color="auto" w:fill="auto"/>
        <w:tabs>
          <w:tab w:pos="1269" w:val="left"/>
        </w:tabs>
        <w:bidi w:val="0"/>
        <w:spacing w:before="0" w:after="0" w:line="310" w:lineRule="exact"/>
        <w:ind w:left="1280" w:right="0" w:hanging="560"/>
        <w:jc w:val="both"/>
        <w:rPr>
          <w:sz w:val="22"/>
          <w:szCs w:val="22"/>
        </w:rPr>
      </w:pPr>
      <w:bookmarkStart w:id="851" w:name="bookmark851"/>
      <w:bookmarkEnd w:id="851"/>
      <w:r>
        <w:rPr>
          <w:color w:val="000000"/>
          <w:spacing w:val="0"/>
          <w:w w:val="100"/>
          <w:position w:val="0"/>
          <w:sz w:val="22"/>
          <w:szCs w:val="22"/>
        </w:rPr>
        <w:t>该金融资产已转移，且本集团将金融资产所有权上几乎所有的风险和报酬转移给转入 方；</w:t>
      </w:r>
    </w:p>
    <w:p>
      <w:pPr>
        <w:pStyle w:val="Style5"/>
        <w:keepNext w:val="0"/>
        <w:keepLines w:val="0"/>
        <w:widowControl w:val="0"/>
        <w:numPr>
          <w:ilvl w:val="0"/>
          <w:numId w:val="63"/>
        </w:numPr>
        <w:shd w:val="clear" w:color="auto" w:fill="auto"/>
        <w:tabs>
          <w:tab w:pos="1269" w:val="left"/>
        </w:tabs>
        <w:bidi w:val="0"/>
        <w:spacing w:before="0" w:after="260" w:line="310" w:lineRule="exact"/>
        <w:ind w:left="1280" w:right="0" w:hanging="560"/>
        <w:jc w:val="both"/>
        <w:rPr>
          <w:sz w:val="22"/>
          <w:szCs w:val="22"/>
        </w:rPr>
      </w:pPr>
      <w:bookmarkStart w:id="852" w:name="bookmark852"/>
      <w:bookmarkEnd w:id="852"/>
      <w:r>
        <w:rPr>
          <w:color w:val="000000"/>
          <w:spacing w:val="0"/>
          <w:w w:val="100"/>
          <w:position w:val="0"/>
          <w:sz w:val="22"/>
          <w:szCs w:val="22"/>
        </w:rPr>
        <w:t>该金融资产已转移，虽然本集团既没有转移也没有保留金融资产所有权上几乎所有的 风险和报酬，但是未保留对该金融资产的控制。</w:t>
      </w:r>
    </w:p>
    <w:p>
      <w:pPr>
        <w:pStyle w:val="Style5"/>
        <w:keepNext w:val="0"/>
        <w:keepLines w:val="0"/>
        <w:widowControl w:val="0"/>
        <w:shd w:val="clear" w:color="auto" w:fill="auto"/>
        <w:bidi w:val="0"/>
        <w:spacing w:before="0" w:after="260" w:line="310" w:lineRule="exact"/>
        <w:ind w:left="1280" w:right="0" w:hanging="560"/>
        <w:jc w:val="left"/>
        <w:rPr>
          <w:sz w:val="22"/>
          <w:szCs w:val="22"/>
        </w:rPr>
      </w:pPr>
      <w:r>
        <w:rPr>
          <w:color w:val="000000"/>
          <w:spacing w:val="0"/>
          <w:w w:val="100"/>
          <w:position w:val="0"/>
          <w:sz w:val="22"/>
          <w:szCs w:val="22"/>
        </w:rPr>
        <w:t>金融资产转移整体满足终止确认条件的，本集团将下列两项金额的差额计入当期损益：</w:t>
      </w:r>
    </w:p>
    <w:p>
      <w:pPr>
        <w:pStyle w:val="Style5"/>
        <w:keepNext w:val="0"/>
        <w:keepLines w:val="0"/>
        <w:widowControl w:val="0"/>
        <w:numPr>
          <w:ilvl w:val="0"/>
          <w:numId w:val="63"/>
        </w:numPr>
        <w:shd w:val="clear" w:color="auto" w:fill="auto"/>
        <w:tabs>
          <w:tab w:pos="1269" w:val="left"/>
        </w:tabs>
        <w:bidi w:val="0"/>
        <w:spacing w:before="0" w:after="0" w:line="310" w:lineRule="exact"/>
        <w:ind w:left="1280" w:right="0" w:hanging="560"/>
        <w:jc w:val="left"/>
        <w:rPr>
          <w:sz w:val="22"/>
          <w:szCs w:val="22"/>
        </w:rPr>
      </w:pPr>
      <w:bookmarkStart w:id="853" w:name="bookmark853"/>
      <w:bookmarkEnd w:id="853"/>
      <w:r>
        <w:rPr>
          <w:color w:val="000000"/>
          <w:spacing w:val="0"/>
          <w:w w:val="100"/>
          <w:position w:val="0"/>
          <w:sz w:val="22"/>
          <w:szCs w:val="22"/>
        </w:rPr>
        <w:t>被转移金融资产在终止确认日的账面价值；</w:t>
      </w:r>
    </w:p>
    <w:p>
      <w:pPr>
        <w:pStyle w:val="Style5"/>
        <w:keepNext w:val="0"/>
        <w:keepLines w:val="0"/>
        <w:widowControl w:val="0"/>
        <w:numPr>
          <w:ilvl w:val="0"/>
          <w:numId w:val="63"/>
        </w:numPr>
        <w:shd w:val="clear" w:color="auto" w:fill="auto"/>
        <w:tabs>
          <w:tab w:pos="1269" w:val="left"/>
        </w:tabs>
        <w:bidi w:val="0"/>
        <w:spacing w:before="0" w:after="260" w:line="310" w:lineRule="exact"/>
        <w:ind w:left="1280" w:right="0" w:hanging="560"/>
        <w:jc w:val="left"/>
        <w:rPr>
          <w:sz w:val="22"/>
          <w:szCs w:val="22"/>
        </w:rPr>
      </w:pPr>
      <w:bookmarkStart w:id="854" w:name="bookmark854"/>
      <w:bookmarkEnd w:id="854"/>
      <w:r>
        <w:rPr>
          <w:color w:val="000000"/>
          <w:spacing w:val="0"/>
          <w:w w:val="100"/>
          <w:position w:val="0"/>
          <w:sz w:val="22"/>
          <w:szCs w:val="22"/>
        </w:rPr>
        <w:t>因转移金融资产而收到的对价，与原直接计入其他综合收益的公允价值变动累计额中 对应终止确认部分的金额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涉及转移的金融资产为以公允价值计量且其变动计入其他 综合收益的债权投资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之和。</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金融资产整体转移未满足终止确认条件的，本集团继续确认所转移的金融资产整体，并将 收到的对价确认为金融负债。</w:t>
      </w:r>
    </w:p>
    <w:p>
      <w:pPr>
        <w:pStyle w:val="Style5"/>
        <w:keepNext w:val="0"/>
        <w:keepLines w:val="0"/>
        <w:widowControl w:val="0"/>
        <w:numPr>
          <w:ilvl w:val="0"/>
          <w:numId w:val="75"/>
        </w:numPr>
        <w:shd w:val="clear" w:color="auto" w:fill="auto"/>
        <w:tabs>
          <w:tab w:pos="1179" w:val="left"/>
        </w:tabs>
        <w:bidi w:val="0"/>
        <w:spacing w:before="0" w:after="260" w:line="310" w:lineRule="exact"/>
        <w:ind w:left="720" w:right="0" w:firstLine="0"/>
        <w:jc w:val="both"/>
        <w:rPr>
          <w:sz w:val="22"/>
          <w:szCs w:val="22"/>
        </w:rPr>
      </w:pPr>
      <w:bookmarkStart w:id="855" w:name="bookmark855"/>
      <w:bookmarkEnd w:id="855"/>
      <w:r>
        <w:rPr>
          <w:color w:val="000000"/>
          <w:spacing w:val="0"/>
          <w:w w:val="100"/>
          <w:position w:val="0"/>
          <w:sz w:val="22"/>
          <w:szCs w:val="22"/>
        </w:rPr>
        <w:t>金融负债和权益工具的分类</w:t>
      </w:r>
    </w:p>
    <w:p>
      <w:pPr>
        <w:pStyle w:val="Style5"/>
        <w:keepNext w:val="0"/>
        <w:keepLines w:val="0"/>
        <w:widowControl w:val="0"/>
        <w:shd w:val="clear" w:color="auto" w:fill="auto"/>
        <w:bidi w:val="0"/>
        <w:spacing w:before="0" w:after="260" w:line="300" w:lineRule="exact"/>
        <w:ind w:left="720" w:right="0" w:firstLine="0"/>
        <w:jc w:val="both"/>
        <w:rPr>
          <w:sz w:val="22"/>
          <w:szCs w:val="22"/>
        </w:rPr>
      </w:pPr>
      <w:r>
        <w:rPr>
          <w:color w:val="000000"/>
          <w:spacing w:val="0"/>
          <w:w w:val="100"/>
          <w:position w:val="0"/>
          <w:sz w:val="22"/>
          <w:szCs w:val="22"/>
        </w:rPr>
        <w:t>本集团根据所发行金融工具的合同条款及其所反映的经济实质而非仅以法律形式，结合金 融负债和权益工具的定义，在初始确认时将该金融工具或其组成部分分类为金融负债或权 益工具。</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4" w:val="left"/>
        </w:tabs>
        <w:bidi w:val="0"/>
        <w:spacing w:before="0" w:after="26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4" w:val="left"/>
        </w:tabs>
        <w:bidi w:val="0"/>
        <w:spacing w:before="0" w:after="260" w:line="271"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20" w:line="312" w:lineRule="exact"/>
        <w:ind w:left="0" w:right="0" w:firstLine="720"/>
        <w:jc w:val="both"/>
        <w:rPr>
          <w:sz w:val="22"/>
          <w:szCs w:val="22"/>
        </w:rPr>
      </w:pPr>
      <w:bookmarkStart w:id="856" w:name="bookmark856"/>
      <w:r>
        <w:rPr>
          <w:rFonts w:ascii="Times New Roman" w:eastAsia="Times New Roman" w:hAnsi="Times New Roman" w:cs="Times New Roman"/>
          <w:color w:val="000000"/>
          <w:spacing w:val="0"/>
          <w:w w:val="100"/>
          <w:position w:val="0"/>
          <w:sz w:val="24"/>
          <w:szCs w:val="24"/>
        </w:rPr>
        <w:t>（</w:t>
      </w:r>
      <w:bookmarkEnd w:id="856"/>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金融负债和权益工具的分类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1184" w:val="left"/>
        </w:tabs>
        <w:bidi w:val="0"/>
        <w:spacing w:before="0" w:after="260" w:line="271" w:lineRule="auto"/>
        <w:ind w:left="0" w:right="0" w:firstLine="720"/>
        <w:jc w:val="both"/>
        <w:rPr>
          <w:sz w:val="22"/>
          <w:szCs w:val="22"/>
        </w:rPr>
      </w:pPr>
      <w:bookmarkStart w:id="857" w:name="bookmark857"/>
      <w:r>
        <w:rPr>
          <w:rFonts w:ascii="Times New Roman" w:eastAsia="Times New Roman" w:hAnsi="Times New Roman" w:cs="Times New Roman"/>
          <w:color w:val="000000"/>
          <w:spacing w:val="0"/>
          <w:w w:val="100"/>
          <w:position w:val="0"/>
          <w:sz w:val="24"/>
          <w:szCs w:val="24"/>
        </w:rPr>
        <w:t>（</w:t>
      </w:r>
      <w:bookmarkEnd w:id="857"/>
      <w:r>
        <w:rPr>
          <w:rFonts w:ascii="Times New Roman" w:eastAsia="Times New Roman" w:hAnsi="Times New Roman" w:cs="Times New Roman"/>
          <w:color w:val="000000"/>
          <w:spacing w:val="0"/>
          <w:w w:val="100"/>
          <w:position w:val="0"/>
          <w:sz w:val="24"/>
          <w:szCs w:val="24"/>
        </w:rPr>
        <w:t>1）</w:t>
        <w:tab/>
      </w:r>
      <w:r>
        <w:rPr>
          <w:color w:val="000000"/>
          <w:spacing w:val="0"/>
          <w:w w:val="100"/>
          <w:position w:val="0"/>
          <w:sz w:val="22"/>
          <w:szCs w:val="22"/>
        </w:rPr>
        <w:t>金融负债</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本集团将金融负债分类为以公允价值计量且其变动计入当期损益的金融负债及以摊余成本 计量的金融负债。本集团的金融负债主要为以摊余成本计量的金融负债，包括应付款项、 借款及应付债券等。</w:t>
      </w:r>
    </w:p>
    <w:p>
      <w:pPr>
        <w:pStyle w:val="Style5"/>
        <w:keepNext w:val="0"/>
        <w:keepLines w:val="0"/>
        <w:widowControl w:val="0"/>
        <w:shd w:val="clear" w:color="auto" w:fill="auto"/>
        <w:bidi w:val="0"/>
        <w:spacing w:before="0" w:after="260" w:line="307" w:lineRule="exact"/>
        <w:ind w:left="720" w:right="0" w:firstLine="0"/>
        <w:jc w:val="both"/>
        <w:rPr>
          <w:sz w:val="22"/>
          <w:szCs w:val="22"/>
        </w:rPr>
      </w:pPr>
      <w:r>
        <w:rPr>
          <w:color w:val="000000"/>
          <w:spacing w:val="0"/>
          <w:w w:val="100"/>
          <w:position w:val="0"/>
          <w:sz w:val="22"/>
          <w:szCs w:val="22"/>
        </w:rPr>
        <w:t>应付款项包括应付账款、其他应付款等，以公允价值进行初始计量，并采用实际利率法按 摊余成本进行后续计量。</w:t>
      </w:r>
    </w:p>
    <w:p>
      <w:pPr>
        <w:pStyle w:val="Style5"/>
        <w:keepNext w:val="0"/>
        <w:keepLines w:val="0"/>
        <w:widowControl w:val="0"/>
        <w:shd w:val="clear" w:color="auto" w:fill="auto"/>
        <w:bidi w:val="0"/>
        <w:spacing w:before="0" w:after="260" w:line="317" w:lineRule="exact"/>
        <w:ind w:left="720" w:right="0" w:firstLine="0"/>
        <w:jc w:val="both"/>
        <w:rPr>
          <w:sz w:val="22"/>
          <w:szCs w:val="22"/>
        </w:rPr>
      </w:pPr>
      <w:r>
        <w:rPr>
          <w:color w:val="000000"/>
          <w:spacing w:val="0"/>
          <w:w w:val="100"/>
          <w:position w:val="0"/>
          <w:sz w:val="22"/>
          <w:szCs w:val="22"/>
        </w:rPr>
        <w:t>借款及应付债券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含短期融资券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按其公允价值扣除交易费用后的金额进行初始计量，并采 用实际利率法按摊余成本进行后续计量。</w:t>
      </w:r>
    </w:p>
    <w:p>
      <w:pPr>
        <w:pStyle w:val="Style5"/>
        <w:keepNext w:val="0"/>
        <w:keepLines w:val="0"/>
        <w:widowControl w:val="0"/>
        <w:shd w:val="clear" w:color="auto" w:fill="auto"/>
        <w:bidi w:val="0"/>
        <w:spacing w:before="0" w:after="260" w:line="314" w:lineRule="exact"/>
        <w:ind w:left="720" w:right="0" w:firstLine="0"/>
        <w:jc w:val="both"/>
        <w:rPr>
          <w:sz w:val="22"/>
          <w:szCs w:val="22"/>
        </w:rPr>
      </w:pPr>
      <w:r>
        <w:rPr>
          <w:color w:val="000000"/>
          <w:spacing w:val="0"/>
          <w:w w:val="100"/>
          <w:position w:val="0"/>
          <w:sz w:val="22"/>
          <w:szCs w:val="22"/>
        </w:rPr>
        <w:t>其他金融负债期限在一年以下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的，列示为流动负债；期限在一年以上但自资产负 债表日起一年内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到期的，列示为一年内到期的非流动负债；其余列示为非流动负 债。</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金融负债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或其一部分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的现时义务已经解除的，本集团终止确认该金融负债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或该部分金融 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借入方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与借出方之间签订协议，以承担新金融负债方式替换原金融负债， 且新金融负债与原金融负债的合同条款实质上不同的，本集团终止确认原金融负债，并同 时确认新金融负债。</w:t>
      </w:r>
    </w:p>
    <w:p>
      <w:pPr>
        <w:pStyle w:val="Style5"/>
        <w:keepNext w:val="0"/>
        <w:keepLines w:val="0"/>
        <w:widowControl w:val="0"/>
        <w:shd w:val="clear" w:color="auto" w:fill="auto"/>
        <w:bidi w:val="0"/>
        <w:spacing w:before="0" w:after="320" w:line="317" w:lineRule="exact"/>
        <w:ind w:left="720" w:right="0" w:firstLine="0"/>
        <w:jc w:val="both"/>
        <w:rPr>
          <w:sz w:val="22"/>
          <w:szCs w:val="22"/>
        </w:rPr>
      </w:pPr>
      <w:r>
        <w:rPr>
          <w:color w:val="000000"/>
          <w:spacing w:val="0"/>
          <w:w w:val="100"/>
          <w:position w:val="0"/>
          <w:sz w:val="22"/>
          <w:szCs w:val="22"/>
        </w:rPr>
        <w:t>金融负债全部或部分终止确认的，将终止确认部分的账面价值与支付的对价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包括转出的非 现金资产或承担的新金融负债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之间的差额，计入当期损益。</w:t>
      </w:r>
    </w:p>
    <w:p>
      <w:pPr>
        <w:pStyle w:val="Style5"/>
        <w:keepNext w:val="0"/>
        <w:keepLines w:val="0"/>
        <w:widowControl w:val="0"/>
        <w:shd w:val="clear" w:color="auto" w:fill="auto"/>
        <w:tabs>
          <w:tab w:pos="1184" w:val="left"/>
        </w:tabs>
        <w:bidi w:val="0"/>
        <w:spacing w:before="0" w:after="260" w:line="271" w:lineRule="auto"/>
        <w:ind w:left="720" w:right="0" w:firstLine="0"/>
        <w:jc w:val="both"/>
        <w:rPr>
          <w:sz w:val="22"/>
          <w:szCs w:val="22"/>
        </w:rPr>
      </w:pPr>
      <w:bookmarkStart w:id="858" w:name="bookmark858"/>
      <w:r>
        <w:rPr>
          <w:rFonts w:ascii="Times New Roman" w:eastAsia="Times New Roman" w:hAnsi="Times New Roman" w:cs="Times New Roman"/>
          <w:color w:val="000000"/>
          <w:spacing w:val="0"/>
          <w:w w:val="100"/>
          <w:position w:val="0"/>
          <w:sz w:val="24"/>
          <w:szCs w:val="24"/>
        </w:rPr>
        <w:t>（</w:t>
      </w:r>
      <w:bookmarkEnd w:id="858"/>
      <w:r>
        <w:rPr>
          <w:rFonts w:ascii="Times New Roman" w:eastAsia="Times New Roman" w:hAnsi="Times New Roman" w:cs="Times New Roman"/>
          <w:color w:val="000000"/>
          <w:spacing w:val="0"/>
          <w:w w:val="100"/>
          <w:position w:val="0"/>
          <w:sz w:val="24"/>
          <w:szCs w:val="24"/>
        </w:rPr>
        <w:t>2）</w:t>
        <w:tab/>
      </w:r>
      <w:r>
        <w:rPr>
          <w:color w:val="000000"/>
          <w:spacing w:val="0"/>
          <w:w w:val="100"/>
          <w:position w:val="0"/>
          <w:sz w:val="22"/>
          <w:szCs w:val="22"/>
        </w:rPr>
        <w:t>权益工具</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本公司发行权益工具收到的对价扣除交易费用后，计入股东权益。回购本公司权益工具支 付的对价和交易费用，减少股东权益。</w:t>
      </w:r>
    </w:p>
    <w:p>
      <w:pPr>
        <w:pStyle w:val="Style5"/>
        <w:keepNext w:val="0"/>
        <w:keepLines w:val="0"/>
        <w:widowControl w:val="0"/>
        <w:shd w:val="clear" w:color="auto" w:fill="auto"/>
        <w:bidi w:val="0"/>
        <w:spacing w:before="0" w:after="320" w:line="305" w:lineRule="exact"/>
        <w:ind w:left="720" w:right="0" w:firstLine="0"/>
        <w:jc w:val="both"/>
        <w:rPr>
          <w:sz w:val="22"/>
          <w:szCs w:val="22"/>
        </w:rPr>
      </w:pPr>
      <w:r>
        <w:rPr>
          <w:color w:val="000000"/>
          <w:spacing w:val="0"/>
          <w:w w:val="100"/>
          <w:position w:val="0"/>
          <w:sz w:val="22"/>
          <w:szCs w:val="22"/>
        </w:rPr>
        <w:t>回购本公司股份时，回购的股份作为库存股管理，回购股份的全部支出转为库存股成本， 同时进行备查登记。库存股不参与利润分配，在资产负债表中作为股东权益的备抵项目列 示。</w:t>
      </w:r>
    </w:p>
    <w:p>
      <w:pPr>
        <w:pStyle w:val="Style5"/>
        <w:keepNext w:val="0"/>
        <w:keepLines w:val="0"/>
        <w:widowControl w:val="0"/>
        <w:shd w:val="clear" w:color="auto" w:fill="auto"/>
        <w:bidi w:val="0"/>
        <w:spacing w:before="0" w:after="260" w:line="302" w:lineRule="exact"/>
        <w:ind w:left="720" w:right="0" w:firstLine="0"/>
        <w:jc w:val="both"/>
        <w:rPr>
          <w:sz w:val="22"/>
          <w:szCs w:val="22"/>
        </w:rPr>
      </w:pPr>
      <w:r>
        <w:rPr>
          <w:color w:val="000000"/>
          <w:spacing w:val="0"/>
          <w:w w:val="100"/>
          <w:position w:val="0"/>
          <w:sz w:val="22"/>
          <w:szCs w:val="22"/>
        </w:rPr>
        <w:t>对于本集团实施的限制性股票激励计划，本集团因向激励对象授予的限制性股票所承担的 回购义务确认为负债，作为收购库存股处理，参见附注三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0" w:val="left"/>
        </w:tabs>
        <w:bidi w:val="0"/>
        <w:spacing w:before="0" w:after="26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0" w:val="left"/>
        </w:tabs>
        <w:bidi w:val="0"/>
        <w:spacing w:before="0" w:after="260" w:line="271" w:lineRule="auto"/>
        <w:ind w:left="0" w:right="0" w:firstLine="0"/>
        <w:jc w:val="both"/>
        <w:rPr>
          <w:sz w:val="22"/>
          <w:szCs w:val="22"/>
        </w:rPr>
      </w:pPr>
      <w:bookmarkStart w:id="859" w:name="bookmark859"/>
      <w:r>
        <w:rPr>
          <w:rFonts w:ascii="Times New Roman" w:eastAsia="Times New Roman" w:hAnsi="Times New Roman" w:cs="Times New Roman"/>
          <w:color w:val="000000"/>
          <w:spacing w:val="0"/>
          <w:w w:val="100"/>
          <w:position w:val="0"/>
          <w:sz w:val="24"/>
          <w:szCs w:val="24"/>
        </w:rPr>
        <w:t>9</w:t>
      </w:r>
      <w:bookmarkEnd w:id="859"/>
      <w:r>
        <w:rPr>
          <w:color w:val="000000"/>
          <w:spacing w:val="0"/>
          <w:w w:val="100"/>
          <w:position w:val="0"/>
          <w:sz w:val="22"/>
          <w:szCs w:val="22"/>
        </w:rPr>
        <w:t>、</w:t>
        <w:tab/>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79"/>
        </w:numPr>
        <w:shd w:val="clear" w:color="auto" w:fill="auto"/>
        <w:tabs>
          <w:tab w:pos="1179" w:val="left"/>
        </w:tabs>
        <w:bidi w:val="0"/>
        <w:spacing w:before="0" w:after="300" w:line="312" w:lineRule="exact"/>
        <w:ind w:left="0" w:right="0" w:firstLine="720"/>
        <w:jc w:val="both"/>
        <w:rPr>
          <w:sz w:val="22"/>
          <w:szCs w:val="22"/>
        </w:rPr>
      </w:pPr>
      <w:bookmarkStart w:id="860" w:name="bookmark860"/>
      <w:bookmarkEnd w:id="860"/>
      <w:r>
        <w:rPr>
          <w:color w:val="000000"/>
          <w:spacing w:val="0"/>
          <w:w w:val="100"/>
          <w:position w:val="0"/>
          <w:sz w:val="22"/>
          <w:szCs w:val="22"/>
        </w:rPr>
        <w:t>金融负债和权益工具的分类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271"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权益工具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0" w:lineRule="exact"/>
        <w:ind w:left="720" w:right="0" w:firstLine="0"/>
        <w:jc w:val="left"/>
        <w:rPr>
          <w:sz w:val="22"/>
          <w:szCs w:val="22"/>
        </w:rPr>
      </w:pPr>
      <w:r>
        <w:rPr>
          <w:color w:val="000000"/>
          <w:spacing w:val="0"/>
          <w:w w:val="100"/>
          <w:position w:val="0"/>
          <w:sz w:val="22"/>
          <w:szCs w:val="22"/>
        </w:rPr>
        <w:t>库存股注销时，按注销股票面值总额减少股本，库存股成本超过面值总额的部分，依次冲 减资本公积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、盈余公积和未分配利润；库存股成本低于面值总额的，低于面值 总额的部分增加资本公积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300" w:line="312" w:lineRule="exact"/>
        <w:ind w:left="720" w:right="0" w:firstLine="0"/>
        <w:jc w:val="left"/>
        <w:rPr>
          <w:sz w:val="22"/>
          <w:szCs w:val="22"/>
        </w:rPr>
      </w:pPr>
      <w:r>
        <w:rPr>
          <w:color w:val="000000"/>
          <w:spacing w:val="0"/>
          <w:w w:val="100"/>
          <w:position w:val="0"/>
          <w:sz w:val="22"/>
          <w:szCs w:val="22"/>
        </w:rPr>
        <w:t>库存股转让时，转让收入高于库存股成本的部分，增加资本公积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；低于库存股 成本的部分，依次冲减资本公积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、盈余公积、未分配利润。</w:t>
      </w:r>
    </w:p>
    <w:p>
      <w:pPr>
        <w:pStyle w:val="Style89"/>
        <w:keepNext w:val="0"/>
        <w:keepLines w:val="0"/>
        <w:widowControl w:val="0"/>
        <w:numPr>
          <w:ilvl w:val="0"/>
          <w:numId w:val="79"/>
        </w:numPr>
        <w:shd w:val="clear" w:color="auto" w:fill="auto"/>
        <w:tabs>
          <w:tab w:pos="1179" w:val="left"/>
        </w:tabs>
        <w:bidi w:val="0"/>
        <w:spacing w:before="0" w:after="260" w:line="271" w:lineRule="auto"/>
        <w:ind w:left="720" w:right="0" w:firstLine="0"/>
        <w:jc w:val="both"/>
        <w:rPr>
          <w:sz w:val="22"/>
          <w:szCs w:val="22"/>
        </w:rPr>
      </w:pPr>
      <w:bookmarkStart w:id="861" w:name="bookmark861"/>
      <w:bookmarkEnd w:id="861"/>
      <w:r>
        <w:rPr>
          <w:rFonts w:ascii="SimSun" w:eastAsia="SimSun" w:hAnsi="SimSun" w:cs="SimSun"/>
          <w:color w:val="000000"/>
          <w:spacing w:val="0"/>
          <w:w w:val="100"/>
          <w:position w:val="0"/>
          <w:sz w:val="22"/>
          <w:szCs w:val="22"/>
          <w:u w:val="none"/>
        </w:rPr>
        <w:t>抵销</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金融资产和金融负债在资产负债表内分别列示，不予相互抵销。但是，同时满足下列条件 的，以相互抵销后的净额在资产负债表内列示：</w:t>
      </w:r>
    </w:p>
    <w:p>
      <w:pPr>
        <w:pStyle w:val="Style5"/>
        <w:keepNext w:val="0"/>
        <w:keepLines w:val="0"/>
        <w:widowControl w:val="0"/>
        <w:numPr>
          <w:ilvl w:val="0"/>
          <w:numId w:val="63"/>
        </w:numPr>
        <w:shd w:val="clear" w:color="auto" w:fill="auto"/>
        <w:tabs>
          <w:tab w:pos="1262" w:val="left"/>
        </w:tabs>
        <w:bidi w:val="0"/>
        <w:spacing w:before="0" w:after="0" w:line="312" w:lineRule="exact"/>
        <w:ind w:left="720" w:right="0" w:firstLine="0"/>
        <w:jc w:val="both"/>
        <w:rPr>
          <w:sz w:val="22"/>
          <w:szCs w:val="22"/>
        </w:rPr>
      </w:pPr>
      <w:bookmarkStart w:id="862" w:name="bookmark862"/>
      <w:bookmarkEnd w:id="862"/>
      <w:r>
        <w:rPr>
          <w:color w:val="000000"/>
          <w:spacing w:val="0"/>
          <w:w w:val="100"/>
          <w:position w:val="0"/>
          <w:sz w:val="22"/>
          <w:szCs w:val="22"/>
        </w:rPr>
        <w:t>本集团具有抵销已确认金额的法定权利，且该种法定权利是当前可执行的；</w:t>
      </w:r>
    </w:p>
    <w:p>
      <w:pPr>
        <w:pStyle w:val="Style5"/>
        <w:keepNext w:val="0"/>
        <w:keepLines w:val="0"/>
        <w:widowControl w:val="0"/>
        <w:numPr>
          <w:ilvl w:val="0"/>
          <w:numId w:val="63"/>
        </w:numPr>
        <w:shd w:val="clear" w:color="auto" w:fill="auto"/>
        <w:tabs>
          <w:tab w:pos="1262" w:val="left"/>
        </w:tabs>
        <w:bidi w:val="0"/>
        <w:spacing w:before="0" w:after="300" w:line="312" w:lineRule="exact"/>
        <w:ind w:left="720" w:right="0" w:firstLine="0"/>
        <w:jc w:val="both"/>
        <w:rPr>
          <w:sz w:val="22"/>
          <w:szCs w:val="22"/>
        </w:rPr>
      </w:pPr>
      <w:bookmarkStart w:id="863" w:name="bookmark863"/>
      <w:bookmarkEnd w:id="863"/>
      <w:r>
        <w:rPr>
          <w:color w:val="000000"/>
          <w:spacing w:val="0"/>
          <w:w w:val="100"/>
          <w:position w:val="0"/>
          <w:sz w:val="22"/>
          <w:szCs w:val="22"/>
        </w:rPr>
        <w:t>本集团计划以净额结算，或同时变现该金融资产和清偿该金融负债。</w:t>
      </w:r>
    </w:p>
    <w:p>
      <w:pPr>
        <w:pStyle w:val="Style5"/>
        <w:keepNext w:val="0"/>
        <w:keepLines w:val="0"/>
        <w:widowControl w:val="0"/>
        <w:shd w:val="clear" w:color="auto" w:fill="auto"/>
        <w:tabs>
          <w:tab w:pos="680" w:val="left"/>
        </w:tabs>
        <w:bidi w:val="0"/>
        <w:spacing w:before="0" w:after="260" w:line="271" w:lineRule="auto"/>
        <w:ind w:left="0" w:right="0" w:firstLine="0"/>
        <w:jc w:val="both"/>
        <w:rPr>
          <w:sz w:val="22"/>
          <w:szCs w:val="22"/>
        </w:rPr>
      </w:pPr>
      <w:bookmarkStart w:id="864" w:name="bookmark864"/>
      <w:r>
        <w:rPr>
          <w:rFonts w:ascii="Times New Roman" w:eastAsia="Times New Roman" w:hAnsi="Times New Roman" w:cs="Times New Roman"/>
          <w:color w:val="000000"/>
          <w:spacing w:val="0"/>
          <w:w w:val="100"/>
          <w:position w:val="0"/>
          <w:sz w:val="24"/>
          <w:szCs w:val="24"/>
        </w:rPr>
        <w:t>1</w:t>
      </w:r>
      <w:bookmarkEnd w:id="864"/>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w:t>
        <w:tab/>
        <w:t>存货</w:t>
      </w:r>
    </w:p>
    <w:p>
      <w:pPr>
        <w:pStyle w:val="Style89"/>
        <w:keepNext w:val="0"/>
        <w:keepLines w:val="0"/>
        <w:widowControl w:val="0"/>
        <w:numPr>
          <w:ilvl w:val="0"/>
          <w:numId w:val="81"/>
        </w:numPr>
        <w:shd w:val="clear" w:color="auto" w:fill="auto"/>
        <w:tabs>
          <w:tab w:pos="1170" w:val="left"/>
        </w:tabs>
        <w:bidi w:val="0"/>
        <w:spacing w:before="0" w:after="260" w:line="271" w:lineRule="auto"/>
        <w:ind w:left="0" w:right="0" w:firstLine="720"/>
        <w:jc w:val="both"/>
        <w:rPr>
          <w:sz w:val="22"/>
          <w:szCs w:val="22"/>
        </w:rPr>
      </w:pPr>
      <w:bookmarkStart w:id="865" w:name="bookmark865"/>
      <w:bookmarkEnd w:id="865"/>
      <w:r>
        <w:rPr>
          <w:rFonts w:ascii="SimSun" w:eastAsia="SimSun" w:hAnsi="SimSun" w:cs="SimSun"/>
          <w:color w:val="000000"/>
          <w:spacing w:val="0"/>
          <w:w w:val="100"/>
          <w:position w:val="0"/>
          <w:sz w:val="22"/>
          <w:szCs w:val="22"/>
          <w:u w:val="none"/>
        </w:rPr>
        <w:t>分类</w:t>
      </w:r>
    </w:p>
    <w:p>
      <w:pPr>
        <w:pStyle w:val="Style5"/>
        <w:keepNext w:val="0"/>
        <w:keepLines w:val="0"/>
        <w:widowControl w:val="0"/>
        <w:shd w:val="clear" w:color="auto" w:fill="auto"/>
        <w:bidi w:val="0"/>
        <w:spacing w:before="0" w:after="300" w:line="317" w:lineRule="exact"/>
        <w:ind w:left="720" w:right="0" w:firstLine="0"/>
        <w:jc w:val="both"/>
        <w:rPr>
          <w:sz w:val="22"/>
          <w:szCs w:val="22"/>
        </w:rPr>
      </w:pPr>
      <w:r>
        <w:rPr>
          <w:color w:val="000000"/>
          <w:spacing w:val="0"/>
          <w:w w:val="100"/>
          <w:position w:val="0"/>
          <w:sz w:val="22"/>
          <w:szCs w:val="22"/>
        </w:rPr>
        <w:t>存货包括手机等通讯终端、手机识别卡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2"/>
          <w:szCs w:val="22"/>
        </w:rPr>
        <w:t>卡、</w:t>
      </w:r>
      <w:r>
        <w:rPr>
          <w:rFonts w:ascii="Times New Roman" w:eastAsia="Times New Roman" w:hAnsi="Times New Roman" w:cs="Times New Roman"/>
          <w:color w:val="000000"/>
          <w:spacing w:val="0"/>
          <w:w w:val="100"/>
          <w:position w:val="0"/>
          <w:sz w:val="24"/>
          <w:szCs w:val="24"/>
        </w:rPr>
        <w:t>USIM</w:t>
      </w:r>
      <w:r>
        <w:rPr>
          <w:color w:val="000000"/>
          <w:spacing w:val="0"/>
          <w:w w:val="100"/>
          <w:position w:val="0"/>
          <w:sz w:val="22"/>
          <w:szCs w:val="22"/>
        </w:rPr>
        <w:t>卡等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及配件等。存货按成本进 行初始计量。存货成本包括采购成本、加工成本和其他使存货达到目前场所和状态所发生 的支出。</w:t>
      </w:r>
    </w:p>
    <w:p>
      <w:pPr>
        <w:pStyle w:val="Style5"/>
        <w:keepNext w:val="0"/>
        <w:keepLines w:val="0"/>
        <w:widowControl w:val="0"/>
        <w:numPr>
          <w:ilvl w:val="0"/>
          <w:numId w:val="81"/>
        </w:numPr>
        <w:shd w:val="clear" w:color="auto" w:fill="auto"/>
        <w:tabs>
          <w:tab w:pos="1179" w:val="left"/>
        </w:tabs>
        <w:bidi w:val="0"/>
        <w:spacing w:before="0" w:after="260" w:line="271" w:lineRule="auto"/>
        <w:ind w:left="720" w:right="0" w:firstLine="0"/>
        <w:jc w:val="both"/>
        <w:rPr>
          <w:sz w:val="22"/>
          <w:szCs w:val="22"/>
        </w:rPr>
      </w:pPr>
      <w:bookmarkStart w:id="866" w:name="bookmark866"/>
      <w:bookmarkEnd w:id="866"/>
      <w:r>
        <w:rPr>
          <w:color w:val="000000"/>
          <w:spacing w:val="0"/>
          <w:w w:val="100"/>
          <w:position w:val="0"/>
          <w:sz w:val="22"/>
          <w:szCs w:val="22"/>
        </w:rPr>
        <w:t>发出存货的计价方法</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存货于取得时按实际成本入账，存货发出时的成本按先进先出法核算。</w:t>
      </w:r>
    </w:p>
    <w:p>
      <w:pPr>
        <w:pStyle w:val="Style5"/>
        <w:keepNext w:val="0"/>
        <w:keepLines w:val="0"/>
        <w:widowControl w:val="0"/>
        <w:numPr>
          <w:ilvl w:val="0"/>
          <w:numId w:val="81"/>
        </w:numPr>
        <w:shd w:val="clear" w:color="auto" w:fill="auto"/>
        <w:tabs>
          <w:tab w:pos="1179" w:val="left"/>
        </w:tabs>
        <w:bidi w:val="0"/>
        <w:spacing w:before="0" w:after="260" w:line="312" w:lineRule="exact"/>
        <w:ind w:left="720" w:right="0" w:firstLine="0"/>
        <w:jc w:val="both"/>
        <w:rPr>
          <w:sz w:val="22"/>
          <w:szCs w:val="22"/>
        </w:rPr>
      </w:pPr>
      <w:bookmarkStart w:id="867" w:name="bookmark867"/>
      <w:bookmarkEnd w:id="867"/>
      <w:r>
        <w:rPr>
          <w:color w:val="000000"/>
          <w:spacing w:val="0"/>
          <w:w w:val="100"/>
          <w:position w:val="0"/>
          <w:sz w:val="22"/>
          <w:szCs w:val="22"/>
        </w:rPr>
        <w:t>存货可变现净值的确定依据及存货跌价准备的计提方法</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存货跌价准备按存货成本高于其可变现净值的差额计提。可变现净值按日常活动中，以存 货的估计售价减去估计的销售费用及相关税费后的金额确定。</w:t>
      </w:r>
    </w:p>
    <w:p>
      <w:pPr>
        <w:pStyle w:val="Style5"/>
        <w:keepNext w:val="0"/>
        <w:keepLines w:val="0"/>
        <w:widowControl w:val="0"/>
        <w:numPr>
          <w:ilvl w:val="0"/>
          <w:numId w:val="81"/>
        </w:numPr>
        <w:shd w:val="clear" w:color="auto" w:fill="auto"/>
        <w:tabs>
          <w:tab w:pos="1184" w:val="left"/>
        </w:tabs>
        <w:bidi w:val="0"/>
        <w:spacing w:before="0" w:after="260" w:line="312" w:lineRule="exact"/>
        <w:ind w:left="720" w:right="0" w:firstLine="0"/>
        <w:jc w:val="both"/>
        <w:rPr>
          <w:sz w:val="22"/>
          <w:szCs w:val="22"/>
        </w:rPr>
      </w:pPr>
      <w:bookmarkStart w:id="868" w:name="bookmark868"/>
      <w:bookmarkEnd w:id="868"/>
      <w:r>
        <w:rPr>
          <w:color w:val="000000"/>
          <w:spacing w:val="0"/>
          <w:w w:val="100"/>
          <w:position w:val="0"/>
          <w:sz w:val="22"/>
          <w:szCs w:val="22"/>
        </w:rPr>
        <w:t>本集团的存货盘存制度采用永续盘存制。</w:t>
      </w:r>
    </w:p>
    <w:p>
      <w:pPr>
        <w:pStyle w:val="Style5"/>
        <w:keepNext w:val="0"/>
        <w:keepLines w:val="0"/>
        <w:widowControl w:val="0"/>
        <w:numPr>
          <w:ilvl w:val="0"/>
          <w:numId w:val="81"/>
        </w:numPr>
        <w:shd w:val="clear" w:color="auto" w:fill="auto"/>
        <w:tabs>
          <w:tab w:pos="1184" w:val="left"/>
        </w:tabs>
        <w:bidi w:val="0"/>
        <w:spacing w:before="0" w:after="260" w:line="312" w:lineRule="exact"/>
        <w:ind w:left="720" w:right="0" w:firstLine="0"/>
        <w:jc w:val="both"/>
        <w:rPr>
          <w:sz w:val="22"/>
          <w:szCs w:val="22"/>
        </w:rPr>
      </w:pPr>
      <w:bookmarkStart w:id="869" w:name="bookmark869"/>
      <w:bookmarkEnd w:id="869"/>
      <w:r>
        <w:rPr>
          <w:color w:val="000000"/>
          <w:spacing w:val="0"/>
          <w:w w:val="100"/>
          <w:position w:val="0"/>
          <w:sz w:val="22"/>
          <w:szCs w:val="22"/>
        </w:rPr>
        <w:t>低值易耗品采用一次转销法进行摊销。</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60" w:val="left"/>
        </w:tabs>
        <w:bidi w:val="0"/>
        <w:spacing w:before="0" w:after="30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60" w:val="left"/>
        </w:tabs>
        <w:bidi w:val="0"/>
        <w:spacing w:before="0" w:after="260" w:line="271" w:lineRule="auto"/>
        <w:ind w:left="0" w:right="0" w:firstLine="0"/>
        <w:jc w:val="both"/>
        <w:rPr>
          <w:sz w:val="22"/>
          <w:szCs w:val="22"/>
        </w:rPr>
      </w:pPr>
      <w:bookmarkStart w:id="870" w:name="bookmark870"/>
      <w:r>
        <w:rPr>
          <w:rFonts w:ascii="Times New Roman" w:eastAsia="Times New Roman" w:hAnsi="Times New Roman" w:cs="Times New Roman"/>
          <w:color w:val="000000"/>
          <w:spacing w:val="0"/>
          <w:w w:val="100"/>
          <w:position w:val="0"/>
          <w:sz w:val="24"/>
          <w:szCs w:val="24"/>
        </w:rPr>
        <w:t>1</w:t>
      </w:r>
      <w:bookmarkEnd w:id="87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长期股权投资</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长期股权投资包括：本公司对子公司的长期股权投资；本集团对合营企业和联营企业的长 期股权投资。</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子公司是指本公司能够对其实施控制的被投资单位；合营企业是由本集团与其他合营方共 同控制且仅对其净资产享有权利的一项安排；联营企业是指本集团能够对其财务和经营决 策具有重大影响的被投资单位。</w:t>
      </w:r>
    </w:p>
    <w:p>
      <w:pPr>
        <w:pStyle w:val="Style5"/>
        <w:keepNext w:val="0"/>
        <w:keepLines w:val="0"/>
        <w:widowControl w:val="0"/>
        <w:shd w:val="clear" w:color="auto" w:fill="auto"/>
        <w:bidi w:val="0"/>
        <w:spacing w:before="0" w:after="300" w:line="322" w:lineRule="exact"/>
        <w:ind w:left="720" w:right="0" w:firstLine="0"/>
        <w:jc w:val="both"/>
        <w:rPr>
          <w:sz w:val="22"/>
          <w:szCs w:val="22"/>
        </w:rPr>
      </w:pPr>
      <w:r>
        <w:rPr>
          <w:color w:val="000000"/>
          <w:spacing w:val="0"/>
          <w:w w:val="100"/>
          <w:position w:val="0"/>
          <w:sz w:val="22"/>
          <w:szCs w:val="22"/>
        </w:rPr>
        <w:t>对子公司的投资，在公司财务报表中按照成本法核算。对合营企业和联营企业投资采用权 益法核算。</w:t>
      </w:r>
    </w:p>
    <w:p>
      <w:pPr>
        <w:pStyle w:val="Style5"/>
        <w:keepNext w:val="0"/>
        <w:keepLines w:val="0"/>
        <w:widowControl w:val="0"/>
        <w:numPr>
          <w:ilvl w:val="0"/>
          <w:numId w:val="83"/>
        </w:numPr>
        <w:shd w:val="clear" w:color="auto" w:fill="auto"/>
        <w:tabs>
          <w:tab w:pos="1170" w:val="left"/>
        </w:tabs>
        <w:bidi w:val="0"/>
        <w:spacing w:before="0" w:after="260" w:line="271" w:lineRule="auto"/>
        <w:ind w:left="0" w:right="0" w:firstLine="720"/>
        <w:jc w:val="both"/>
        <w:rPr>
          <w:sz w:val="22"/>
          <w:szCs w:val="22"/>
        </w:rPr>
      </w:pPr>
      <w:bookmarkStart w:id="871" w:name="bookmark871"/>
      <w:bookmarkEnd w:id="871"/>
      <w:r>
        <w:rPr>
          <w:color w:val="000000"/>
          <w:spacing w:val="0"/>
          <w:w w:val="100"/>
          <w:position w:val="0"/>
          <w:sz w:val="22"/>
          <w:szCs w:val="22"/>
        </w:rPr>
        <w:t>投资成本确定</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对于企业合并形成的长期股权投资：同一控制下企业合并取得的长期股权投资，在合并日 按照取得被合并方所有者权益在最终控制方合并财务报表中的账面价值的份额作为投资成 本；非同一控制下企业合并取得的长期股权投资，按照合并成本作为长期股权投资的投资 成本。本公司个别子公司在以前年度进行公司制改建时对其持有的长期股权投资，按国有 资产管理部门确认的评估值作为入账价值。</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对于以企业合并以外的其他方式取得的长期股权投资：支付现金取得的长期股权投资，按 照实际支付的购买价款作为初始投资成本；发行权益性证券取得的长期股权投资，以发行 权益性证券的公允价值作为初始投资成本。</w:t>
      </w:r>
    </w:p>
    <w:p>
      <w:pPr>
        <w:pStyle w:val="Style5"/>
        <w:keepNext w:val="0"/>
        <w:keepLines w:val="0"/>
        <w:widowControl w:val="0"/>
        <w:numPr>
          <w:ilvl w:val="0"/>
          <w:numId w:val="83"/>
        </w:numPr>
        <w:shd w:val="clear" w:color="auto" w:fill="auto"/>
        <w:tabs>
          <w:tab w:pos="1179" w:val="left"/>
        </w:tabs>
        <w:bidi w:val="0"/>
        <w:spacing w:before="0" w:after="260" w:line="312" w:lineRule="exact"/>
        <w:ind w:left="0" w:right="0" w:firstLine="720"/>
        <w:jc w:val="both"/>
        <w:rPr>
          <w:sz w:val="22"/>
          <w:szCs w:val="22"/>
        </w:rPr>
      </w:pPr>
      <w:bookmarkStart w:id="872" w:name="bookmark872"/>
      <w:bookmarkEnd w:id="872"/>
      <w:r>
        <w:rPr>
          <w:color w:val="000000"/>
          <w:spacing w:val="0"/>
          <w:w w:val="100"/>
          <w:position w:val="0"/>
          <w:sz w:val="22"/>
          <w:szCs w:val="22"/>
        </w:rPr>
        <w:t>后续计量及损益确认方法</w:t>
      </w:r>
    </w:p>
    <w:p>
      <w:pPr>
        <w:pStyle w:val="Style5"/>
        <w:keepNext w:val="0"/>
        <w:keepLines w:val="0"/>
        <w:widowControl w:val="0"/>
        <w:shd w:val="clear" w:color="auto" w:fill="auto"/>
        <w:bidi w:val="0"/>
        <w:spacing w:before="0" w:after="260" w:line="302" w:lineRule="exact"/>
        <w:ind w:left="720" w:right="0" w:firstLine="0"/>
        <w:jc w:val="both"/>
        <w:rPr>
          <w:sz w:val="22"/>
          <w:szCs w:val="22"/>
        </w:rPr>
      </w:pPr>
      <w:r>
        <w:rPr>
          <w:color w:val="000000"/>
          <w:spacing w:val="0"/>
          <w:w w:val="100"/>
          <w:position w:val="0"/>
          <w:sz w:val="22"/>
          <w:szCs w:val="22"/>
        </w:rPr>
        <w:t>采用成本法核算的长期股权投资，按照初始投资成本计量，追加或收回投资调整长期股权 投资的成本。被投资单位宣告分派的现金股利或利润，确认为当期投资收益计入当期损 益。</w:t>
      </w:r>
    </w:p>
    <w:p>
      <w:pPr>
        <w:pStyle w:val="Style5"/>
        <w:keepNext w:val="0"/>
        <w:keepLines w:val="0"/>
        <w:widowControl w:val="0"/>
        <w:shd w:val="clear" w:color="auto" w:fill="auto"/>
        <w:bidi w:val="0"/>
        <w:spacing w:before="0" w:after="260" w:line="314" w:lineRule="exact"/>
        <w:ind w:left="720" w:right="0" w:firstLine="0"/>
        <w:jc w:val="both"/>
        <w:rPr>
          <w:sz w:val="22"/>
          <w:szCs w:val="22"/>
        </w:rPr>
      </w:pPr>
      <w:r>
        <w:rPr>
          <w:color w:val="000000"/>
          <w:spacing w:val="0"/>
          <w:w w:val="100"/>
          <w:position w:val="0"/>
          <w:sz w:val="22"/>
          <w:szCs w:val="22"/>
        </w:rPr>
        <w:t>采用权益法核算的长期股权投资，初始投资成本大于投资时应享有被投资单位可辨认净资 产公允价值份额的，以初始投资成本作为长期股权投资成本；初始投资成本小于投资时应 享有被投资单位可辨认净资产公允价值份额的，其差额计入当期损益，并相应调增长期股 权投资成本。</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9" w:val="left"/>
        </w:tabs>
        <w:bidi w:val="0"/>
        <w:spacing w:before="0" w:after="30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9" w:val="left"/>
        </w:tabs>
        <w:bidi w:val="0"/>
        <w:spacing w:before="0" w:after="240" w:line="271" w:lineRule="auto"/>
        <w:ind w:left="0" w:right="0" w:firstLine="0"/>
        <w:jc w:val="both"/>
        <w:rPr>
          <w:sz w:val="22"/>
          <w:szCs w:val="22"/>
        </w:rPr>
      </w:pPr>
      <w:bookmarkStart w:id="873" w:name="bookmark873"/>
      <w:r>
        <w:rPr>
          <w:rFonts w:ascii="Times New Roman" w:eastAsia="Times New Roman" w:hAnsi="Times New Roman" w:cs="Times New Roman"/>
          <w:color w:val="000000"/>
          <w:spacing w:val="0"/>
          <w:w w:val="100"/>
          <w:position w:val="0"/>
          <w:sz w:val="24"/>
          <w:szCs w:val="24"/>
        </w:rPr>
        <w:t>1</w:t>
      </w:r>
      <w:bookmarkEnd w:id="87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85"/>
        </w:numPr>
        <w:shd w:val="clear" w:color="auto" w:fill="auto"/>
        <w:tabs>
          <w:tab w:pos="1179" w:val="left"/>
        </w:tabs>
        <w:bidi w:val="0"/>
        <w:spacing w:before="0" w:after="240" w:line="312" w:lineRule="exact"/>
        <w:ind w:left="720" w:right="0" w:firstLine="0"/>
        <w:jc w:val="both"/>
        <w:rPr>
          <w:sz w:val="22"/>
          <w:szCs w:val="22"/>
        </w:rPr>
      </w:pPr>
      <w:bookmarkStart w:id="874" w:name="bookmark874"/>
      <w:bookmarkEnd w:id="874"/>
      <w:r>
        <w:rPr>
          <w:color w:val="000000"/>
          <w:spacing w:val="0"/>
          <w:w w:val="100"/>
          <w:position w:val="0"/>
          <w:sz w:val="22"/>
          <w:szCs w:val="22"/>
        </w:rPr>
        <w:t>后续计量及损益确认方法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采用权益法核算的长期股权投资，本集团按应享有或应分担的被投资单位的净损益和其他 综合收益的份额分别确认当期投资损益和其他综合收益。确认被投资单位发生的净亏损， 以长期股权投资的账面价值以及其他实质上构成对被投资单位净投资的长期权益减记至零 为限，但本集团负有承担额外损失义务且符合或有事项准则所规定的预计负债确认条件 的，继续确认投资损失并作为预计负债核算。被投资单位除净损益、其他综合收益和利润 分配以外股东权益的其他变动，按照持股比例计算应享有或承担的部分直接计入股东权 益，并同时调整长期股权投资的账面价值。被投资单位分派的利润或现金股利于宣告分派 时按照本集团应分得的部分，相应减少长期股权投资的账面价值。被投资单位采用的会计 政策及会计期间与本公司不一致的，按照本公司的会计政策及会计期间对被投资单位的财 务报表进行调整，并据以确认投资收益和其他综合收益。本集团与被投资单位之间未实现 的内部交易损益按照应享有或应分担的比例计算归属于本集团的部分，予以抵销，在此基 础上确认投资损益。本集团与被投资单位发生的内部交易损失，其中属于资产减值损失的 部分，相应的未实现损失不予抵销。</w:t>
      </w:r>
    </w:p>
    <w:p>
      <w:pPr>
        <w:pStyle w:val="Style5"/>
        <w:keepNext w:val="0"/>
        <w:keepLines w:val="0"/>
        <w:widowControl w:val="0"/>
        <w:numPr>
          <w:ilvl w:val="0"/>
          <w:numId w:val="85"/>
        </w:numPr>
        <w:shd w:val="clear" w:color="auto" w:fill="auto"/>
        <w:tabs>
          <w:tab w:pos="1179" w:val="left"/>
        </w:tabs>
        <w:bidi w:val="0"/>
        <w:spacing w:before="0" w:after="240" w:line="312" w:lineRule="exact"/>
        <w:ind w:left="720" w:right="0" w:firstLine="0"/>
        <w:jc w:val="left"/>
        <w:rPr>
          <w:sz w:val="22"/>
          <w:szCs w:val="22"/>
        </w:rPr>
      </w:pPr>
      <w:bookmarkStart w:id="875" w:name="bookmark875"/>
      <w:bookmarkEnd w:id="875"/>
      <w:r>
        <w:rPr>
          <w:color w:val="000000"/>
          <w:spacing w:val="0"/>
          <w:w w:val="100"/>
          <w:position w:val="0"/>
          <w:sz w:val="22"/>
          <w:szCs w:val="22"/>
        </w:rPr>
        <w:t>确定对被投资单位具有控制、共同控制、重大影响的判断标准</w:t>
      </w:r>
    </w:p>
    <w:p>
      <w:pPr>
        <w:pStyle w:val="Style5"/>
        <w:keepNext w:val="0"/>
        <w:keepLines w:val="0"/>
        <w:widowControl w:val="0"/>
        <w:shd w:val="clear" w:color="auto" w:fill="auto"/>
        <w:bidi w:val="0"/>
        <w:spacing w:before="0" w:after="240" w:line="314" w:lineRule="exact"/>
        <w:ind w:left="720" w:right="0" w:firstLine="0"/>
        <w:jc w:val="left"/>
        <w:rPr>
          <w:sz w:val="22"/>
          <w:szCs w:val="22"/>
        </w:rPr>
      </w:pPr>
      <w:r>
        <w:rPr>
          <w:color w:val="000000"/>
          <w:spacing w:val="0"/>
          <w:w w:val="100"/>
          <w:position w:val="0"/>
          <w:sz w:val="22"/>
          <w:szCs w:val="22"/>
        </w:rPr>
        <w:t>控制，是指本集团拥有对被投资方的权力，通过参与被投资方的相关活动而享有可变回 报，并且有能力运用对被投资方的权力影响其回报金额。在判断本集团是否拥有对被投资 方的权力时，本集团仅考虑与被投资方相关的实质性权利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包括本集团自身所享有的及其他 方所享有的实质性权利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240" w:line="307" w:lineRule="exact"/>
        <w:ind w:left="720" w:right="0" w:firstLine="0"/>
        <w:jc w:val="both"/>
        <w:rPr>
          <w:sz w:val="22"/>
          <w:szCs w:val="22"/>
        </w:rPr>
      </w:pPr>
      <w:r>
        <w:rPr>
          <w:color w:val="000000"/>
          <w:spacing w:val="0"/>
          <w:w w:val="100"/>
          <w:position w:val="0"/>
          <w:sz w:val="22"/>
          <w:szCs w:val="22"/>
        </w:rPr>
        <w:t>共同控制指按照相关约定对某项安排所共有的控制，并且该安排的相关活动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即对安排的回 报产生重大影响的活动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必须经过分享控制权的参与方一致同意后才能决策。</w:t>
      </w:r>
    </w:p>
    <w:p>
      <w:pPr>
        <w:pStyle w:val="Style5"/>
        <w:keepNext w:val="0"/>
        <w:keepLines w:val="0"/>
        <w:widowControl w:val="0"/>
        <w:shd w:val="clear" w:color="auto" w:fill="auto"/>
        <w:bidi w:val="0"/>
        <w:spacing w:before="0" w:after="300" w:line="312" w:lineRule="exact"/>
        <w:ind w:left="0" w:right="0" w:firstLine="720"/>
        <w:jc w:val="left"/>
        <w:rPr>
          <w:sz w:val="22"/>
          <w:szCs w:val="22"/>
        </w:rPr>
      </w:pPr>
      <w:r>
        <w:rPr>
          <w:color w:val="000000"/>
          <w:spacing w:val="0"/>
          <w:w w:val="100"/>
          <w:position w:val="0"/>
          <w:sz w:val="22"/>
          <w:szCs w:val="22"/>
        </w:rPr>
        <w:t>本集团在判断对被投资单位是否存在共同控制时，通常考虑下述事项：</w:t>
      </w:r>
    </w:p>
    <w:p>
      <w:pPr>
        <w:pStyle w:val="Style5"/>
        <w:keepNext w:val="0"/>
        <w:keepLines w:val="0"/>
        <w:widowControl w:val="0"/>
        <w:numPr>
          <w:ilvl w:val="0"/>
          <w:numId w:val="63"/>
        </w:numPr>
        <w:shd w:val="clear" w:color="auto" w:fill="auto"/>
        <w:tabs>
          <w:tab w:pos="1267" w:val="left"/>
        </w:tabs>
        <w:bidi w:val="0"/>
        <w:spacing w:before="0" w:after="0" w:line="312" w:lineRule="exact"/>
        <w:ind w:left="0" w:right="0" w:firstLine="720"/>
        <w:jc w:val="left"/>
        <w:rPr>
          <w:sz w:val="22"/>
          <w:szCs w:val="22"/>
        </w:rPr>
      </w:pPr>
      <w:bookmarkStart w:id="876" w:name="bookmark876"/>
      <w:bookmarkEnd w:id="876"/>
      <w:r>
        <w:rPr>
          <w:color w:val="000000"/>
          <w:spacing w:val="0"/>
          <w:w w:val="100"/>
          <w:position w:val="0"/>
          <w:sz w:val="22"/>
          <w:szCs w:val="22"/>
        </w:rPr>
        <w:t>是否任何一个参与方均不能单独控制被投资单位的相关活动；</w:t>
      </w:r>
    </w:p>
    <w:p>
      <w:pPr>
        <w:pStyle w:val="Style5"/>
        <w:keepNext w:val="0"/>
        <w:keepLines w:val="0"/>
        <w:widowControl w:val="0"/>
        <w:numPr>
          <w:ilvl w:val="0"/>
          <w:numId w:val="63"/>
        </w:numPr>
        <w:shd w:val="clear" w:color="auto" w:fill="auto"/>
        <w:tabs>
          <w:tab w:pos="1267" w:val="left"/>
        </w:tabs>
        <w:bidi w:val="0"/>
        <w:spacing w:before="0" w:after="240" w:line="312" w:lineRule="exact"/>
        <w:ind w:left="0" w:right="0" w:firstLine="720"/>
        <w:jc w:val="left"/>
        <w:rPr>
          <w:sz w:val="22"/>
          <w:szCs w:val="22"/>
        </w:rPr>
      </w:pPr>
      <w:bookmarkStart w:id="877" w:name="bookmark877"/>
      <w:bookmarkEnd w:id="877"/>
      <w:r>
        <w:rPr>
          <w:color w:val="000000"/>
          <w:spacing w:val="0"/>
          <w:w w:val="100"/>
          <w:position w:val="0"/>
          <w:sz w:val="22"/>
          <w:szCs w:val="22"/>
        </w:rPr>
        <w:t>涉及被投资单位相关活动的决策是否需要分享控制权参与方一致同意。</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重大影响是指本集团对被投资单位的财务和经营政策有参与决策的权力，但并不能够控制 或者与其他方一起共同控制这些政策的制定。</w:t>
      </w:r>
    </w:p>
    <w:p>
      <w:pPr>
        <w:pStyle w:val="Style5"/>
        <w:keepNext w:val="0"/>
        <w:keepLines w:val="0"/>
        <w:widowControl w:val="0"/>
        <w:numPr>
          <w:ilvl w:val="0"/>
          <w:numId w:val="85"/>
        </w:numPr>
        <w:shd w:val="clear" w:color="auto" w:fill="auto"/>
        <w:tabs>
          <w:tab w:pos="1184" w:val="left"/>
        </w:tabs>
        <w:bidi w:val="0"/>
        <w:spacing w:before="0" w:after="240" w:line="271" w:lineRule="auto"/>
        <w:ind w:left="720" w:right="0" w:firstLine="0"/>
        <w:jc w:val="both"/>
        <w:rPr>
          <w:sz w:val="22"/>
          <w:szCs w:val="22"/>
        </w:rPr>
      </w:pPr>
      <w:bookmarkStart w:id="878" w:name="bookmark878"/>
      <w:bookmarkEnd w:id="878"/>
      <w:r>
        <w:rPr>
          <w:color w:val="000000"/>
          <w:spacing w:val="0"/>
          <w:w w:val="100"/>
          <w:position w:val="0"/>
          <w:sz w:val="22"/>
          <w:szCs w:val="22"/>
        </w:rPr>
        <w:t>长期股权投资减值</w:t>
      </w:r>
    </w:p>
    <w:p>
      <w:pPr>
        <w:pStyle w:val="Style5"/>
        <w:keepNext w:val="0"/>
        <w:keepLines w:val="0"/>
        <w:widowControl w:val="0"/>
        <w:shd w:val="clear" w:color="auto" w:fill="auto"/>
        <w:bidi w:val="0"/>
        <w:spacing w:before="0" w:after="240" w:line="312" w:lineRule="exact"/>
        <w:ind w:left="720" w:right="0" w:firstLine="0"/>
        <w:jc w:val="both"/>
        <w:rPr>
          <w:sz w:val="22"/>
          <w:szCs w:val="22"/>
        </w:rPr>
      </w:pPr>
      <w:r>
        <w:rPr>
          <w:color w:val="000000"/>
          <w:spacing w:val="0"/>
          <w:w w:val="100"/>
          <w:position w:val="0"/>
          <w:sz w:val="22"/>
          <w:szCs w:val="22"/>
        </w:rPr>
        <w:t>对子公司、合营企业及联营企业的长期股权投资，当其可收回金额低于其账面价值时，账 面价值减记至可收回金额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附注三</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60" w:val="left"/>
        </w:tabs>
        <w:bidi w:val="0"/>
        <w:spacing w:before="0" w:after="30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60" w:val="left"/>
        </w:tabs>
        <w:bidi w:val="0"/>
        <w:spacing w:before="0" w:after="240" w:line="271" w:lineRule="auto"/>
        <w:ind w:left="0" w:right="0" w:firstLine="0"/>
        <w:jc w:val="both"/>
        <w:rPr>
          <w:sz w:val="22"/>
          <w:szCs w:val="22"/>
        </w:rPr>
      </w:pPr>
      <w:bookmarkStart w:id="879" w:name="bookmark879"/>
      <w:r>
        <w:rPr>
          <w:rFonts w:ascii="Times New Roman" w:eastAsia="Times New Roman" w:hAnsi="Times New Roman" w:cs="Times New Roman"/>
          <w:color w:val="000000"/>
          <w:spacing w:val="0"/>
          <w:w w:val="100"/>
          <w:position w:val="0"/>
          <w:sz w:val="24"/>
          <w:szCs w:val="24"/>
        </w:rPr>
        <w:t>1</w:t>
      </w:r>
      <w:bookmarkEnd w:id="87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固定资产</w:t>
      </w:r>
    </w:p>
    <w:p>
      <w:pPr>
        <w:pStyle w:val="Style5"/>
        <w:keepNext w:val="0"/>
        <w:keepLines w:val="0"/>
        <w:widowControl w:val="0"/>
        <w:numPr>
          <w:ilvl w:val="0"/>
          <w:numId w:val="87"/>
        </w:numPr>
        <w:shd w:val="clear" w:color="auto" w:fill="auto"/>
        <w:tabs>
          <w:tab w:pos="1170" w:val="left"/>
        </w:tabs>
        <w:bidi w:val="0"/>
        <w:spacing w:before="0" w:after="240" w:line="312" w:lineRule="exact"/>
        <w:ind w:left="0" w:right="0" w:firstLine="720"/>
        <w:jc w:val="both"/>
        <w:rPr>
          <w:sz w:val="22"/>
          <w:szCs w:val="22"/>
        </w:rPr>
      </w:pPr>
      <w:bookmarkStart w:id="880" w:name="bookmark880"/>
      <w:bookmarkEnd w:id="880"/>
      <w:r>
        <w:rPr>
          <w:color w:val="000000"/>
          <w:spacing w:val="0"/>
          <w:w w:val="100"/>
          <w:position w:val="0"/>
          <w:sz w:val="22"/>
          <w:szCs w:val="22"/>
        </w:rPr>
        <w:t>固定资产确认及初始计量</w:t>
      </w:r>
    </w:p>
    <w:p>
      <w:pPr>
        <w:pStyle w:val="Style5"/>
        <w:keepNext w:val="0"/>
        <w:keepLines w:val="0"/>
        <w:widowControl w:val="0"/>
        <w:shd w:val="clear" w:color="auto" w:fill="auto"/>
        <w:bidi w:val="0"/>
        <w:spacing w:before="0" w:after="300" w:line="300" w:lineRule="exact"/>
        <w:ind w:left="720" w:right="0" w:firstLine="0"/>
        <w:jc w:val="both"/>
        <w:rPr>
          <w:sz w:val="22"/>
          <w:szCs w:val="22"/>
        </w:rPr>
      </w:pPr>
      <w:r>
        <w:rPr>
          <w:color w:val="000000"/>
          <w:spacing w:val="0"/>
          <w:w w:val="100"/>
          <w:position w:val="0"/>
          <w:sz w:val="22"/>
          <w:szCs w:val="22"/>
        </w:rPr>
        <w:t>固定资产是指为生产商品、提供劳务、出租或经营管理而持有的，使用寿命超过一个会计 年度的有形资产。固定资产主要包括房屋建筑物、通信设备以及办公设备等。固定资产在 与其有关的经济利益很可能流入本集团、且其成本能够可靠计量时予以确认。购置或新建 的固定资产按取得时的成本进行初始计量。本集团在进行重组时，国有股股东投入的固定 资产，按国有资产管理部门确认的评估值作为入账价值。</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与固定资产有关的后续支出，包括与更换固定资产某组成部分相关的支出，在与支出相关 的经济利益很可能流入本集团时资本化计入固定资产成本，同时将被替换部分的账面价值 扣除；所有其他后续支出于发生时计入当期损益。</w:t>
      </w:r>
    </w:p>
    <w:p>
      <w:pPr>
        <w:pStyle w:val="Style5"/>
        <w:keepNext w:val="0"/>
        <w:keepLines w:val="0"/>
        <w:widowControl w:val="0"/>
        <w:numPr>
          <w:ilvl w:val="0"/>
          <w:numId w:val="87"/>
        </w:numPr>
        <w:shd w:val="clear" w:color="auto" w:fill="auto"/>
        <w:tabs>
          <w:tab w:pos="1179" w:val="left"/>
        </w:tabs>
        <w:bidi w:val="0"/>
        <w:spacing w:before="0" w:after="240" w:line="271" w:lineRule="auto"/>
        <w:ind w:left="0" w:right="0" w:firstLine="720"/>
        <w:jc w:val="both"/>
        <w:rPr>
          <w:sz w:val="22"/>
          <w:szCs w:val="22"/>
        </w:rPr>
      </w:pPr>
      <w:bookmarkStart w:id="881" w:name="bookmark881"/>
      <w:bookmarkEnd w:id="881"/>
      <w:r>
        <w:rPr>
          <w:color w:val="000000"/>
          <w:spacing w:val="0"/>
          <w:w w:val="100"/>
          <w:position w:val="0"/>
          <w:sz w:val="22"/>
          <w:szCs w:val="22"/>
        </w:rPr>
        <w:t>固定资产的折旧方法</w:t>
      </w:r>
    </w:p>
    <w:p>
      <w:pPr>
        <w:pStyle w:val="Style5"/>
        <w:keepNext w:val="0"/>
        <w:keepLines w:val="0"/>
        <w:widowControl w:val="0"/>
        <w:shd w:val="clear" w:color="auto" w:fill="auto"/>
        <w:bidi w:val="0"/>
        <w:spacing w:before="0" w:after="0" w:line="312" w:lineRule="exact"/>
        <w:ind w:left="0" w:right="0" w:firstLine="720"/>
        <w:jc w:val="both"/>
        <w:rPr>
          <w:sz w:val="22"/>
          <w:szCs w:val="22"/>
        </w:rPr>
      </w:pPr>
      <w:r>
        <w:rPr>
          <w:color w:val="000000"/>
          <w:spacing w:val="0"/>
          <w:w w:val="100"/>
          <w:position w:val="0"/>
          <w:sz w:val="22"/>
          <w:szCs w:val="22"/>
        </w:rPr>
        <w:t>固定资产折旧采用年限平均法并按其入账价值减去预计净残值后在预计使用寿命内计提。</w:t>
      </w:r>
    </w:p>
    <w:p>
      <w:pPr>
        <w:pStyle w:val="Style5"/>
        <w:keepNext w:val="0"/>
        <w:keepLines w:val="0"/>
        <w:widowControl w:val="0"/>
        <w:shd w:val="clear" w:color="auto" w:fill="auto"/>
        <w:bidi w:val="0"/>
        <w:spacing w:before="0" w:after="240" w:line="312" w:lineRule="exact"/>
        <w:ind w:left="720" w:right="0" w:firstLine="0"/>
        <w:jc w:val="both"/>
        <w:rPr>
          <w:sz w:val="22"/>
          <w:szCs w:val="22"/>
        </w:rPr>
      </w:pPr>
      <w:r>
        <w:rPr>
          <w:color w:val="000000"/>
          <w:spacing w:val="0"/>
          <w:w w:val="100"/>
          <w:position w:val="0"/>
          <w:sz w:val="22"/>
          <w:szCs w:val="22"/>
        </w:rPr>
        <w:t>对计提了减值准备的固定资产，则在未来期间按扣除减值准备后的账面价值及依据尚可使 用年限确定折旧额。</w:t>
      </w:r>
    </w:p>
    <w:p>
      <w:pPr>
        <w:pStyle w:val="Style5"/>
        <w:keepNext w:val="0"/>
        <w:keepLines w:val="0"/>
        <w:widowControl w:val="0"/>
        <w:shd w:val="clear" w:color="auto" w:fill="auto"/>
        <w:bidi w:val="0"/>
        <w:spacing w:before="0" w:after="300" w:line="312" w:lineRule="exact"/>
        <w:ind w:left="0" w:right="0" w:firstLine="720"/>
        <w:jc w:val="both"/>
        <w:rPr>
          <w:sz w:val="22"/>
          <w:szCs w:val="22"/>
        </w:rPr>
      </w:pPr>
      <w:r>
        <w:rPr>
          <w:color w:val="000000"/>
          <w:spacing w:val="0"/>
          <w:w w:val="100"/>
          <w:position w:val="0"/>
          <w:sz w:val="22"/>
          <w:szCs w:val="22"/>
        </w:rPr>
        <w:t>固定资产的预计使用寿命、净残值率及年折旧率列示如下：</w:t>
      </w:r>
    </w:p>
    <w:tbl>
      <w:tblPr>
        <w:tblOverlap w:val="never"/>
        <w:jc w:val="center"/>
        <w:tblLayout w:type="fixed"/>
      </w:tblPr>
      <w:tblGrid>
        <w:gridCol w:w="2179"/>
        <w:gridCol w:w="2419"/>
        <w:gridCol w:w="2434"/>
        <w:gridCol w:w="1973"/>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预计使用寿命</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预计净残值率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u w:val="single"/>
              </w:rPr>
              <w:t>年折旧率</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10-30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3.17%-9.70%</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通信设备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5-10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9.50%-19.40%</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办公设备及其他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5-10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9.50%-19.40%</w:t>
            </w:r>
          </w:p>
        </w:tc>
      </w:tr>
    </w:tbl>
    <w:p>
      <w:pPr>
        <w:widowControl w:val="0"/>
        <w:spacing w:after="239" w:line="1" w:lineRule="exact"/>
      </w:pP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对固定资产的预计使用寿命、预计净残值和折旧方法于每年年度终了进行复核，必要时进 行调整。</w:t>
      </w:r>
    </w:p>
    <w:p>
      <w:pPr>
        <w:pStyle w:val="Style5"/>
        <w:keepNext w:val="0"/>
        <w:keepLines w:val="0"/>
        <w:widowControl w:val="0"/>
        <w:numPr>
          <w:ilvl w:val="0"/>
          <w:numId w:val="87"/>
        </w:numPr>
        <w:shd w:val="clear" w:color="auto" w:fill="auto"/>
        <w:tabs>
          <w:tab w:pos="1160" w:val="left"/>
        </w:tabs>
        <w:bidi w:val="0"/>
        <w:spacing w:before="0" w:after="300" w:line="312" w:lineRule="exact"/>
        <w:ind w:left="720" w:right="0" w:firstLine="0"/>
        <w:jc w:val="both"/>
        <w:rPr>
          <w:sz w:val="22"/>
          <w:szCs w:val="22"/>
        </w:rPr>
      </w:pPr>
      <w:bookmarkStart w:id="882" w:name="bookmark882"/>
      <w:bookmarkEnd w:id="882"/>
      <w:r>
        <w:rPr>
          <w:color w:val="000000"/>
          <w:spacing w:val="0"/>
          <w:w w:val="100"/>
          <w:position w:val="0"/>
          <w:sz w:val="22"/>
          <w:szCs w:val="22"/>
        </w:rPr>
        <w:t>当固定资产的可收回金额低于其账面价值时，账面价值减记至可收回金额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附注三</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w:t>
      </w:r>
    </w:p>
    <w:p>
      <w:pPr>
        <w:pStyle w:val="Style5"/>
        <w:keepNext w:val="0"/>
        <w:keepLines w:val="0"/>
        <w:widowControl w:val="0"/>
        <w:numPr>
          <w:ilvl w:val="0"/>
          <w:numId w:val="87"/>
        </w:numPr>
        <w:shd w:val="clear" w:color="auto" w:fill="auto"/>
        <w:tabs>
          <w:tab w:pos="1184" w:val="left"/>
        </w:tabs>
        <w:bidi w:val="0"/>
        <w:spacing w:before="0" w:after="240" w:line="271" w:lineRule="auto"/>
        <w:ind w:left="0" w:right="0" w:firstLine="720"/>
        <w:jc w:val="both"/>
        <w:rPr>
          <w:sz w:val="22"/>
          <w:szCs w:val="22"/>
        </w:rPr>
      </w:pPr>
      <w:bookmarkStart w:id="883" w:name="bookmark883"/>
      <w:bookmarkEnd w:id="883"/>
      <w:r>
        <w:rPr>
          <w:color w:val="000000"/>
          <w:spacing w:val="0"/>
          <w:w w:val="100"/>
          <w:position w:val="0"/>
          <w:sz w:val="22"/>
          <w:szCs w:val="22"/>
        </w:rPr>
        <w:t>固定资产的处置</w:t>
      </w:r>
    </w:p>
    <w:p>
      <w:pPr>
        <w:pStyle w:val="Style5"/>
        <w:keepNext w:val="0"/>
        <w:keepLines w:val="0"/>
        <w:widowControl w:val="0"/>
        <w:shd w:val="clear" w:color="auto" w:fill="auto"/>
        <w:bidi w:val="0"/>
        <w:spacing w:before="0" w:after="240" w:line="312" w:lineRule="exact"/>
        <w:ind w:left="720" w:right="0" w:firstLine="0"/>
        <w:jc w:val="both"/>
        <w:rPr>
          <w:sz w:val="22"/>
          <w:szCs w:val="22"/>
        </w:rPr>
      </w:pPr>
      <w:r>
        <w:rPr>
          <w:color w:val="000000"/>
          <w:spacing w:val="0"/>
          <w:w w:val="100"/>
          <w:position w:val="0"/>
          <w:sz w:val="22"/>
          <w:szCs w:val="22"/>
        </w:rPr>
        <w:t>当固定资产被处置、或者预期通过使用或处置不能产生经济利益时，终止确认该固定资 产。固定资产出售、转让、报废或毁损时的处置收入扣除其账面价值和相关税费后的金额 计入当期损益。</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42" w:val="left"/>
        </w:tabs>
        <w:bidi w:val="0"/>
        <w:spacing w:before="0" w:after="30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42" w:val="left"/>
        </w:tabs>
        <w:bidi w:val="0"/>
        <w:spacing w:before="0" w:after="240" w:line="271" w:lineRule="auto"/>
        <w:ind w:left="0" w:right="0" w:firstLine="0"/>
        <w:jc w:val="both"/>
        <w:rPr>
          <w:sz w:val="22"/>
          <w:szCs w:val="22"/>
        </w:rPr>
      </w:pPr>
      <w:bookmarkStart w:id="884" w:name="bookmark884"/>
      <w:r>
        <w:rPr>
          <w:rFonts w:ascii="Times New Roman" w:eastAsia="Times New Roman" w:hAnsi="Times New Roman" w:cs="Times New Roman"/>
          <w:color w:val="000000"/>
          <w:spacing w:val="0"/>
          <w:w w:val="100"/>
          <w:position w:val="0"/>
          <w:sz w:val="24"/>
          <w:szCs w:val="24"/>
        </w:rPr>
        <w:t>1</w:t>
      </w:r>
      <w:bookmarkEnd w:id="88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在建工程</w:t>
      </w:r>
    </w:p>
    <w:p>
      <w:pPr>
        <w:pStyle w:val="Style5"/>
        <w:keepNext w:val="0"/>
        <w:keepLines w:val="0"/>
        <w:widowControl w:val="0"/>
        <w:shd w:val="clear" w:color="auto" w:fill="auto"/>
        <w:bidi w:val="0"/>
        <w:spacing w:before="0" w:after="240" w:line="312" w:lineRule="exact"/>
        <w:ind w:left="720" w:right="0" w:firstLine="0"/>
        <w:jc w:val="both"/>
        <w:rPr>
          <w:sz w:val="22"/>
          <w:szCs w:val="22"/>
        </w:rPr>
      </w:pPr>
      <w:r>
        <w:rPr>
          <w:color w:val="000000"/>
          <w:spacing w:val="0"/>
          <w:w w:val="100"/>
          <w:position w:val="0"/>
          <w:sz w:val="22"/>
          <w:szCs w:val="22"/>
        </w:rPr>
        <w:t>在建工程按实际发生的成本计量。实际成本包括建筑成本、安装成本、符合资本化条件的 借款费用以及其他为使在建工程达到预定可使用状态所发生的必要支出。在建工程在达到 预定可使用状态时，转入固定资产并自次月起开始计提折旧。</w:t>
      </w:r>
    </w:p>
    <w:p>
      <w:pPr>
        <w:pStyle w:val="Style5"/>
        <w:keepNext w:val="0"/>
        <w:keepLines w:val="0"/>
        <w:widowControl w:val="0"/>
        <w:shd w:val="clear" w:color="auto" w:fill="auto"/>
        <w:bidi w:val="0"/>
        <w:spacing w:before="0" w:after="300" w:line="312" w:lineRule="exact"/>
        <w:ind w:left="0" w:right="0" w:firstLine="720"/>
        <w:jc w:val="both"/>
        <w:rPr>
          <w:sz w:val="22"/>
          <w:szCs w:val="22"/>
        </w:rPr>
      </w:pPr>
      <w:r>
        <w:rPr>
          <w:color w:val="000000"/>
          <w:spacing w:val="0"/>
          <w:w w:val="100"/>
          <w:position w:val="0"/>
          <w:sz w:val="22"/>
          <w:szCs w:val="22"/>
        </w:rPr>
        <w:t>当在建工程的可收回金额低于其账面价值时，账面价值减记至可收回金额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附注三</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w:t>
      </w:r>
    </w:p>
    <w:p>
      <w:pPr>
        <w:pStyle w:val="Style5"/>
        <w:keepNext w:val="0"/>
        <w:keepLines w:val="0"/>
        <w:widowControl w:val="0"/>
        <w:shd w:val="clear" w:color="auto" w:fill="auto"/>
        <w:tabs>
          <w:tab w:pos="642" w:val="left"/>
        </w:tabs>
        <w:bidi w:val="0"/>
        <w:spacing w:before="0" w:after="240" w:line="271" w:lineRule="auto"/>
        <w:ind w:left="0" w:right="0" w:firstLine="0"/>
        <w:jc w:val="both"/>
        <w:rPr>
          <w:sz w:val="22"/>
          <w:szCs w:val="22"/>
        </w:rPr>
      </w:pPr>
      <w:bookmarkStart w:id="885" w:name="bookmark885"/>
      <w:r>
        <w:rPr>
          <w:rFonts w:ascii="Times New Roman" w:eastAsia="Times New Roman" w:hAnsi="Times New Roman" w:cs="Times New Roman"/>
          <w:color w:val="000000"/>
          <w:spacing w:val="0"/>
          <w:w w:val="100"/>
          <w:position w:val="0"/>
          <w:sz w:val="24"/>
          <w:szCs w:val="24"/>
        </w:rPr>
        <w:t>1</w:t>
      </w:r>
      <w:bookmarkEnd w:id="88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借款费用</w:t>
      </w:r>
    </w:p>
    <w:p>
      <w:pPr>
        <w:pStyle w:val="Style5"/>
        <w:keepNext w:val="0"/>
        <w:keepLines w:val="0"/>
        <w:widowControl w:val="0"/>
        <w:shd w:val="clear" w:color="auto" w:fill="auto"/>
        <w:bidi w:val="0"/>
        <w:spacing w:before="0" w:after="240" w:line="314" w:lineRule="exact"/>
        <w:ind w:left="720" w:right="0" w:firstLine="0"/>
        <w:jc w:val="both"/>
        <w:rPr>
          <w:sz w:val="22"/>
          <w:szCs w:val="22"/>
        </w:rPr>
      </w:pPr>
      <w:r>
        <w:rPr>
          <w:color w:val="000000"/>
          <w:spacing w:val="0"/>
          <w:w w:val="100"/>
          <w:position w:val="0"/>
          <w:sz w:val="22"/>
          <w:szCs w:val="22"/>
        </w:rPr>
        <w:t>本集团发生的可直接归属于符合资本化条件的资产的购建的借款费用，在资产支出及借款 费用已经发生、为使资产达到预定可使用状态所必要的购建活动已经开始时，开始资本化 并计入该资产的成本。当购建的资产达到预定可使用状态时停止资本化，其后发生的借款 费用计入当期损益。如果资产的购建活动发生非正常中断，并且中断时间连续超过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个 月，暂停借款费用的资本化，直至资产的购建活动重新开始。其他借款费用均于发生当期 确认为财务费用。</w:t>
      </w:r>
    </w:p>
    <w:p>
      <w:pPr>
        <w:pStyle w:val="Style5"/>
        <w:keepNext w:val="0"/>
        <w:keepLines w:val="0"/>
        <w:widowControl w:val="0"/>
        <w:shd w:val="clear" w:color="auto" w:fill="auto"/>
        <w:bidi w:val="0"/>
        <w:spacing w:before="0" w:after="240" w:line="310" w:lineRule="exact"/>
        <w:ind w:left="720" w:right="0" w:firstLine="0"/>
        <w:jc w:val="both"/>
        <w:rPr>
          <w:sz w:val="22"/>
          <w:szCs w:val="22"/>
        </w:rPr>
      </w:pPr>
      <w:r>
        <w:rPr>
          <w:color w:val="000000"/>
          <w:spacing w:val="0"/>
          <w:w w:val="100"/>
          <w:position w:val="0"/>
          <w:sz w:val="22"/>
          <w:szCs w:val="22"/>
        </w:rPr>
        <w:t>对于为购建符合资本化条件的资产而借入的专门借款，本集团以专门借款按实际利率计算 的当期利息费用，减去将尚未动用的借款资金存入银行取得的利息收入或进行暂时性投资 取得的投资收益后的金额确定专门借款应予资本化的利息金额。</w:t>
      </w:r>
    </w:p>
    <w:p>
      <w:pPr>
        <w:pStyle w:val="Style5"/>
        <w:keepNext w:val="0"/>
        <w:keepLines w:val="0"/>
        <w:widowControl w:val="0"/>
        <w:shd w:val="clear" w:color="auto" w:fill="auto"/>
        <w:bidi w:val="0"/>
        <w:spacing w:before="0" w:after="240" w:line="312" w:lineRule="exact"/>
        <w:ind w:left="720" w:right="0" w:firstLine="0"/>
        <w:jc w:val="both"/>
        <w:rPr>
          <w:sz w:val="22"/>
          <w:szCs w:val="22"/>
        </w:rPr>
      </w:pPr>
      <w:r>
        <w:rPr>
          <w:color w:val="000000"/>
          <w:spacing w:val="0"/>
          <w:w w:val="100"/>
          <w:position w:val="0"/>
          <w:sz w:val="22"/>
          <w:szCs w:val="22"/>
        </w:rPr>
        <w:t>对于为购建符合资本化条件的资产而占用的一般借款，按照累计资产支出超过专门借款部 分的资本支出加权平均数乘以所占用一般借款的加权平均实际利率计算确定一般借款费用 的资本化金额。</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本集团确定借款的实际利率时，是将借款在预期存续期间或适用的更短期间内的未来现金 流量，折现为该借款初始确认时确定的金额所使用的利率。</w:t>
      </w:r>
    </w:p>
    <w:p>
      <w:pPr>
        <w:pStyle w:val="Style5"/>
        <w:keepNext w:val="0"/>
        <w:keepLines w:val="0"/>
        <w:widowControl w:val="0"/>
        <w:shd w:val="clear" w:color="auto" w:fill="auto"/>
        <w:tabs>
          <w:tab w:pos="642" w:val="left"/>
        </w:tabs>
        <w:bidi w:val="0"/>
        <w:spacing w:before="0" w:after="240" w:line="271" w:lineRule="auto"/>
        <w:ind w:left="0" w:right="0" w:firstLine="0"/>
        <w:jc w:val="both"/>
        <w:rPr>
          <w:sz w:val="22"/>
          <w:szCs w:val="22"/>
        </w:rPr>
      </w:pPr>
      <w:bookmarkStart w:id="886" w:name="bookmark886"/>
      <w:r>
        <w:rPr>
          <w:rFonts w:ascii="Times New Roman" w:eastAsia="Times New Roman" w:hAnsi="Times New Roman" w:cs="Times New Roman"/>
          <w:color w:val="000000"/>
          <w:spacing w:val="0"/>
          <w:w w:val="100"/>
          <w:position w:val="0"/>
          <w:sz w:val="24"/>
          <w:szCs w:val="24"/>
        </w:rPr>
        <w:t>1</w:t>
      </w:r>
      <w:bookmarkEnd w:id="886"/>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无形资产</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无形资产主要包括土地使用权、计算机软件和电路及设备使用权等，以成本计量。本集团 重组时国有股股东投入的无形资产，按国有资产管理部门确认的评估值作为入账价值。</w:t>
      </w:r>
    </w:p>
    <w:p>
      <w:pPr>
        <w:pStyle w:val="Style5"/>
        <w:keepNext w:val="0"/>
        <w:keepLines w:val="0"/>
        <w:widowControl w:val="0"/>
        <w:shd w:val="clear" w:color="auto" w:fill="auto"/>
        <w:bidi w:val="0"/>
        <w:spacing w:before="0" w:after="240" w:line="271"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2"/>
          <w:szCs w:val="22"/>
        </w:rPr>
        <w:t>土地使用权</w:t>
      </w:r>
    </w:p>
    <w:p>
      <w:pPr>
        <w:pStyle w:val="Style5"/>
        <w:keepNext w:val="0"/>
        <w:keepLines w:val="0"/>
        <w:widowControl w:val="0"/>
        <w:shd w:val="clear" w:color="auto" w:fill="auto"/>
        <w:bidi w:val="0"/>
        <w:spacing w:before="0" w:after="240" w:line="312" w:lineRule="exact"/>
        <w:ind w:left="720" w:right="0" w:firstLine="0"/>
        <w:jc w:val="both"/>
        <w:rPr>
          <w:sz w:val="22"/>
          <w:szCs w:val="22"/>
        </w:rPr>
      </w:pPr>
      <w:r>
        <w:rPr>
          <w:color w:val="000000"/>
          <w:spacing w:val="0"/>
          <w:w w:val="100"/>
          <w:position w:val="0"/>
          <w:sz w:val="22"/>
          <w:szCs w:val="22"/>
        </w:rPr>
        <w:t>土地使用权按使用年限平均摊销。外购土地及建筑物支付的价款在建筑物与土地使用权之 间进行分配。</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9" w:val="left"/>
        </w:tabs>
        <w:bidi w:val="0"/>
        <w:spacing w:before="0" w:after="30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9" w:val="left"/>
        </w:tabs>
        <w:bidi w:val="0"/>
        <w:spacing w:before="0" w:after="300" w:line="271" w:lineRule="auto"/>
        <w:ind w:left="0" w:right="0" w:firstLine="0"/>
        <w:jc w:val="both"/>
        <w:rPr>
          <w:sz w:val="22"/>
          <w:szCs w:val="22"/>
        </w:rPr>
      </w:pPr>
      <w:bookmarkStart w:id="887" w:name="bookmark887"/>
      <w:r>
        <w:rPr>
          <w:rFonts w:ascii="Times New Roman" w:eastAsia="Times New Roman" w:hAnsi="Times New Roman" w:cs="Times New Roman"/>
          <w:color w:val="000000"/>
          <w:spacing w:val="0"/>
          <w:w w:val="100"/>
          <w:position w:val="0"/>
          <w:sz w:val="24"/>
          <w:szCs w:val="24"/>
        </w:rPr>
        <w:t>1</w:t>
      </w:r>
      <w:bookmarkEnd w:id="887"/>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无形资产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89"/>
        </w:numPr>
        <w:shd w:val="clear" w:color="auto" w:fill="auto"/>
        <w:tabs>
          <w:tab w:pos="1179" w:val="left"/>
        </w:tabs>
        <w:bidi w:val="0"/>
        <w:spacing w:before="0" w:after="240" w:line="271" w:lineRule="auto"/>
        <w:ind w:left="720" w:right="0" w:firstLine="0"/>
        <w:jc w:val="both"/>
        <w:rPr>
          <w:sz w:val="22"/>
          <w:szCs w:val="22"/>
        </w:rPr>
      </w:pPr>
      <w:bookmarkStart w:id="888" w:name="bookmark888"/>
      <w:bookmarkEnd w:id="888"/>
      <w:r>
        <w:rPr>
          <w:color w:val="000000"/>
          <w:spacing w:val="0"/>
          <w:w w:val="100"/>
          <w:position w:val="0"/>
          <w:sz w:val="22"/>
          <w:szCs w:val="22"/>
        </w:rPr>
        <w:t>计算机软件</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计算机软件在其预计使用年限内平均摊销。</w:t>
      </w:r>
    </w:p>
    <w:p>
      <w:pPr>
        <w:pStyle w:val="Style5"/>
        <w:keepNext w:val="0"/>
        <w:keepLines w:val="0"/>
        <w:widowControl w:val="0"/>
        <w:numPr>
          <w:ilvl w:val="0"/>
          <w:numId w:val="89"/>
        </w:numPr>
        <w:shd w:val="clear" w:color="auto" w:fill="auto"/>
        <w:tabs>
          <w:tab w:pos="1179" w:val="left"/>
        </w:tabs>
        <w:bidi w:val="0"/>
        <w:spacing w:before="0" w:after="240" w:line="271" w:lineRule="auto"/>
        <w:ind w:left="720" w:right="0" w:firstLine="0"/>
        <w:jc w:val="both"/>
        <w:rPr>
          <w:sz w:val="22"/>
          <w:szCs w:val="22"/>
        </w:rPr>
      </w:pPr>
      <w:bookmarkStart w:id="889" w:name="bookmark889"/>
      <w:bookmarkEnd w:id="889"/>
      <w:r>
        <w:rPr>
          <w:color w:val="000000"/>
          <w:spacing w:val="0"/>
          <w:w w:val="100"/>
          <w:position w:val="0"/>
          <w:sz w:val="22"/>
          <w:szCs w:val="22"/>
        </w:rPr>
        <w:t>电路及设备使用权</w:t>
      </w:r>
    </w:p>
    <w:p>
      <w:pPr>
        <w:pStyle w:val="Style5"/>
        <w:keepNext w:val="0"/>
        <w:keepLines w:val="0"/>
        <w:widowControl w:val="0"/>
        <w:shd w:val="clear" w:color="auto" w:fill="auto"/>
        <w:bidi w:val="0"/>
        <w:spacing w:before="0" w:after="300" w:line="317" w:lineRule="exact"/>
        <w:ind w:left="720" w:right="0" w:firstLine="0"/>
        <w:jc w:val="both"/>
        <w:rPr>
          <w:sz w:val="22"/>
          <w:szCs w:val="22"/>
        </w:rPr>
      </w:pPr>
      <w:r>
        <w:rPr>
          <w:color w:val="000000"/>
          <w:spacing w:val="0"/>
          <w:w w:val="100"/>
          <w:position w:val="0"/>
          <w:sz w:val="22"/>
          <w:szCs w:val="22"/>
        </w:rPr>
        <w:t>电路及设备使用权主要是指本集团购买的不可撤销使用权的网络容量的资本性支出，以成 本入账并按预计使用期限平均摊销。</w:t>
      </w:r>
    </w:p>
    <w:p>
      <w:pPr>
        <w:pStyle w:val="Style5"/>
        <w:keepNext w:val="0"/>
        <w:keepLines w:val="0"/>
        <w:widowControl w:val="0"/>
        <w:numPr>
          <w:ilvl w:val="0"/>
          <w:numId w:val="89"/>
        </w:numPr>
        <w:shd w:val="clear" w:color="auto" w:fill="auto"/>
        <w:tabs>
          <w:tab w:pos="1184" w:val="left"/>
        </w:tabs>
        <w:bidi w:val="0"/>
        <w:spacing w:before="0" w:after="240" w:line="312" w:lineRule="exact"/>
        <w:ind w:left="720" w:right="0" w:firstLine="0"/>
        <w:jc w:val="both"/>
        <w:rPr>
          <w:sz w:val="22"/>
          <w:szCs w:val="22"/>
        </w:rPr>
      </w:pPr>
      <w:bookmarkStart w:id="890" w:name="bookmark890"/>
      <w:bookmarkEnd w:id="890"/>
      <w:r>
        <w:rPr>
          <w:color w:val="000000"/>
          <w:spacing w:val="0"/>
          <w:w w:val="100"/>
          <w:position w:val="0"/>
          <w:sz w:val="22"/>
          <w:szCs w:val="22"/>
        </w:rPr>
        <w:t>定期复核使用寿命和摊销方法</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本集团对使用寿命有限的无形资产的预计使用寿命及摊销方法于每年年度终了进行复核， 必要时进行调整。</w:t>
      </w:r>
    </w:p>
    <w:p>
      <w:pPr>
        <w:pStyle w:val="Style5"/>
        <w:keepNext w:val="0"/>
        <w:keepLines w:val="0"/>
        <w:widowControl w:val="0"/>
        <w:numPr>
          <w:ilvl w:val="0"/>
          <w:numId w:val="89"/>
        </w:numPr>
        <w:shd w:val="clear" w:color="auto" w:fill="auto"/>
        <w:tabs>
          <w:tab w:pos="1184" w:val="left"/>
        </w:tabs>
        <w:bidi w:val="0"/>
        <w:spacing w:before="0" w:after="240" w:line="271" w:lineRule="auto"/>
        <w:ind w:left="720" w:right="0" w:firstLine="0"/>
        <w:jc w:val="both"/>
        <w:rPr>
          <w:sz w:val="22"/>
          <w:szCs w:val="22"/>
        </w:rPr>
      </w:pPr>
      <w:bookmarkStart w:id="891" w:name="bookmark891"/>
      <w:bookmarkEnd w:id="891"/>
      <w:r>
        <w:rPr>
          <w:color w:val="000000"/>
          <w:spacing w:val="0"/>
          <w:w w:val="100"/>
          <w:position w:val="0"/>
          <w:sz w:val="22"/>
          <w:szCs w:val="22"/>
        </w:rPr>
        <w:t>无形资产减值</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当无形资产的可收回金额低于其账面价值时，账面价值减记至可收回金额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附注三</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w:t>
      </w:r>
    </w:p>
    <w:p>
      <w:pPr>
        <w:pStyle w:val="Style5"/>
        <w:keepNext w:val="0"/>
        <w:keepLines w:val="0"/>
        <w:widowControl w:val="0"/>
        <w:numPr>
          <w:ilvl w:val="0"/>
          <w:numId w:val="89"/>
        </w:numPr>
        <w:shd w:val="clear" w:color="auto" w:fill="auto"/>
        <w:tabs>
          <w:tab w:pos="1184" w:val="left"/>
        </w:tabs>
        <w:bidi w:val="0"/>
        <w:spacing w:before="0" w:after="240" w:line="271" w:lineRule="auto"/>
        <w:ind w:left="720" w:right="0" w:firstLine="0"/>
        <w:jc w:val="both"/>
        <w:rPr>
          <w:sz w:val="22"/>
          <w:szCs w:val="22"/>
        </w:rPr>
      </w:pPr>
      <w:bookmarkStart w:id="892" w:name="bookmark892"/>
      <w:bookmarkEnd w:id="892"/>
      <w:r>
        <w:rPr>
          <w:color w:val="000000"/>
          <w:spacing w:val="0"/>
          <w:w w:val="100"/>
          <w:position w:val="0"/>
          <w:sz w:val="22"/>
          <w:szCs w:val="22"/>
        </w:rPr>
        <w:t>内部研究开发支出</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研究阶段的支出，于发生时计入当期损益。</w:t>
      </w:r>
    </w:p>
    <w:p>
      <w:pPr>
        <w:pStyle w:val="Style5"/>
        <w:keepNext w:val="0"/>
        <w:keepLines w:val="0"/>
        <w:widowControl w:val="0"/>
        <w:shd w:val="clear" w:color="auto" w:fill="auto"/>
        <w:bidi w:val="0"/>
        <w:spacing w:before="0" w:after="300" w:line="302" w:lineRule="exact"/>
        <w:ind w:left="720" w:right="0" w:firstLine="0"/>
        <w:jc w:val="both"/>
        <w:rPr>
          <w:sz w:val="22"/>
          <w:szCs w:val="22"/>
        </w:rPr>
      </w:pPr>
      <w:r>
        <w:rPr>
          <w:color w:val="000000"/>
          <w:spacing w:val="0"/>
          <w:w w:val="100"/>
          <w:position w:val="0"/>
          <w:sz w:val="22"/>
          <w:szCs w:val="22"/>
        </w:rPr>
        <w:t>开发阶段的支出同时满足下列条件的，确认为无形资产，不能满足下述条件的开发阶段的 支出计入当期损益：</w:t>
      </w:r>
    </w:p>
    <w:p>
      <w:pPr>
        <w:pStyle w:val="Style5"/>
        <w:keepNext w:val="0"/>
        <w:keepLines w:val="0"/>
        <w:widowControl w:val="0"/>
        <w:numPr>
          <w:ilvl w:val="0"/>
          <w:numId w:val="91"/>
        </w:numPr>
        <w:shd w:val="clear" w:color="auto" w:fill="auto"/>
        <w:tabs>
          <w:tab w:pos="1184" w:val="left"/>
        </w:tabs>
        <w:bidi w:val="0"/>
        <w:spacing w:before="0" w:after="0" w:line="312" w:lineRule="exact"/>
        <w:ind w:left="720" w:right="0" w:firstLine="0"/>
        <w:jc w:val="both"/>
        <w:rPr>
          <w:sz w:val="22"/>
          <w:szCs w:val="22"/>
        </w:rPr>
      </w:pPr>
      <w:bookmarkStart w:id="893" w:name="bookmark893"/>
      <w:bookmarkEnd w:id="893"/>
      <w:r>
        <w:rPr>
          <w:color w:val="000000"/>
          <w:spacing w:val="0"/>
          <w:w w:val="100"/>
          <w:position w:val="0"/>
          <w:sz w:val="22"/>
          <w:szCs w:val="22"/>
        </w:rPr>
        <w:t>完成该无形资产以使其能够使用或出售在技术上具有可行性；</w:t>
      </w:r>
    </w:p>
    <w:p>
      <w:pPr>
        <w:pStyle w:val="Style5"/>
        <w:keepNext w:val="0"/>
        <w:keepLines w:val="0"/>
        <w:widowControl w:val="0"/>
        <w:numPr>
          <w:ilvl w:val="0"/>
          <w:numId w:val="91"/>
        </w:numPr>
        <w:shd w:val="clear" w:color="auto" w:fill="auto"/>
        <w:tabs>
          <w:tab w:pos="1184" w:val="left"/>
        </w:tabs>
        <w:bidi w:val="0"/>
        <w:spacing w:before="0" w:after="0" w:line="331" w:lineRule="exact"/>
        <w:ind w:left="720" w:right="0" w:firstLine="0"/>
        <w:jc w:val="both"/>
        <w:rPr>
          <w:sz w:val="22"/>
          <w:szCs w:val="22"/>
        </w:rPr>
      </w:pPr>
      <w:bookmarkStart w:id="894" w:name="bookmark894"/>
      <w:bookmarkEnd w:id="894"/>
      <w:r>
        <w:rPr>
          <w:color w:val="000000"/>
          <w:spacing w:val="0"/>
          <w:w w:val="100"/>
          <w:position w:val="0"/>
          <w:sz w:val="22"/>
          <w:szCs w:val="22"/>
        </w:rPr>
        <w:t>具有完成该无形资产并使用或出售的意图；</w:t>
      </w:r>
    </w:p>
    <w:p>
      <w:pPr>
        <w:pStyle w:val="Style5"/>
        <w:keepNext w:val="0"/>
        <w:keepLines w:val="0"/>
        <w:widowControl w:val="0"/>
        <w:numPr>
          <w:ilvl w:val="0"/>
          <w:numId w:val="91"/>
        </w:numPr>
        <w:shd w:val="clear" w:color="auto" w:fill="auto"/>
        <w:tabs>
          <w:tab w:pos="1184" w:val="left"/>
        </w:tabs>
        <w:bidi w:val="0"/>
        <w:spacing w:before="0" w:after="0" w:line="331" w:lineRule="exact"/>
        <w:ind w:left="1260" w:right="0" w:hanging="540"/>
        <w:jc w:val="both"/>
        <w:rPr>
          <w:sz w:val="22"/>
          <w:szCs w:val="22"/>
        </w:rPr>
      </w:pPr>
      <w:bookmarkStart w:id="895" w:name="bookmark895"/>
      <w:bookmarkEnd w:id="895"/>
      <w:r>
        <w:rPr>
          <w:color w:val="000000"/>
          <w:spacing w:val="0"/>
          <w:w w:val="100"/>
          <w:position w:val="0"/>
          <w:sz w:val="22"/>
          <w:szCs w:val="22"/>
        </w:rPr>
        <w:t>无形资产产生经济利益的方式，包括能够证明运用该无形资产生产的产品存在市场或 无形资产自身存在市场，无形资产将在内部使用的，能够证明其有用性；</w:t>
      </w:r>
    </w:p>
    <w:p>
      <w:pPr>
        <w:pStyle w:val="Style5"/>
        <w:keepNext w:val="0"/>
        <w:keepLines w:val="0"/>
        <w:widowControl w:val="0"/>
        <w:numPr>
          <w:ilvl w:val="0"/>
          <w:numId w:val="91"/>
        </w:numPr>
        <w:shd w:val="clear" w:color="auto" w:fill="auto"/>
        <w:tabs>
          <w:tab w:pos="1184" w:val="left"/>
        </w:tabs>
        <w:bidi w:val="0"/>
        <w:spacing w:before="0" w:after="0" w:line="302" w:lineRule="exact"/>
        <w:ind w:left="1260" w:right="0" w:hanging="540"/>
        <w:jc w:val="both"/>
        <w:rPr>
          <w:sz w:val="22"/>
          <w:szCs w:val="22"/>
        </w:rPr>
      </w:pPr>
      <w:bookmarkStart w:id="896" w:name="bookmark896"/>
      <w:bookmarkEnd w:id="896"/>
      <w:r>
        <w:rPr>
          <w:color w:val="000000"/>
          <w:spacing w:val="0"/>
          <w:w w:val="100"/>
          <w:position w:val="0"/>
          <w:sz w:val="22"/>
          <w:szCs w:val="22"/>
        </w:rPr>
        <w:t>有足够的技术、财务资源和其他资源支持，以完成该无形资产的开发，并有能力使用 或出售该无形资产；</w:t>
      </w:r>
    </w:p>
    <w:p>
      <w:pPr>
        <w:pStyle w:val="Style5"/>
        <w:keepNext w:val="0"/>
        <w:keepLines w:val="0"/>
        <w:widowControl w:val="0"/>
        <w:numPr>
          <w:ilvl w:val="0"/>
          <w:numId w:val="91"/>
        </w:numPr>
        <w:shd w:val="clear" w:color="auto" w:fill="auto"/>
        <w:tabs>
          <w:tab w:pos="1184" w:val="left"/>
        </w:tabs>
        <w:bidi w:val="0"/>
        <w:spacing w:before="0" w:after="240" w:line="302" w:lineRule="exact"/>
        <w:ind w:left="720" w:right="0" w:firstLine="0"/>
        <w:jc w:val="both"/>
        <w:rPr>
          <w:sz w:val="22"/>
          <w:szCs w:val="22"/>
        </w:rPr>
      </w:pPr>
      <w:bookmarkStart w:id="897" w:name="bookmark897"/>
      <w:bookmarkEnd w:id="897"/>
      <w:r>
        <w:rPr>
          <w:color w:val="000000"/>
          <w:spacing w:val="0"/>
          <w:w w:val="100"/>
          <w:position w:val="0"/>
          <w:sz w:val="22"/>
          <w:szCs w:val="22"/>
        </w:rPr>
        <w:t>归属于该无形资产开发阶段的支出能够可靠地计量。</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无法区分研究阶段支出和开发阶段支出的，将发生的研发支出全部计入当期损益。内部开 发活动形成的无形资产的成本仅包括满足资本化条件的时点至无形资产达到预定用途前发 生的支出总额，对于同一项无形资产在开发过程中达到资本化条件之前已经费用化计入损 益的支出不再进行调整。</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5" w:val="left"/>
        </w:tabs>
        <w:bidi w:val="0"/>
        <w:spacing w:before="0" w:after="30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5" w:val="left"/>
        </w:tabs>
        <w:bidi w:val="0"/>
        <w:spacing w:before="0" w:after="260" w:line="271" w:lineRule="auto"/>
        <w:ind w:left="0" w:right="0" w:firstLine="0"/>
        <w:jc w:val="both"/>
        <w:rPr>
          <w:sz w:val="22"/>
          <w:szCs w:val="22"/>
        </w:rPr>
      </w:pPr>
      <w:bookmarkStart w:id="898" w:name="bookmark898"/>
      <w:r>
        <w:rPr>
          <w:rFonts w:ascii="Times New Roman" w:eastAsia="Times New Roman" w:hAnsi="Times New Roman" w:cs="Times New Roman"/>
          <w:color w:val="000000"/>
          <w:spacing w:val="0"/>
          <w:w w:val="100"/>
          <w:position w:val="0"/>
          <w:sz w:val="24"/>
          <w:szCs w:val="24"/>
        </w:rPr>
        <w:t>1</w:t>
      </w:r>
      <w:bookmarkEnd w:id="898"/>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tab/>
        <w:t>长期待摊费用</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长期待摊费用主要包括以下已经发生但应由本期和以后各期负担的摊销期限在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不 含</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的各项费用，按预计受益期间分期平均摊销，并以实际支出减去累计摊销后的净额 列示。</w:t>
      </w:r>
    </w:p>
    <w:p>
      <w:pPr>
        <w:pStyle w:val="Style5"/>
        <w:keepNext w:val="0"/>
        <w:keepLines w:val="0"/>
        <w:widowControl w:val="0"/>
        <w:shd w:val="clear" w:color="auto" w:fill="auto"/>
        <w:tabs>
          <w:tab w:pos="1267" w:val="left"/>
        </w:tabs>
        <w:bidi w:val="0"/>
        <w:spacing w:before="0" w:after="260" w:line="312" w:lineRule="exact"/>
        <w:ind w:left="1260" w:right="0" w:hanging="540"/>
        <w:jc w:val="both"/>
        <w:rPr>
          <w:sz w:val="22"/>
          <w:szCs w:val="22"/>
        </w:rPr>
      </w:pPr>
      <w:bookmarkStart w:id="899" w:name="bookmark899"/>
      <w:r>
        <w:rPr>
          <w:rFonts w:ascii="Times New Roman" w:eastAsia="Times New Roman" w:hAnsi="Times New Roman" w:cs="Times New Roman"/>
          <w:color w:val="000000"/>
          <w:spacing w:val="0"/>
          <w:w w:val="100"/>
          <w:position w:val="0"/>
          <w:sz w:val="24"/>
          <w:szCs w:val="24"/>
        </w:rPr>
        <w:t>（</w:t>
      </w:r>
      <w:bookmarkEnd w:id="899"/>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2"/>
          <w:szCs w:val="22"/>
        </w:rPr>
        <w:t>租入固定资产改良主要指本集团采用租赁方式租入办公或经营用房等发生的装修等改 良支出，按租期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租期一般为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与预期受益期限孰短以直线法平均摊销；</w:t>
      </w:r>
    </w:p>
    <w:p>
      <w:pPr>
        <w:pStyle w:val="Style5"/>
        <w:keepNext w:val="0"/>
        <w:keepLines w:val="0"/>
        <w:widowControl w:val="0"/>
        <w:shd w:val="clear" w:color="auto" w:fill="auto"/>
        <w:tabs>
          <w:tab w:pos="1267" w:val="left"/>
        </w:tabs>
        <w:bidi w:val="0"/>
        <w:spacing w:before="0" w:after="260" w:line="317" w:lineRule="exact"/>
        <w:ind w:left="1260" w:right="0" w:hanging="540"/>
        <w:jc w:val="both"/>
        <w:rPr>
          <w:sz w:val="22"/>
          <w:szCs w:val="22"/>
        </w:rPr>
      </w:pPr>
      <w:bookmarkStart w:id="900" w:name="bookmark900"/>
      <w:r>
        <w:rPr>
          <w:rFonts w:ascii="Times New Roman" w:eastAsia="Times New Roman" w:hAnsi="Times New Roman" w:cs="Times New Roman"/>
          <w:color w:val="000000"/>
          <w:spacing w:val="0"/>
          <w:w w:val="100"/>
          <w:position w:val="0"/>
          <w:sz w:val="24"/>
          <w:szCs w:val="24"/>
        </w:rPr>
        <w:t>（</w:t>
      </w:r>
      <w:bookmarkEnd w:id="900"/>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2"/>
          <w:szCs w:val="22"/>
        </w:rPr>
        <w:t xml:space="preserve">外市电引入是本集团在网络建设过程中，与地方的供电部门共同建设的电力输送设施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本集团对此类资产只拥有使用权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，该等设施一般以直线法于</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年内平均摊销；</w:t>
      </w:r>
    </w:p>
    <w:p>
      <w:pPr>
        <w:pStyle w:val="Style5"/>
        <w:keepNext w:val="0"/>
        <w:keepLines w:val="0"/>
        <w:widowControl w:val="0"/>
        <w:shd w:val="clear" w:color="auto" w:fill="auto"/>
        <w:tabs>
          <w:tab w:pos="1267" w:val="left"/>
        </w:tabs>
        <w:bidi w:val="0"/>
        <w:spacing w:before="0" w:after="300" w:line="312" w:lineRule="exact"/>
        <w:ind w:left="1260" w:right="0" w:hanging="540"/>
        <w:jc w:val="both"/>
        <w:rPr>
          <w:sz w:val="22"/>
          <w:szCs w:val="22"/>
        </w:rPr>
      </w:pPr>
      <w:bookmarkStart w:id="901" w:name="bookmark901"/>
      <w:r>
        <w:rPr>
          <w:rFonts w:ascii="Times New Roman" w:eastAsia="Times New Roman" w:hAnsi="Times New Roman" w:cs="Times New Roman"/>
          <w:color w:val="000000"/>
          <w:spacing w:val="0"/>
          <w:w w:val="100"/>
          <w:position w:val="0"/>
          <w:sz w:val="24"/>
          <w:szCs w:val="24"/>
        </w:rPr>
        <w:t>（</w:t>
      </w:r>
      <w:bookmarkEnd w:id="901"/>
      <w:r>
        <w:rPr>
          <w:rFonts w:ascii="Times New Roman" w:eastAsia="Times New Roman" w:hAnsi="Times New Roman" w:cs="Times New Roman"/>
          <w:color w:val="000000"/>
          <w:spacing w:val="0"/>
          <w:w w:val="100"/>
          <w:position w:val="0"/>
          <w:sz w:val="24"/>
          <w:szCs w:val="24"/>
        </w:rPr>
        <w:t>c）</w:t>
        <w:tab/>
      </w:r>
      <w:r>
        <w:rPr>
          <w:color w:val="000000"/>
          <w:spacing w:val="0"/>
          <w:w w:val="100"/>
          <w:position w:val="0"/>
          <w:sz w:val="22"/>
          <w:szCs w:val="22"/>
        </w:rPr>
        <w:t>长期预付线路服务费指使用通信线路所预付的超过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年的服务支出，以直线法于服务 期内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一般为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平均摊销。</w:t>
      </w:r>
    </w:p>
    <w:p>
      <w:pPr>
        <w:pStyle w:val="Style5"/>
        <w:keepNext w:val="0"/>
        <w:keepLines w:val="0"/>
        <w:widowControl w:val="0"/>
        <w:shd w:val="clear" w:color="auto" w:fill="auto"/>
        <w:tabs>
          <w:tab w:pos="685" w:val="left"/>
        </w:tabs>
        <w:bidi w:val="0"/>
        <w:spacing w:before="0" w:after="260" w:line="271" w:lineRule="auto"/>
        <w:ind w:left="0" w:right="0" w:firstLine="0"/>
        <w:jc w:val="both"/>
        <w:rPr>
          <w:sz w:val="22"/>
          <w:szCs w:val="22"/>
        </w:rPr>
      </w:pPr>
      <w:bookmarkStart w:id="902" w:name="bookmark902"/>
      <w:r>
        <w:rPr>
          <w:rFonts w:ascii="Times New Roman" w:eastAsia="Times New Roman" w:hAnsi="Times New Roman" w:cs="Times New Roman"/>
          <w:color w:val="000000"/>
          <w:spacing w:val="0"/>
          <w:w w:val="100"/>
          <w:position w:val="0"/>
          <w:sz w:val="24"/>
          <w:szCs w:val="24"/>
        </w:rPr>
        <w:t>1</w:t>
      </w:r>
      <w:bookmarkEnd w:id="902"/>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w:t>
        <w:tab/>
        <w:t>长期资产减值</w:t>
      </w:r>
    </w:p>
    <w:p>
      <w:pPr>
        <w:pStyle w:val="Style5"/>
        <w:keepNext w:val="0"/>
        <w:keepLines w:val="0"/>
        <w:widowControl w:val="0"/>
        <w:shd w:val="clear" w:color="auto" w:fill="auto"/>
        <w:bidi w:val="0"/>
        <w:spacing w:before="0" w:after="260" w:line="311" w:lineRule="exact"/>
        <w:ind w:left="720" w:right="0" w:firstLine="0"/>
        <w:jc w:val="both"/>
        <w:rPr>
          <w:sz w:val="22"/>
          <w:szCs w:val="22"/>
        </w:rPr>
      </w:pPr>
      <w:r>
        <w:rPr>
          <w:color w:val="000000"/>
          <w:spacing w:val="0"/>
          <w:w w:val="100"/>
          <w:position w:val="0"/>
          <w:sz w:val="22"/>
          <w:szCs w:val="22"/>
        </w:rPr>
        <w:t>固定资产、在建工程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含工程物资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、使用权资产、使用寿命有限的无形资产、长期待摊费 用及长期股权投资等，于资产负债表日存在减值迹象的，进行减值测试。减值测试结果表 明资产的可收回金额低于其账面价值的，按其差额计提减值准备并计入减值损失。可收回 金额为资产的公允价值减去处置费用后的净额与资产预计未来现金流量的现值两者之间的 较高者。资产减值准备按单项资产为基础计算并确认，如果难以对单项资产的可收回金额 进行估计的，以该资产所属的资产组确定资产组的可收回金额。资产组由产生现金流入相 关的资产组成，是可以认定的最小资产组合，其产生的现金流入基本上独立于其他资产或 资产组。</w:t>
      </w:r>
    </w:p>
    <w:p>
      <w:pPr>
        <w:pStyle w:val="Style5"/>
        <w:keepNext w:val="0"/>
        <w:keepLines w:val="0"/>
        <w:widowControl w:val="0"/>
        <w:shd w:val="clear" w:color="auto" w:fill="auto"/>
        <w:bidi w:val="0"/>
        <w:spacing w:before="0" w:after="300" w:line="312" w:lineRule="exact"/>
        <w:ind w:left="0" w:right="0" w:firstLine="720"/>
        <w:jc w:val="left"/>
        <w:rPr>
          <w:sz w:val="22"/>
          <w:szCs w:val="22"/>
        </w:rPr>
      </w:pPr>
      <w:r>
        <w:rPr>
          <w:color w:val="000000"/>
          <w:spacing w:val="0"/>
          <w:w w:val="100"/>
          <w:position w:val="0"/>
          <w:sz w:val="22"/>
          <w:szCs w:val="22"/>
        </w:rPr>
        <w:t>上述资产减值损失一经确认，以后期间不予转回。</w:t>
      </w:r>
    </w:p>
    <w:p>
      <w:pPr>
        <w:pStyle w:val="Style5"/>
        <w:keepNext w:val="0"/>
        <w:keepLines w:val="0"/>
        <w:widowControl w:val="0"/>
        <w:shd w:val="clear" w:color="auto" w:fill="auto"/>
        <w:tabs>
          <w:tab w:pos="685" w:val="left"/>
        </w:tabs>
        <w:bidi w:val="0"/>
        <w:spacing w:before="0" w:after="260" w:line="271" w:lineRule="auto"/>
        <w:ind w:left="0" w:right="0" w:firstLine="0"/>
        <w:jc w:val="both"/>
        <w:rPr>
          <w:sz w:val="22"/>
          <w:szCs w:val="22"/>
        </w:rPr>
      </w:pPr>
      <w:bookmarkStart w:id="903" w:name="bookmark903"/>
      <w:r>
        <w:rPr>
          <w:rFonts w:ascii="Times New Roman" w:eastAsia="Times New Roman" w:hAnsi="Times New Roman" w:cs="Times New Roman"/>
          <w:color w:val="000000"/>
          <w:spacing w:val="0"/>
          <w:w w:val="100"/>
          <w:position w:val="0"/>
          <w:sz w:val="24"/>
          <w:szCs w:val="24"/>
        </w:rPr>
        <w:t>1</w:t>
      </w:r>
      <w:bookmarkEnd w:id="903"/>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w:t>
        <w:tab/>
        <w:t>预收款项</w:t>
      </w:r>
    </w:p>
    <w:p>
      <w:pPr>
        <w:pStyle w:val="Style5"/>
        <w:keepNext w:val="0"/>
        <w:keepLines w:val="0"/>
        <w:widowControl w:val="0"/>
        <w:shd w:val="clear" w:color="auto" w:fill="auto"/>
        <w:bidi w:val="0"/>
        <w:spacing w:before="0" w:after="300" w:line="317" w:lineRule="exact"/>
        <w:ind w:left="720" w:right="0" w:firstLine="0"/>
        <w:jc w:val="both"/>
        <w:rPr>
          <w:sz w:val="22"/>
          <w:szCs w:val="22"/>
        </w:rPr>
      </w:pPr>
      <w:r>
        <w:rPr>
          <w:color w:val="000000"/>
          <w:spacing w:val="0"/>
          <w:w w:val="100"/>
          <w:position w:val="0"/>
          <w:sz w:val="22"/>
          <w:szCs w:val="22"/>
        </w:rPr>
        <w:t>预收款项主要指预收的房屋租金，根据于合同生效日期开始已收取的租金减去于各期间已 在利润表中确认的租赁收入后的余额列示。</w:t>
      </w:r>
    </w:p>
    <w:p>
      <w:pPr>
        <w:pStyle w:val="Style5"/>
        <w:keepNext w:val="0"/>
        <w:keepLines w:val="0"/>
        <w:widowControl w:val="0"/>
        <w:shd w:val="clear" w:color="auto" w:fill="auto"/>
        <w:tabs>
          <w:tab w:pos="685" w:val="left"/>
        </w:tabs>
        <w:bidi w:val="0"/>
        <w:spacing w:before="0" w:after="260" w:line="271" w:lineRule="auto"/>
        <w:ind w:left="0" w:right="0" w:firstLine="0"/>
        <w:jc w:val="both"/>
        <w:rPr>
          <w:sz w:val="22"/>
          <w:szCs w:val="22"/>
        </w:rPr>
      </w:pPr>
      <w:bookmarkStart w:id="904" w:name="bookmark904"/>
      <w:r>
        <w:rPr>
          <w:rFonts w:ascii="Times New Roman" w:eastAsia="Times New Roman" w:hAnsi="Times New Roman" w:cs="Times New Roman"/>
          <w:color w:val="000000"/>
          <w:spacing w:val="0"/>
          <w:w w:val="100"/>
          <w:position w:val="0"/>
          <w:sz w:val="24"/>
          <w:szCs w:val="24"/>
        </w:rPr>
        <w:t>1</w:t>
      </w:r>
      <w:bookmarkEnd w:id="904"/>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职工薪酬</w:t>
      </w:r>
    </w:p>
    <w:p>
      <w:pPr>
        <w:pStyle w:val="Style5"/>
        <w:keepNext w:val="0"/>
        <w:keepLines w:val="0"/>
        <w:widowControl w:val="0"/>
        <w:shd w:val="clear" w:color="auto" w:fill="auto"/>
        <w:bidi w:val="0"/>
        <w:spacing w:before="0" w:after="260" w:line="271" w:lineRule="auto"/>
        <w:ind w:left="720" w:right="0" w:firstLine="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短期薪酬</w:t>
      </w:r>
    </w:p>
    <w:p>
      <w:pPr>
        <w:pStyle w:val="Style5"/>
        <w:keepNext w:val="0"/>
        <w:keepLines w:val="0"/>
        <w:widowControl w:val="0"/>
        <w:shd w:val="clear" w:color="auto" w:fill="auto"/>
        <w:bidi w:val="0"/>
        <w:spacing w:before="0" w:after="260" w:line="314" w:lineRule="exact"/>
        <w:ind w:left="720" w:right="0" w:firstLine="0"/>
        <w:jc w:val="both"/>
        <w:rPr>
          <w:sz w:val="22"/>
          <w:szCs w:val="22"/>
        </w:rPr>
      </w:pPr>
      <w:r>
        <w:rPr>
          <w:color w:val="000000"/>
          <w:spacing w:val="0"/>
          <w:w w:val="100"/>
          <w:position w:val="0"/>
          <w:sz w:val="22"/>
          <w:szCs w:val="22"/>
        </w:rPr>
        <w:t>本集团在职工提供服务的会计期间，将实际发生或按规定的基准和比例计提的职工工资、 奖金、医疗保险费、工伤保险费和生育保险费等社会保险费和住房公积金以及其他短期薪 酬确认为负债，并计入当期损益或相关资产成本。</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701" w:val="left"/>
        </w:tabs>
        <w:bidi w:val="0"/>
        <w:spacing w:before="0" w:after="260" w:line="310"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01" w:val="left"/>
        </w:tabs>
        <w:bidi w:val="0"/>
        <w:spacing w:before="0" w:after="260" w:line="269" w:lineRule="auto"/>
        <w:ind w:left="0" w:right="0" w:firstLine="0"/>
        <w:jc w:val="both"/>
        <w:rPr>
          <w:sz w:val="22"/>
          <w:szCs w:val="22"/>
        </w:rPr>
      </w:pPr>
      <w:bookmarkStart w:id="905" w:name="bookmark905"/>
      <w:r>
        <w:rPr>
          <w:rFonts w:ascii="Times New Roman" w:eastAsia="Times New Roman" w:hAnsi="Times New Roman" w:cs="Times New Roman"/>
          <w:color w:val="000000"/>
          <w:spacing w:val="0"/>
          <w:w w:val="100"/>
          <w:position w:val="0"/>
          <w:sz w:val="24"/>
          <w:szCs w:val="24"/>
        </w:rPr>
        <w:t>1</w:t>
      </w:r>
      <w:bookmarkEnd w:id="905"/>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职工薪酬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93"/>
        </w:numPr>
        <w:shd w:val="clear" w:color="auto" w:fill="auto"/>
        <w:tabs>
          <w:tab w:pos="1199" w:val="left"/>
        </w:tabs>
        <w:bidi w:val="0"/>
        <w:spacing w:before="0" w:after="260" w:line="310" w:lineRule="exact"/>
        <w:ind w:left="0" w:right="0" w:firstLine="740"/>
        <w:jc w:val="both"/>
        <w:rPr>
          <w:sz w:val="22"/>
          <w:szCs w:val="22"/>
        </w:rPr>
      </w:pPr>
      <w:bookmarkStart w:id="906" w:name="bookmark906"/>
      <w:bookmarkEnd w:id="906"/>
      <w:r>
        <w:rPr>
          <w:color w:val="000000"/>
          <w:spacing w:val="0"/>
          <w:w w:val="100"/>
          <w:position w:val="0"/>
          <w:sz w:val="22"/>
          <w:szCs w:val="22"/>
        </w:rPr>
        <w:t>离职后福利</w:t>
      </w:r>
      <w:r>
        <w:rPr>
          <w:color w:val="000000"/>
          <w:spacing w:val="0"/>
          <w:w w:val="100"/>
          <w:position w:val="0"/>
          <w:sz w:val="24"/>
          <w:szCs w:val="24"/>
        </w:rPr>
        <w:t>一</w:t>
      </w:r>
      <w:r>
        <w:rPr>
          <w:color w:val="000000"/>
          <w:spacing w:val="0"/>
          <w:w w:val="100"/>
          <w:position w:val="0"/>
          <w:sz w:val="22"/>
          <w:szCs w:val="22"/>
        </w:rPr>
        <w:t>设定提存计划</w:t>
      </w:r>
    </w:p>
    <w:p>
      <w:pPr>
        <w:pStyle w:val="Style5"/>
        <w:keepNext w:val="0"/>
        <w:keepLines w:val="0"/>
        <w:widowControl w:val="0"/>
        <w:shd w:val="clear" w:color="auto" w:fill="auto"/>
        <w:bidi w:val="0"/>
        <w:spacing w:before="0" w:after="260" w:line="310" w:lineRule="exact"/>
        <w:ind w:left="740" w:right="0" w:firstLine="0"/>
        <w:jc w:val="both"/>
        <w:rPr>
          <w:sz w:val="22"/>
          <w:szCs w:val="22"/>
        </w:rPr>
      </w:pPr>
      <w:r>
        <w:rPr>
          <w:color w:val="000000"/>
          <w:spacing w:val="0"/>
          <w:w w:val="100"/>
          <w:position w:val="0"/>
          <w:sz w:val="22"/>
          <w:szCs w:val="22"/>
        </w:rPr>
        <w:t>按照中国有关法规要求，本集团职工参加了由政府机构设立管理的社会保障体系中的基本 养老保险。基本养老保险的缴费金额按职工工资的一定比例计算。除此之外，自</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 起，本集团依据国家企业年金制度的相关政策及相关部门的批复建立企业年金计划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年金 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，按照相关职工工资总额一定的比例计提企业年金。本集团在按照国家规定的标准 及企业年金计划定期缴付上述款项后，不再有其他的支付义务。</w:t>
      </w:r>
    </w:p>
    <w:p>
      <w:pPr>
        <w:pStyle w:val="Style5"/>
        <w:keepNext w:val="0"/>
        <w:keepLines w:val="0"/>
        <w:widowControl w:val="0"/>
        <w:numPr>
          <w:ilvl w:val="0"/>
          <w:numId w:val="93"/>
        </w:numPr>
        <w:shd w:val="clear" w:color="auto" w:fill="auto"/>
        <w:tabs>
          <w:tab w:pos="1199" w:val="left"/>
        </w:tabs>
        <w:bidi w:val="0"/>
        <w:spacing w:before="0" w:after="260" w:line="310" w:lineRule="exact"/>
        <w:ind w:left="740" w:right="0" w:firstLine="0"/>
        <w:jc w:val="both"/>
        <w:rPr>
          <w:sz w:val="22"/>
          <w:szCs w:val="22"/>
        </w:rPr>
      </w:pPr>
      <w:bookmarkStart w:id="907" w:name="bookmark907"/>
      <w:bookmarkEnd w:id="907"/>
      <w:r>
        <w:rPr>
          <w:color w:val="000000"/>
          <w:spacing w:val="0"/>
          <w:w w:val="100"/>
          <w:position w:val="0"/>
          <w:sz w:val="22"/>
          <w:szCs w:val="22"/>
        </w:rPr>
        <w:t>离职后福利</w:t>
      </w:r>
      <w:r>
        <w:rPr>
          <w:color w:val="000000"/>
          <w:spacing w:val="0"/>
          <w:w w:val="100"/>
          <w:position w:val="0"/>
          <w:sz w:val="24"/>
          <w:szCs w:val="24"/>
        </w:rPr>
        <w:t>一</w:t>
      </w:r>
      <w:r>
        <w:rPr>
          <w:color w:val="000000"/>
          <w:spacing w:val="0"/>
          <w:w w:val="100"/>
          <w:position w:val="0"/>
          <w:sz w:val="22"/>
          <w:szCs w:val="22"/>
        </w:rPr>
        <w:t>设定受益计划</w:t>
      </w:r>
    </w:p>
    <w:p>
      <w:pPr>
        <w:pStyle w:val="Style5"/>
        <w:keepNext w:val="0"/>
        <w:keepLines w:val="0"/>
        <w:widowControl w:val="0"/>
        <w:shd w:val="clear" w:color="auto" w:fill="auto"/>
        <w:bidi w:val="0"/>
        <w:spacing w:before="0" w:after="0" w:line="319" w:lineRule="exact"/>
        <w:ind w:left="740" w:right="0" w:firstLine="0"/>
        <w:jc w:val="both"/>
        <w:rPr>
          <w:sz w:val="22"/>
          <w:szCs w:val="22"/>
        </w:rPr>
      </w:pPr>
      <w:r>
        <w:rPr>
          <w:color w:val="000000"/>
          <w:spacing w:val="0"/>
          <w:w w:val="100"/>
          <w:position w:val="0"/>
          <w:sz w:val="22"/>
          <w:szCs w:val="22"/>
        </w:rPr>
        <w:t>本集团所属个别子公司亦向其职工提供其他离退休后补充福利，主要包括补充退休金津</w:t>
      </w:r>
    </w:p>
    <w:p>
      <w:pPr>
        <w:pStyle w:val="Style5"/>
        <w:keepNext w:val="0"/>
        <w:keepLines w:val="0"/>
        <w:widowControl w:val="0"/>
        <w:shd w:val="clear" w:color="auto" w:fill="auto"/>
        <w:bidi w:val="0"/>
        <w:spacing w:before="0" w:after="260" w:line="319" w:lineRule="exact"/>
        <w:ind w:left="740" w:right="0" w:firstLine="0"/>
        <w:jc w:val="both"/>
        <w:rPr>
          <w:sz w:val="22"/>
          <w:szCs w:val="22"/>
        </w:rPr>
      </w:pPr>
      <w:r>
        <w:rPr>
          <w:color w:val="000000"/>
          <w:spacing w:val="0"/>
          <w:w w:val="100"/>
          <w:position w:val="0"/>
          <w:sz w:val="22"/>
          <w:szCs w:val="22"/>
        </w:rPr>
        <w:t>贝占，医药费用报销及补充医疗保险，该等离退休后补充福利被视为设定受益计划，按其于 资产负债表日的现值被确认为负债，列示于资产负债表长期应付职工薪酬及应付职工薪酬 项下。</w:t>
      </w:r>
    </w:p>
    <w:p>
      <w:pPr>
        <w:pStyle w:val="Style5"/>
        <w:keepNext w:val="0"/>
        <w:keepLines w:val="0"/>
        <w:widowControl w:val="0"/>
        <w:shd w:val="clear" w:color="auto" w:fill="auto"/>
        <w:bidi w:val="0"/>
        <w:spacing w:before="0" w:after="320" w:line="310" w:lineRule="exact"/>
        <w:ind w:left="740" w:right="0" w:firstLine="0"/>
        <w:jc w:val="both"/>
        <w:rPr>
          <w:sz w:val="22"/>
          <w:szCs w:val="22"/>
        </w:rPr>
      </w:pPr>
      <w:r>
        <w:rPr>
          <w:color w:val="000000"/>
          <w:spacing w:val="0"/>
          <w:w w:val="100"/>
          <w:position w:val="0"/>
          <w:sz w:val="22"/>
          <w:szCs w:val="22"/>
        </w:rPr>
        <w:t>本集团将设定受益计划产生的福利义务归属于职工提供服务的期间，对属于服务成本和设 定受益计划负债的利息费用计入当期损益或相关资产成本，对属于重新计量设定受益计划 负债所产生的变动计入其他综合收益。</w:t>
      </w:r>
    </w:p>
    <w:p>
      <w:pPr>
        <w:pStyle w:val="Style5"/>
        <w:keepNext w:val="0"/>
        <w:keepLines w:val="0"/>
        <w:widowControl w:val="0"/>
        <w:numPr>
          <w:ilvl w:val="0"/>
          <w:numId w:val="93"/>
        </w:numPr>
        <w:shd w:val="clear" w:color="auto" w:fill="auto"/>
        <w:tabs>
          <w:tab w:pos="1204" w:val="left"/>
        </w:tabs>
        <w:bidi w:val="0"/>
        <w:spacing w:before="0" w:after="260" w:line="269" w:lineRule="auto"/>
        <w:ind w:left="740" w:right="0" w:firstLine="0"/>
        <w:jc w:val="both"/>
        <w:rPr>
          <w:sz w:val="22"/>
          <w:szCs w:val="22"/>
        </w:rPr>
      </w:pPr>
      <w:bookmarkStart w:id="908" w:name="bookmark908"/>
      <w:bookmarkEnd w:id="908"/>
      <w:r>
        <w:rPr>
          <w:color w:val="000000"/>
          <w:spacing w:val="0"/>
          <w:w w:val="100"/>
          <w:position w:val="0"/>
          <w:sz w:val="22"/>
          <w:szCs w:val="22"/>
        </w:rPr>
        <w:t>辞退福利及内退福利</w:t>
      </w:r>
    </w:p>
    <w:p>
      <w:pPr>
        <w:pStyle w:val="Style5"/>
        <w:keepNext w:val="0"/>
        <w:keepLines w:val="0"/>
        <w:widowControl w:val="0"/>
        <w:shd w:val="clear" w:color="auto" w:fill="auto"/>
        <w:bidi w:val="0"/>
        <w:spacing w:before="0" w:after="320" w:line="317" w:lineRule="exact"/>
        <w:ind w:left="740" w:right="0" w:firstLine="0"/>
        <w:jc w:val="both"/>
        <w:rPr>
          <w:sz w:val="22"/>
          <w:szCs w:val="22"/>
        </w:rPr>
      </w:pPr>
      <w:r>
        <w:rPr>
          <w:color w:val="000000"/>
          <w:spacing w:val="0"/>
          <w:w w:val="100"/>
          <w:position w:val="0"/>
          <w:sz w:val="22"/>
          <w:szCs w:val="22"/>
        </w:rPr>
        <w:t>本集团在职工劳动合同到期之前解除与职工的劳动关系、或者为鼓励职工自愿接受裁减而 提出给予补偿的建议，在下列两者孰早日，确认辞退福利产生的负债，同时计入当期费 用：</w:t>
      </w:r>
    </w:p>
    <w:p>
      <w:pPr>
        <w:pStyle w:val="Style5"/>
        <w:keepNext w:val="0"/>
        <w:keepLines w:val="0"/>
        <w:widowControl w:val="0"/>
        <w:numPr>
          <w:ilvl w:val="0"/>
          <w:numId w:val="63"/>
        </w:numPr>
        <w:shd w:val="clear" w:color="auto" w:fill="auto"/>
        <w:tabs>
          <w:tab w:pos="1163" w:val="left"/>
        </w:tabs>
        <w:bidi w:val="0"/>
        <w:spacing w:before="0" w:after="0" w:line="310" w:lineRule="exact"/>
        <w:ind w:left="740" w:right="0" w:firstLine="0"/>
        <w:jc w:val="both"/>
        <w:rPr>
          <w:sz w:val="22"/>
          <w:szCs w:val="22"/>
        </w:rPr>
      </w:pPr>
      <w:bookmarkStart w:id="909" w:name="bookmark909"/>
      <w:bookmarkEnd w:id="909"/>
      <w:r>
        <w:rPr>
          <w:color w:val="000000"/>
          <w:spacing w:val="0"/>
          <w:w w:val="100"/>
          <w:position w:val="0"/>
          <w:sz w:val="22"/>
          <w:szCs w:val="22"/>
        </w:rPr>
        <w:t>本集团不能单方面撤回因解除劳动关系计划或裁减建议所提供的辞退福利时；</w:t>
      </w:r>
    </w:p>
    <w:p>
      <w:pPr>
        <w:pStyle w:val="Style5"/>
        <w:keepNext w:val="0"/>
        <w:keepLines w:val="0"/>
        <w:widowControl w:val="0"/>
        <w:numPr>
          <w:ilvl w:val="0"/>
          <w:numId w:val="63"/>
        </w:numPr>
        <w:shd w:val="clear" w:color="auto" w:fill="auto"/>
        <w:tabs>
          <w:tab w:pos="1163" w:val="left"/>
        </w:tabs>
        <w:bidi w:val="0"/>
        <w:spacing w:before="0" w:after="260" w:line="310" w:lineRule="exact"/>
        <w:ind w:left="740" w:right="0" w:firstLine="0"/>
        <w:jc w:val="both"/>
        <w:rPr>
          <w:sz w:val="22"/>
          <w:szCs w:val="22"/>
        </w:rPr>
      </w:pPr>
      <w:bookmarkStart w:id="910" w:name="bookmark910"/>
      <w:bookmarkEnd w:id="910"/>
      <w:r>
        <w:rPr>
          <w:color w:val="000000"/>
          <w:spacing w:val="0"/>
          <w:w w:val="100"/>
          <w:position w:val="0"/>
          <w:sz w:val="22"/>
          <w:szCs w:val="22"/>
        </w:rPr>
        <w:t>本集团确认与涉及支付辞退福利的重组相关的成本或费用时。</w:t>
      </w:r>
    </w:p>
    <w:p>
      <w:pPr>
        <w:pStyle w:val="Style5"/>
        <w:keepNext w:val="0"/>
        <w:keepLines w:val="0"/>
        <w:widowControl w:val="0"/>
        <w:shd w:val="clear" w:color="auto" w:fill="auto"/>
        <w:bidi w:val="0"/>
        <w:spacing w:before="0" w:after="320" w:line="310" w:lineRule="exact"/>
        <w:ind w:left="740" w:right="0" w:firstLine="0"/>
        <w:jc w:val="both"/>
        <w:rPr>
          <w:sz w:val="22"/>
          <w:szCs w:val="22"/>
        </w:rPr>
      </w:pPr>
      <w:r>
        <w:rPr>
          <w:color w:val="000000"/>
          <w:spacing w:val="0"/>
          <w:w w:val="100"/>
          <w:position w:val="0"/>
          <w:sz w:val="22"/>
          <w:szCs w:val="22"/>
        </w:rPr>
        <w:t>本集团向接受内部退休安排的职工提供内退福利。内退福利是指，向未达到国家规定的退 休年龄、经本集团管理层批准自愿退出工作岗位的职工支付的工资及为其缴纳的社会保险 费等。对于内退福利，本集团按照辞退福利进行会计处理。</w:t>
      </w:r>
    </w:p>
    <w:p>
      <w:pPr>
        <w:pStyle w:val="Style5"/>
        <w:keepNext w:val="0"/>
        <w:keepLines w:val="0"/>
        <w:widowControl w:val="0"/>
        <w:shd w:val="clear" w:color="auto" w:fill="auto"/>
        <w:tabs>
          <w:tab w:pos="701" w:val="left"/>
        </w:tabs>
        <w:bidi w:val="0"/>
        <w:spacing w:before="0" w:after="260" w:line="269" w:lineRule="auto"/>
        <w:ind w:left="0" w:right="0" w:firstLine="0"/>
        <w:jc w:val="both"/>
        <w:rPr>
          <w:sz w:val="22"/>
          <w:szCs w:val="22"/>
        </w:rPr>
      </w:pPr>
      <w:bookmarkStart w:id="911" w:name="bookmark911"/>
      <w:r>
        <w:rPr>
          <w:rFonts w:ascii="Times New Roman" w:eastAsia="Times New Roman" w:hAnsi="Times New Roman" w:cs="Times New Roman"/>
          <w:color w:val="000000"/>
          <w:spacing w:val="0"/>
          <w:w w:val="100"/>
          <w:position w:val="0"/>
          <w:sz w:val="24"/>
          <w:szCs w:val="24"/>
        </w:rPr>
        <w:t>2</w:t>
      </w:r>
      <w:bookmarkEnd w:id="911"/>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w:t>
        <w:tab/>
        <w:t>股份支付</w:t>
      </w:r>
    </w:p>
    <w:p>
      <w:pPr>
        <w:pStyle w:val="Style5"/>
        <w:keepNext w:val="0"/>
        <w:keepLines w:val="0"/>
        <w:widowControl w:val="0"/>
        <w:numPr>
          <w:ilvl w:val="0"/>
          <w:numId w:val="95"/>
        </w:numPr>
        <w:shd w:val="clear" w:color="auto" w:fill="auto"/>
        <w:bidi w:val="0"/>
        <w:spacing w:before="0" w:after="260" w:line="269" w:lineRule="auto"/>
        <w:ind w:left="0" w:right="0" w:firstLine="740"/>
        <w:jc w:val="both"/>
        <w:rPr>
          <w:sz w:val="22"/>
          <w:szCs w:val="22"/>
        </w:rPr>
      </w:pPr>
      <w:bookmarkStart w:id="912" w:name="bookmark912"/>
      <w:bookmarkEnd w:id="912"/>
      <w:r>
        <w:rPr>
          <w:color w:val="000000"/>
          <w:spacing w:val="0"/>
          <w:w w:val="100"/>
          <w:position w:val="0"/>
          <w:sz w:val="22"/>
          <w:szCs w:val="22"/>
        </w:rPr>
        <w:t>股份支付的种类</w:t>
      </w:r>
    </w:p>
    <w:p>
      <w:pPr>
        <w:pStyle w:val="Style5"/>
        <w:keepNext w:val="0"/>
        <w:keepLines w:val="0"/>
        <w:widowControl w:val="0"/>
        <w:shd w:val="clear" w:color="auto" w:fill="auto"/>
        <w:bidi w:val="0"/>
        <w:spacing w:before="0" w:after="260" w:line="310" w:lineRule="exact"/>
        <w:ind w:left="0" w:right="0" w:firstLine="740"/>
        <w:jc w:val="both"/>
        <w:rPr>
          <w:sz w:val="22"/>
          <w:szCs w:val="22"/>
        </w:rPr>
      </w:pPr>
      <w:r>
        <w:rPr>
          <w:color w:val="000000"/>
          <w:spacing w:val="0"/>
          <w:w w:val="100"/>
          <w:position w:val="0"/>
          <w:sz w:val="22"/>
          <w:szCs w:val="22"/>
        </w:rPr>
        <w:t>本集团的股份支付为以权益结算的股份支付。</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55" w:val="left"/>
        </w:tabs>
        <w:bidi w:val="0"/>
        <w:spacing w:before="0" w:after="30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55" w:val="left"/>
        </w:tabs>
        <w:bidi w:val="0"/>
        <w:spacing w:before="0" w:after="260" w:line="271" w:lineRule="auto"/>
        <w:ind w:left="0" w:right="0" w:firstLine="0"/>
        <w:jc w:val="both"/>
        <w:rPr>
          <w:sz w:val="22"/>
          <w:szCs w:val="22"/>
        </w:rPr>
      </w:pPr>
      <w:bookmarkStart w:id="913" w:name="bookmark913"/>
      <w:r>
        <w:rPr>
          <w:rFonts w:ascii="Times New Roman" w:eastAsia="Times New Roman" w:hAnsi="Times New Roman" w:cs="Times New Roman"/>
          <w:color w:val="000000"/>
          <w:spacing w:val="0"/>
          <w:w w:val="100"/>
          <w:position w:val="0"/>
          <w:sz w:val="24"/>
          <w:szCs w:val="24"/>
        </w:rPr>
        <w:t>2</w:t>
      </w:r>
      <w:bookmarkEnd w:id="913"/>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w:t>
        <w:tab/>
        <w:t>股份支付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95"/>
        </w:numPr>
        <w:shd w:val="clear" w:color="auto" w:fill="auto"/>
        <w:tabs>
          <w:tab w:pos="1199" w:val="left"/>
        </w:tabs>
        <w:bidi w:val="0"/>
        <w:spacing w:before="0" w:after="260" w:line="312" w:lineRule="exact"/>
        <w:ind w:left="0" w:right="0" w:firstLine="740"/>
        <w:jc w:val="left"/>
        <w:rPr>
          <w:sz w:val="22"/>
          <w:szCs w:val="22"/>
        </w:rPr>
      </w:pPr>
      <w:bookmarkStart w:id="914" w:name="bookmark914"/>
      <w:bookmarkEnd w:id="914"/>
      <w:r>
        <w:rPr>
          <w:color w:val="000000"/>
          <w:spacing w:val="0"/>
          <w:w w:val="100"/>
          <w:position w:val="0"/>
          <w:sz w:val="22"/>
          <w:szCs w:val="22"/>
        </w:rPr>
        <w:t>实施股份支付计划的相关会计处理</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本集团以股份或权益工具作为对价换取职工提供服务时，以授予职工权益工具在授予日的 公允价值计量。对于授予后完成等待期内的服务或达到规定业绩条件才可行权的股份支付 交易，本集团在等待期内的每个资产负债表日，根据最新取得的可行权职工人数变动等后 续信息对可行权权益工具数量作出最佳估计，以此基础按照权益工具授予日的公允价值， 将当期取得的服务计入相关成本或费用，并相应计入资本公积。</w:t>
      </w:r>
    </w:p>
    <w:p>
      <w:pPr>
        <w:pStyle w:val="Style5"/>
        <w:keepNext w:val="0"/>
        <w:keepLines w:val="0"/>
        <w:widowControl w:val="0"/>
        <w:numPr>
          <w:ilvl w:val="0"/>
          <w:numId w:val="95"/>
        </w:numPr>
        <w:shd w:val="clear" w:color="auto" w:fill="auto"/>
        <w:tabs>
          <w:tab w:pos="1199" w:val="left"/>
        </w:tabs>
        <w:bidi w:val="0"/>
        <w:spacing w:before="0" w:after="260" w:line="312" w:lineRule="exact"/>
        <w:ind w:left="0" w:right="0" w:firstLine="740"/>
        <w:jc w:val="left"/>
        <w:rPr>
          <w:sz w:val="22"/>
          <w:szCs w:val="22"/>
        </w:rPr>
      </w:pPr>
      <w:bookmarkStart w:id="915" w:name="bookmark915"/>
      <w:bookmarkEnd w:id="915"/>
      <w:r>
        <w:rPr>
          <w:color w:val="000000"/>
          <w:spacing w:val="0"/>
          <w:w w:val="100"/>
          <w:position w:val="0"/>
          <w:sz w:val="22"/>
          <w:szCs w:val="22"/>
        </w:rPr>
        <w:t>限制性股票回购义务的确认与计量</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根据本集团限制性股票的股权激励计划，本集团以非公开发行的方式向激励对象授予一定 数量的本公司股票并规定限售期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限制性股票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。在限售期内，限制性股票予以限售，不 得转让、不得用于担保或偿还债务。在达到约定的解锁条件时，限制性股票解锁；如果全 部或部分股票未被解锁而失效或作废，本集团按照约定的价格进行回购。</w:t>
      </w:r>
    </w:p>
    <w:p>
      <w:pPr>
        <w:pStyle w:val="Style5"/>
        <w:keepNext w:val="0"/>
        <w:keepLines w:val="0"/>
        <w:widowControl w:val="0"/>
        <w:shd w:val="clear" w:color="auto" w:fill="auto"/>
        <w:bidi w:val="0"/>
        <w:spacing w:before="0" w:after="260" w:line="310" w:lineRule="exact"/>
        <w:ind w:left="740" w:right="0" w:firstLine="0"/>
        <w:jc w:val="both"/>
        <w:rPr>
          <w:sz w:val="22"/>
          <w:szCs w:val="22"/>
        </w:rPr>
      </w:pPr>
      <w:r>
        <w:rPr>
          <w:color w:val="000000"/>
          <w:spacing w:val="0"/>
          <w:w w:val="100"/>
          <w:position w:val="0"/>
          <w:sz w:val="22"/>
          <w:szCs w:val="22"/>
        </w:rPr>
        <w:t>在授予日，本集团根据收到激励对象缴纳的认股款确认股本和资本公积。同时，对于本集 团承担的限制性股票回购义务按照发行限制性股票的数量及相应的回购价格计算确定的金 额确认为负债，作为收购库存股处理，相关负债按照《企业会计准则第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号——金融工 具确认和计量》相关规定进行会计处理，参见附注三</w:t>
      </w:r>
      <w:r>
        <w:rPr>
          <w:rFonts w:ascii="Times New Roman" w:eastAsia="Times New Roman" w:hAnsi="Times New Roman" w:cs="Times New Roman"/>
          <w:color w:val="000000"/>
          <w:spacing w:val="0"/>
          <w:w w:val="100"/>
          <w:position w:val="0"/>
          <w:sz w:val="24"/>
          <w:szCs w:val="24"/>
        </w:rPr>
        <w:t>(9)(b)(1)</w:t>
      </w:r>
      <w:r>
        <w:rPr>
          <w:color w:val="000000"/>
          <w:spacing w:val="0"/>
          <w:w w:val="100"/>
          <w:position w:val="0"/>
          <w:sz w:val="22"/>
          <w:szCs w:val="22"/>
        </w:rPr>
        <w:t>。</w:t>
      </w:r>
    </w:p>
    <w:p>
      <w:pPr>
        <w:pStyle w:val="Style5"/>
        <w:keepNext w:val="0"/>
        <w:keepLines w:val="0"/>
        <w:widowControl w:val="0"/>
        <w:shd w:val="clear" w:color="auto" w:fill="auto"/>
        <w:tabs>
          <w:tab w:pos="655" w:val="left"/>
        </w:tabs>
        <w:bidi w:val="0"/>
        <w:spacing w:before="0" w:after="260" w:line="271" w:lineRule="auto"/>
        <w:ind w:left="0" w:right="0" w:firstLine="0"/>
        <w:jc w:val="both"/>
        <w:rPr>
          <w:sz w:val="22"/>
          <w:szCs w:val="22"/>
        </w:rPr>
      </w:pPr>
      <w:bookmarkStart w:id="916" w:name="bookmark916"/>
      <w:r>
        <w:rPr>
          <w:rFonts w:ascii="Times New Roman" w:eastAsia="Times New Roman" w:hAnsi="Times New Roman" w:cs="Times New Roman"/>
          <w:color w:val="000000"/>
          <w:spacing w:val="0"/>
          <w:w w:val="100"/>
          <w:position w:val="0"/>
          <w:sz w:val="24"/>
          <w:szCs w:val="24"/>
        </w:rPr>
        <w:t>2</w:t>
      </w:r>
      <w:bookmarkEnd w:id="91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股利分配</w:t>
      </w:r>
    </w:p>
    <w:p>
      <w:pPr>
        <w:pStyle w:val="Style5"/>
        <w:keepNext w:val="0"/>
        <w:keepLines w:val="0"/>
        <w:widowControl w:val="0"/>
        <w:shd w:val="clear" w:color="auto" w:fill="auto"/>
        <w:bidi w:val="0"/>
        <w:spacing w:before="0" w:after="300" w:line="312" w:lineRule="exact"/>
        <w:ind w:left="0" w:right="0" w:firstLine="740"/>
        <w:jc w:val="both"/>
        <w:rPr>
          <w:sz w:val="22"/>
          <w:szCs w:val="22"/>
        </w:rPr>
      </w:pPr>
      <w:r>
        <w:rPr>
          <w:color w:val="000000"/>
          <w:spacing w:val="0"/>
          <w:w w:val="100"/>
          <w:position w:val="0"/>
          <w:sz w:val="22"/>
          <w:szCs w:val="22"/>
        </w:rPr>
        <w:t>现金股利于股东大会批准的当期，确认为负债。</w:t>
      </w:r>
    </w:p>
    <w:p>
      <w:pPr>
        <w:pStyle w:val="Style5"/>
        <w:keepNext w:val="0"/>
        <w:keepLines w:val="0"/>
        <w:widowControl w:val="0"/>
        <w:shd w:val="clear" w:color="auto" w:fill="auto"/>
        <w:tabs>
          <w:tab w:pos="655" w:val="left"/>
        </w:tabs>
        <w:bidi w:val="0"/>
        <w:spacing w:before="0" w:after="260" w:line="271" w:lineRule="auto"/>
        <w:ind w:left="0" w:right="0" w:firstLine="0"/>
        <w:jc w:val="both"/>
        <w:rPr>
          <w:sz w:val="22"/>
          <w:szCs w:val="22"/>
        </w:rPr>
      </w:pPr>
      <w:bookmarkStart w:id="917" w:name="bookmark917"/>
      <w:r>
        <w:rPr>
          <w:rFonts w:ascii="Times New Roman" w:eastAsia="Times New Roman" w:hAnsi="Times New Roman" w:cs="Times New Roman"/>
          <w:color w:val="000000"/>
          <w:spacing w:val="0"/>
          <w:w w:val="100"/>
          <w:position w:val="0"/>
          <w:sz w:val="24"/>
          <w:szCs w:val="24"/>
        </w:rPr>
        <w:t>2</w:t>
      </w:r>
      <w:bookmarkEnd w:id="91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预计负债</w:t>
      </w:r>
    </w:p>
    <w:p>
      <w:pPr>
        <w:pStyle w:val="Style5"/>
        <w:keepNext w:val="0"/>
        <w:keepLines w:val="0"/>
        <w:widowControl w:val="0"/>
        <w:shd w:val="clear" w:color="auto" w:fill="auto"/>
        <w:bidi w:val="0"/>
        <w:spacing w:before="0" w:after="0" w:line="312" w:lineRule="exact"/>
        <w:ind w:left="0" w:right="0" w:firstLine="740"/>
        <w:jc w:val="both"/>
        <w:rPr>
          <w:sz w:val="22"/>
          <w:szCs w:val="22"/>
        </w:rPr>
      </w:pPr>
      <w:r>
        <w:rPr>
          <w:color w:val="000000"/>
          <w:spacing w:val="0"/>
          <w:w w:val="100"/>
          <w:position w:val="0"/>
          <w:sz w:val="22"/>
          <w:szCs w:val="22"/>
        </w:rPr>
        <w:t>因产品质量保证、亏损合同等形成的现时义务，当履行该义务很可能导致经济利益的流</w:t>
      </w:r>
    </w:p>
    <w:p>
      <w:pPr>
        <w:pStyle w:val="Style5"/>
        <w:keepNext w:val="0"/>
        <w:keepLines w:val="0"/>
        <w:widowControl w:val="0"/>
        <w:shd w:val="clear" w:color="auto" w:fill="auto"/>
        <w:bidi w:val="0"/>
        <w:spacing w:before="0" w:after="260" w:line="312" w:lineRule="exact"/>
        <w:ind w:left="0" w:right="0" w:firstLine="740"/>
        <w:jc w:val="both"/>
        <w:rPr>
          <w:sz w:val="22"/>
          <w:szCs w:val="22"/>
        </w:rPr>
      </w:pPr>
      <w:r>
        <w:rPr>
          <w:color w:val="000000"/>
          <w:spacing w:val="0"/>
          <w:w w:val="100"/>
          <w:position w:val="0"/>
          <w:sz w:val="22"/>
          <w:szCs w:val="22"/>
        </w:rPr>
        <w:t>出，且其金额能够可靠计量时，确认为预计负债。</w:t>
      </w:r>
    </w:p>
    <w:p>
      <w:pPr>
        <w:pStyle w:val="Style5"/>
        <w:keepNext w:val="0"/>
        <w:keepLines w:val="0"/>
        <w:widowControl w:val="0"/>
        <w:shd w:val="clear" w:color="auto" w:fill="auto"/>
        <w:bidi w:val="0"/>
        <w:spacing w:before="0" w:after="260" w:line="309" w:lineRule="exact"/>
        <w:ind w:left="740" w:right="0" w:firstLine="0"/>
        <w:jc w:val="both"/>
        <w:rPr>
          <w:sz w:val="22"/>
          <w:szCs w:val="22"/>
        </w:rPr>
      </w:pPr>
      <w:r>
        <w:rPr>
          <w:color w:val="000000"/>
          <w:spacing w:val="0"/>
          <w:w w:val="100"/>
          <w:position w:val="0"/>
          <w:sz w:val="22"/>
          <w:szCs w:val="22"/>
        </w:rPr>
        <w:t>预计负债按照履行相关现时义务所需支出的最佳估计数进行初始计量，并综合考虑与或有 事项有关的风险、不确定性和货币时间价值等因素。货币时间价值影响重大的，通过对相 关未来现金流出进行折现后确定最佳估计数；因随着时间推移所进行的折现还原而导致的 预计负债账面价值的增加金额，确认为利息费用。</w:t>
      </w:r>
    </w:p>
    <w:p>
      <w:pPr>
        <w:pStyle w:val="Style5"/>
        <w:keepNext w:val="0"/>
        <w:keepLines w:val="0"/>
        <w:widowControl w:val="0"/>
        <w:shd w:val="clear" w:color="auto" w:fill="auto"/>
        <w:bidi w:val="0"/>
        <w:spacing w:before="0" w:after="0" w:line="312" w:lineRule="exact"/>
        <w:ind w:left="740" w:right="0" w:firstLine="0"/>
        <w:jc w:val="both"/>
        <w:rPr>
          <w:sz w:val="22"/>
          <w:szCs w:val="22"/>
        </w:rPr>
      </w:pPr>
      <w:r>
        <w:rPr>
          <w:color w:val="000000"/>
          <w:spacing w:val="0"/>
          <w:w w:val="100"/>
          <w:position w:val="0"/>
          <w:sz w:val="22"/>
          <w:szCs w:val="22"/>
        </w:rPr>
        <w:t xml:space="preserve">在确定最佳估计数时，本集团综合考虑了与或有事项有关的风险、不确定性和货币时间价 值等因素。所需支出存在一个连续范围，且该范围内各种结果发生的可能性相同的，最佳 估计数按照该范围内的中间值确定；在其他情况下，最佳估计数分别按照下列情况处理： </w:t>
      </w: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8" w:val="left"/>
        </w:tabs>
        <w:bidi w:val="0"/>
        <w:spacing w:before="0" w:after="260" w:line="311"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8" w:val="left"/>
        </w:tabs>
        <w:bidi w:val="0"/>
        <w:spacing w:before="0" w:after="260" w:line="271" w:lineRule="auto"/>
        <w:ind w:left="0" w:right="0" w:firstLine="0"/>
        <w:jc w:val="both"/>
        <w:rPr>
          <w:sz w:val="22"/>
          <w:szCs w:val="22"/>
        </w:rPr>
      </w:pPr>
      <w:bookmarkStart w:id="918" w:name="bookmark918"/>
      <w:r>
        <w:rPr>
          <w:rFonts w:ascii="Times New Roman" w:eastAsia="Times New Roman" w:hAnsi="Times New Roman" w:cs="Times New Roman"/>
          <w:color w:val="000000"/>
          <w:spacing w:val="0"/>
          <w:w w:val="100"/>
          <w:position w:val="0"/>
          <w:sz w:val="24"/>
          <w:szCs w:val="24"/>
        </w:rPr>
        <w:t>2</w:t>
      </w:r>
      <w:bookmarkEnd w:id="91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预计负债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63"/>
        </w:numPr>
        <w:shd w:val="clear" w:color="auto" w:fill="auto"/>
        <w:tabs>
          <w:tab w:pos="1285" w:val="left"/>
        </w:tabs>
        <w:bidi w:val="0"/>
        <w:spacing w:before="0" w:after="0" w:line="311" w:lineRule="exact"/>
        <w:ind w:left="0" w:right="0" w:firstLine="740"/>
        <w:jc w:val="left"/>
        <w:rPr>
          <w:sz w:val="22"/>
          <w:szCs w:val="22"/>
        </w:rPr>
      </w:pPr>
      <w:bookmarkStart w:id="919" w:name="bookmark919"/>
      <w:bookmarkEnd w:id="919"/>
      <w:r>
        <w:rPr>
          <w:color w:val="000000"/>
          <w:spacing w:val="0"/>
          <w:w w:val="100"/>
          <w:position w:val="0"/>
          <w:sz w:val="22"/>
          <w:szCs w:val="22"/>
        </w:rPr>
        <w:t>或有事项涉及单个项目的，按照最可能发生金额确定；</w:t>
      </w:r>
    </w:p>
    <w:p>
      <w:pPr>
        <w:pStyle w:val="Style5"/>
        <w:keepNext w:val="0"/>
        <w:keepLines w:val="0"/>
        <w:widowControl w:val="0"/>
        <w:numPr>
          <w:ilvl w:val="0"/>
          <w:numId w:val="63"/>
        </w:numPr>
        <w:shd w:val="clear" w:color="auto" w:fill="auto"/>
        <w:tabs>
          <w:tab w:pos="1285" w:val="left"/>
        </w:tabs>
        <w:bidi w:val="0"/>
        <w:spacing w:before="0" w:after="260" w:line="311" w:lineRule="exact"/>
        <w:ind w:left="0" w:right="0" w:firstLine="740"/>
        <w:jc w:val="left"/>
        <w:rPr>
          <w:sz w:val="22"/>
          <w:szCs w:val="22"/>
        </w:rPr>
      </w:pPr>
      <w:bookmarkStart w:id="920" w:name="bookmark920"/>
      <w:bookmarkEnd w:id="920"/>
      <w:r>
        <w:rPr>
          <w:color w:val="000000"/>
          <w:spacing w:val="0"/>
          <w:w w:val="100"/>
          <w:position w:val="0"/>
          <w:sz w:val="22"/>
          <w:szCs w:val="22"/>
        </w:rPr>
        <w:t>或有事项涉及多个项目的，按照各种可能结果及相关概率计算确定。</w:t>
      </w:r>
    </w:p>
    <w:p>
      <w:pPr>
        <w:pStyle w:val="Style5"/>
        <w:keepNext w:val="0"/>
        <w:keepLines w:val="0"/>
        <w:widowControl w:val="0"/>
        <w:shd w:val="clear" w:color="auto" w:fill="auto"/>
        <w:bidi w:val="0"/>
        <w:spacing w:before="0" w:after="260" w:line="307" w:lineRule="exact"/>
        <w:ind w:left="740" w:right="0" w:firstLine="0"/>
        <w:jc w:val="both"/>
        <w:rPr>
          <w:sz w:val="22"/>
          <w:szCs w:val="22"/>
        </w:rPr>
      </w:pPr>
      <w:r>
        <w:rPr>
          <w:color w:val="000000"/>
          <w:spacing w:val="0"/>
          <w:w w:val="100"/>
          <w:position w:val="0"/>
          <w:sz w:val="22"/>
          <w:szCs w:val="22"/>
        </w:rPr>
        <w:t>于资产负债表日，对预计负债的账面价值进行复核并作适当调整，以反映当前的最佳估计 数。</w:t>
      </w:r>
    </w:p>
    <w:p>
      <w:pPr>
        <w:pStyle w:val="Style5"/>
        <w:keepNext w:val="0"/>
        <w:keepLines w:val="0"/>
        <w:widowControl w:val="0"/>
        <w:shd w:val="clear" w:color="auto" w:fill="auto"/>
        <w:tabs>
          <w:tab w:pos="698" w:val="left"/>
        </w:tabs>
        <w:bidi w:val="0"/>
        <w:spacing w:before="0" w:after="260" w:line="271" w:lineRule="auto"/>
        <w:ind w:left="0" w:right="0" w:firstLine="0"/>
        <w:jc w:val="both"/>
        <w:rPr>
          <w:sz w:val="22"/>
          <w:szCs w:val="22"/>
        </w:rPr>
      </w:pPr>
      <w:bookmarkStart w:id="921" w:name="bookmark921"/>
      <w:r>
        <w:rPr>
          <w:rFonts w:ascii="Times New Roman" w:eastAsia="Times New Roman" w:hAnsi="Times New Roman" w:cs="Times New Roman"/>
          <w:color w:val="000000"/>
          <w:spacing w:val="0"/>
          <w:w w:val="100"/>
          <w:position w:val="0"/>
          <w:sz w:val="24"/>
          <w:szCs w:val="24"/>
        </w:rPr>
        <w:t>2</w:t>
      </w:r>
      <w:bookmarkEnd w:id="92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收入确认</w:t>
      </w:r>
    </w:p>
    <w:p>
      <w:pPr>
        <w:pStyle w:val="Style5"/>
        <w:keepNext w:val="0"/>
        <w:keepLines w:val="0"/>
        <w:widowControl w:val="0"/>
        <w:shd w:val="clear" w:color="auto" w:fill="auto"/>
        <w:bidi w:val="0"/>
        <w:spacing w:before="0" w:after="260" w:line="302" w:lineRule="exact"/>
        <w:ind w:left="740" w:right="0" w:firstLine="0"/>
        <w:jc w:val="both"/>
        <w:rPr>
          <w:sz w:val="22"/>
          <w:szCs w:val="22"/>
        </w:rPr>
      </w:pPr>
      <w:r>
        <w:rPr>
          <w:color w:val="000000"/>
          <w:spacing w:val="0"/>
          <w:w w:val="100"/>
          <w:position w:val="0"/>
          <w:sz w:val="22"/>
          <w:szCs w:val="22"/>
        </w:rPr>
        <w:t>收入是本集团在日常活动中形成的，会导致股东权益增加且与股东投入资本无关的经济利 益的总流入。</w:t>
      </w:r>
    </w:p>
    <w:p>
      <w:pPr>
        <w:pStyle w:val="Style5"/>
        <w:keepNext w:val="0"/>
        <w:keepLines w:val="0"/>
        <w:widowControl w:val="0"/>
        <w:shd w:val="clear" w:color="auto" w:fill="auto"/>
        <w:bidi w:val="0"/>
        <w:spacing w:before="0" w:after="260" w:line="317" w:lineRule="exact"/>
        <w:ind w:left="740" w:right="0" w:firstLine="0"/>
        <w:jc w:val="both"/>
        <w:rPr>
          <w:sz w:val="22"/>
          <w:szCs w:val="22"/>
        </w:rPr>
      </w:pPr>
      <w:r>
        <w:rPr>
          <w:color w:val="000000"/>
          <w:spacing w:val="0"/>
          <w:w w:val="100"/>
          <w:position w:val="0"/>
          <w:sz w:val="22"/>
          <w:szCs w:val="22"/>
        </w:rPr>
        <w:t>本集团在履行了合同中的履约义务，即在用户取得相关商品或服务的控制权时，确认相关 收入。</w:t>
      </w:r>
    </w:p>
    <w:p>
      <w:pPr>
        <w:pStyle w:val="Style5"/>
        <w:keepNext w:val="0"/>
        <w:keepLines w:val="0"/>
        <w:widowControl w:val="0"/>
        <w:shd w:val="clear" w:color="auto" w:fill="auto"/>
        <w:bidi w:val="0"/>
        <w:spacing w:before="0" w:after="260" w:line="311" w:lineRule="exact"/>
        <w:ind w:left="740" w:right="0" w:firstLine="0"/>
        <w:jc w:val="both"/>
        <w:rPr>
          <w:sz w:val="22"/>
          <w:szCs w:val="22"/>
        </w:rPr>
      </w:pPr>
      <w:r>
        <w:rPr>
          <w:color w:val="000000"/>
          <w:spacing w:val="0"/>
          <w:w w:val="100"/>
          <w:position w:val="0"/>
          <w:sz w:val="22"/>
          <w:szCs w:val="22"/>
        </w:rPr>
        <w:t>合同中包含两项或多项履约义务的，本集团在合同开始日，按照各单项履约义务所承诺商 品或服务的单独售价的相对比例，将交易价格分摊至各单项履约义务，按照分摊至各单项 履约义务的交易价格计量收入。附有客户额外购买选择权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例如客户奖励积分、未来购买商 品的折扣券等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的合同，本集团评估该选择权是否向客户提供了一项重大权利。提供重大权 利的，本集团将其作为单项履约义务。附有质量保证条款的合同，本集团对其所提供的质 量保证的性质进行分析，如果质量保证在向客户保证所销售的商品符合既定标准之外提供 了一项单独服务，本集团将其作为单项履约义务。否则，本集团按照《企业会计准则第</w:t>
      </w:r>
      <w:r>
        <w:rPr>
          <w:rFonts w:ascii="Times New Roman" w:eastAsia="Times New Roman" w:hAnsi="Times New Roman" w:cs="Times New Roman"/>
          <w:color w:val="000000"/>
          <w:spacing w:val="0"/>
          <w:w w:val="100"/>
          <w:position w:val="0"/>
          <w:sz w:val="24"/>
          <w:szCs w:val="24"/>
        </w:rPr>
        <w:t xml:space="preserve">13 </w:t>
      </w:r>
      <w:r>
        <w:rPr>
          <w:color w:val="000000"/>
          <w:spacing w:val="0"/>
          <w:w w:val="100"/>
          <w:position w:val="0"/>
          <w:sz w:val="22"/>
          <w:szCs w:val="22"/>
        </w:rPr>
        <w:t>号</w:t>
      </w:r>
      <w:r>
        <w:rPr>
          <w:color w:val="000000"/>
          <w:spacing w:val="0"/>
          <w:w w:val="100"/>
          <w:position w:val="0"/>
          <w:sz w:val="24"/>
          <w:szCs w:val="24"/>
        </w:rPr>
        <w:t>一一</w:t>
      </w:r>
      <w:r>
        <w:rPr>
          <w:color w:val="000000"/>
          <w:spacing w:val="0"/>
          <w:w w:val="100"/>
          <w:position w:val="0"/>
          <w:sz w:val="22"/>
          <w:szCs w:val="22"/>
        </w:rPr>
        <w:t>或有事项》的规定进行会计处理。</w:t>
      </w:r>
    </w:p>
    <w:p>
      <w:pPr>
        <w:pStyle w:val="Style5"/>
        <w:keepNext w:val="0"/>
        <w:keepLines w:val="0"/>
        <w:widowControl w:val="0"/>
        <w:shd w:val="clear" w:color="auto" w:fill="auto"/>
        <w:bidi w:val="0"/>
        <w:spacing w:before="0" w:after="260" w:line="311" w:lineRule="exact"/>
        <w:ind w:left="740" w:right="0" w:firstLine="0"/>
        <w:jc w:val="both"/>
        <w:rPr>
          <w:sz w:val="22"/>
          <w:szCs w:val="22"/>
        </w:rPr>
      </w:pPr>
      <w:r>
        <w:rPr>
          <w:color w:val="000000"/>
          <w:spacing w:val="0"/>
          <w:w w:val="100"/>
          <w:position w:val="0"/>
          <w:sz w:val="22"/>
          <w:szCs w:val="22"/>
        </w:rPr>
        <w:t>交易价格是本集团因向用户转让商品或服务而预期有权收取的对价金额，不包括代第三方 收取的款项。本集团确认的交易价格不超过在相关不确定性消除时累计已确认收入极可能 不会发生重大转回的金额。有权收取的对价是非现金形式时，本集团按照非现金对价的公 允价值确定交易价格。非现金对价的公允价值不能合理估计的，本集团参照承诺向客户转 让商品或提供服务的单独售价间接确定交易价格。预期将退还给用户的款项作为负债，不 计入交易价格。合同中存在重大融资成分的，本集团按照假定用户在取得商品或服务控制 权时即以现金支付的应付金额确定交易价格。该交易价格与合同对价之间的差额，在合同 期间内采用实际利率法摊销。合同开始日，本集团预计用户取得商品或服务控制权与用户 支付价款间隔不超过一年的，不考虑合同中存在的重大融资成分。</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满足下列条件之一时，本集团属于在某一时段内履行履约义务，否则，属于在某一时点履 行履约义务：</w:t>
      </w:r>
    </w:p>
    <w:p>
      <w:pPr>
        <w:pStyle w:val="Style5"/>
        <w:keepNext w:val="0"/>
        <w:keepLines w:val="0"/>
        <w:widowControl w:val="0"/>
        <w:numPr>
          <w:ilvl w:val="0"/>
          <w:numId w:val="63"/>
        </w:numPr>
        <w:shd w:val="clear" w:color="auto" w:fill="auto"/>
        <w:tabs>
          <w:tab w:pos="1285" w:val="left"/>
        </w:tabs>
        <w:bidi w:val="0"/>
        <w:spacing w:before="0" w:after="0" w:line="311" w:lineRule="exact"/>
        <w:ind w:left="740" w:right="0" w:firstLine="0"/>
        <w:jc w:val="both"/>
        <w:rPr>
          <w:sz w:val="22"/>
          <w:szCs w:val="22"/>
        </w:rPr>
      </w:pPr>
      <w:bookmarkStart w:id="922" w:name="bookmark922"/>
      <w:bookmarkEnd w:id="922"/>
      <w:r>
        <w:rPr>
          <w:color w:val="000000"/>
          <w:spacing w:val="0"/>
          <w:w w:val="100"/>
          <w:position w:val="0"/>
          <w:sz w:val="22"/>
          <w:szCs w:val="22"/>
        </w:rPr>
        <w:t>用户在本集团履约的同时即取得并消耗本集团履约所带来的经济利益；</w:t>
      </w:r>
    </w:p>
    <w:p>
      <w:pPr>
        <w:pStyle w:val="Style5"/>
        <w:keepNext w:val="0"/>
        <w:keepLines w:val="0"/>
        <w:widowControl w:val="0"/>
        <w:numPr>
          <w:ilvl w:val="0"/>
          <w:numId w:val="63"/>
        </w:numPr>
        <w:shd w:val="clear" w:color="auto" w:fill="auto"/>
        <w:tabs>
          <w:tab w:pos="1285" w:val="left"/>
        </w:tabs>
        <w:bidi w:val="0"/>
        <w:spacing w:before="0" w:after="260" w:line="311" w:lineRule="exact"/>
        <w:ind w:left="740" w:right="0" w:firstLine="0"/>
        <w:jc w:val="both"/>
        <w:rPr>
          <w:sz w:val="22"/>
          <w:szCs w:val="22"/>
        </w:rPr>
      </w:pPr>
      <w:bookmarkStart w:id="923" w:name="bookmark923"/>
      <w:bookmarkEnd w:id="923"/>
      <w:r>
        <w:rPr>
          <w:color w:val="000000"/>
          <w:spacing w:val="0"/>
          <w:w w:val="100"/>
          <w:position w:val="0"/>
          <w:sz w:val="22"/>
          <w:szCs w:val="22"/>
        </w:rPr>
        <w:t>用户能够控制本集团履约过程中在建的商品；</w:t>
      </w:r>
    </w:p>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701" w:val="left"/>
        </w:tabs>
        <w:bidi w:val="0"/>
        <w:spacing w:before="0" w:after="260" w:line="312" w:lineRule="exact"/>
        <w:ind w:left="0" w:right="0" w:firstLine="0"/>
        <w:jc w:val="left"/>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01" w:val="left"/>
        </w:tabs>
        <w:bidi w:val="0"/>
        <w:spacing w:before="0" w:after="260" w:line="271"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2"/>
          <w:szCs w:val="22"/>
        </w:rPr>
        <w:t>、</w:t>
        <w:tab/>
        <w:t>收入确认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63"/>
        </w:numPr>
        <w:shd w:val="clear" w:color="auto" w:fill="auto"/>
        <w:tabs>
          <w:tab w:pos="1282" w:val="left"/>
        </w:tabs>
        <w:bidi w:val="0"/>
        <w:spacing w:before="0" w:after="260" w:line="312" w:lineRule="exact"/>
        <w:ind w:left="1280" w:right="0" w:hanging="540"/>
        <w:jc w:val="left"/>
        <w:rPr>
          <w:sz w:val="22"/>
          <w:szCs w:val="22"/>
        </w:rPr>
      </w:pPr>
      <w:bookmarkStart w:id="924" w:name="bookmark924"/>
      <w:bookmarkEnd w:id="924"/>
      <w:r>
        <w:rPr>
          <w:color w:val="000000"/>
          <w:spacing w:val="0"/>
          <w:w w:val="100"/>
          <w:position w:val="0"/>
          <w:sz w:val="22"/>
          <w:szCs w:val="22"/>
        </w:rPr>
        <w:t>本集团履约过程中所产出的商品具有不可替代用途，且本集团在整个合同期间内有权 就累计至今已完成的履约部分收取款项。</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对于在某一时段内履行的履约义务，本集团在该段时间内按照履约进度确认收入。履约进 度不能合理确定时，本集团已经发生的成本预计能够得到补偿的，按照已经发生的成本金 额确认收入，直到履约进度能够合理确定为止。</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对于在某一时点履行的履约义务，本集团在用户取得相关商品或服务控制权时点确认收 入。在判断用户是否已取得商品或服务控制权时，本集团会考虑下列迹象：</w:t>
      </w:r>
    </w:p>
    <w:p>
      <w:pPr>
        <w:pStyle w:val="Style5"/>
        <w:keepNext w:val="0"/>
        <w:keepLines w:val="0"/>
        <w:widowControl w:val="0"/>
        <w:numPr>
          <w:ilvl w:val="0"/>
          <w:numId w:val="63"/>
        </w:numPr>
        <w:shd w:val="clear" w:color="auto" w:fill="auto"/>
        <w:tabs>
          <w:tab w:pos="1282" w:val="left"/>
        </w:tabs>
        <w:bidi w:val="0"/>
        <w:spacing w:before="0" w:after="0" w:line="312" w:lineRule="exact"/>
        <w:ind w:left="0" w:right="0" w:firstLine="740"/>
        <w:jc w:val="left"/>
        <w:rPr>
          <w:sz w:val="22"/>
          <w:szCs w:val="22"/>
        </w:rPr>
      </w:pPr>
      <w:bookmarkStart w:id="925" w:name="bookmark925"/>
      <w:bookmarkEnd w:id="925"/>
      <w:r>
        <w:rPr>
          <w:color w:val="000000"/>
          <w:spacing w:val="0"/>
          <w:w w:val="100"/>
          <w:position w:val="0"/>
          <w:sz w:val="22"/>
          <w:szCs w:val="22"/>
        </w:rPr>
        <w:t>本集团就该商品或服务享有现时收款权利；</w:t>
      </w:r>
    </w:p>
    <w:p>
      <w:pPr>
        <w:pStyle w:val="Style5"/>
        <w:keepNext w:val="0"/>
        <w:keepLines w:val="0"/>
        <w:widowControl w:val="0"/>
        <w:numPr>
          <w:ilvl w:val="0"/>
          <w:numId w:val="63"/>
        </w:numPr>
        <w:shd w:val="clear" w:color="auto" w:fill="auto"/>
        <w:tabs>
          <w:tab w:pos="1282" w:val="left"/>
        </w:tabs>
        <w:bidi w:val="0"/>
        <w:spacing w:before="0" w:after="0" w:line="312" w:lineRule="exact"/>
        <w:ind w:left="0" w:right="0" w:firstLine="740"/>
        <w:jc w:val="left"/>
        <w:rPr>
          <w:sz w:val="22"/>
          <w:szCs w:val="22"/>
        </w:rPr>
      </w:pPr>
      <w:bookmarkStart w:id="926" w:name="bookmark926"/>
      <w:bookmarkEnd w:id="926"/>
      <w:r>
        <w:rPr>
          <w:color w:val="000000"/>
          <w:spacing w:val="0"/>
          <w:w w:val="100"/>
          <w:position w:val="0"/>
          <w:sz w:val="22"/>
          <w:szCs w:val="22"/>
        </w:rPr>
        <w:t>本集团已将该商品的实物转移给用户；</w:t>
      </w:r>
    </w:p>
    <w:p>
      <w:pPr>
        <w:pStyle w:val="Style5"/>
        <w:keepNext w:val="0"/>
        <w:keepLines w:val="0"/>
        <w:widowControl w:val="0"/>
        <w:numPr>
          <w:ilvl w:val="0"/>
          <w:numId w:val="63"/>
        </w:numPr>
        <w:shd w:val="clear" w:color="auto" w:fill="auto"/>
        <w:tabs>
          <w:tab w:pos="1282" w:val="left"/>
        </w:tabs>
        <w:bidi w:val="0"/>
        <w:spacing w:before="0" w:after="0" w:line="312" w:lineRule="exact"/>
        <w:ind w:left="0" w:right="0" w:firstLine="740"/>
        <w:jc w:val="left"/>
        <w:rPr>
          <w:sz w:val="22"/>
          <w:szCs w:val="22"/>
        </w:rPr>
      </w:pPr>
      <w:bookmarkStart w:id="927" w:name="bookmark927"/>
      <w:bookmarkEnd w:id="927"/>
      <w:r>
        <w:rPr>
          <w:color w:val="000000"/>
          <w:spacing w:val="0"/>
          <w:w w:val="100"/>
          <w:position w:val="0"/>
          <w:sz w:val="22"/>
          <w:szCs w:val="22"/>
        </w:rPr>
        <w:t>本集团已将该商品的法定所有权或所有权上的主要风险和报酬转移给用户；</w:t>
      </w:r>
    </w:p>
    <w:p>
      <w:pPr>
        <w:pStyle w:val="Style5"/>
        <w:keepNext w:val="0"/>
        <w:keepLines w:val="0"/>
        <w:widowControl w:val="0"/>
        <w:numPr>
          <w:ilvl w:val="0"/>
          <w:numId w:val="63"/>
        </w:numPr>
        <w:shd w:val="clear" w:color="auto" w:fill="auto"/>
        <w:tabs>
          <w:tab w:pos="1282" w:val="left"/>
        </w:tabs>
        <w:bidi w:val="0"/>
        <w:spacing w:before="0" w:after="260" w:line="312" w:lineRule="exact"/>
        <w:ind w:left="0" w:right="0" w:firstLine="740"/>
        <w:jc w:val="left"/>
        <w:rPr>
          <w:sz w:val="22"/>
          <w:szCs w:val="22"/>
        </w:rPr>
      </w:pPr>
      <w:bookmarkStart w:id="928" w:name="bookmark928"/>
      <w:bookmarkEnd w:id="928"/>
      <w:r>
        <w:rPr>
          <w:color w:val="000000"/>
          <w:spacing w:val="0"/>
          <w:w w:val="100"/>
          <w:position w:val="0"/>
          <w:sz w:val="22"/>
          <w:szCs w:val="22"/>
        </w:rPr>
        <w:t>用户已接受该商品或服务等。</w:t>
      </w:r>
    </w:p>
    <w:p>
      <w:pPr>
        <w:pStyle w:val="Style5"/>
        <w:keepNext w:val="0"/>
        <w:keepLines w:val="0"/>
        <w:widowControl w:val="0"/>
        <w:shd w:val="clear" w:color="auto" w:fill="auto"/>
        <w:bidi w:val="0"/>
        <w:spacing w:before="0" w:after="260" w:line="313" w:lineRule="exact"/>
        <w:ind w:left="740" w:right="0" w:firstLine="0"/>
        <w:jc w:val="both"/>
        <w:rPr>
          <w:sz w:val="22"/>
          <w:szCs w:val="22"/>
        </w:rPr>
      </w:pPr>
      <w:r>
        <w:rPr>
          <w:color w:val="000000"/>
          <w:spacing w:val="0"/>
          <w:w w:val="100"/>
          <w:position w:val="0"/>
          <w:sz w:val="22"/>
          <w:szCs w:val="22"/>
        </w:rPr>
        <w:t>本集团已向用户转让商品或服务而有权收取对价的权利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且该权利取决于时间流逝之外的其 他因素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作为合同资产列示，合同资产以预期信用损失为基础计提减值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参见附注三 </w:t>
      </w:r>
      <w:r>
        <w:rPr>
          <w:rFonts w:ascii="Times New Roman" w:eastAsia="Times New Roman" w:hAnsi="Times New Roman" w:cs="Times New Roman"/>
          <w:color w:val="000000"/>
          <w:spacing w:val="0"/>
          <w:w w:val="100"/>
          <w:position w:val="0"/>
          <w:sz w:val="24"/>
          <w:szCs w:val="24"/>
        </w:rPr>
        <w:t>（9）（a）（3））</w:t>
      </w:r>
      <w:r>
        <w:rPr>
          <w:color w:val="000000"/>
          <w:spacing w:val="0"/>
          <w:w w:val="100"/>
          <w:position w:val="0"/>
          <w:sz w:val="22"/>
          <w:szCs w:val="22"/>
        </w:rPr>
        <w:t>。本集团拥有的、无条件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仅取决于时间流逝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向用户收取对价的权利作为应收款 项列示。本集团已收或应收用户对价而应向用户转让商品或服务的义务作为合同负债列 示。同一合同下的合同资产和合同负债以净额列示，而不相关合同的合同资产和合同负债 分别列示。</w:t>
      </w:r>
    </w:p>
    <w:p>
      <w:pPr>
        <w:pStyle w:val="Style5"/>
        <w:keepNext w:val="0"/>
        <w:keepLines w:val="0"/>
        <w:widowControl w:val="0"/>
        <w:shd w:val="clear" w:color="auto" w:fill="auto"/>
        <w:bidi w:val="0"/>
        <w:spacing w:before="0" w:after="260" w:line="311" w:lineRule="exact"/>
        <w:ind w:left="740" w:right="0" w:firstLine="0"/>
        <w:jc w:val="both"/>
        <w:rPr>
          <w:sz w:val="22"/>
          <w:szCs w:val="22"/>
        </w:rPr>
      </w:pPr>
      <w:r>
        <w:rPr>
          <w:color w:val="000000"/>
          <w:spacing w:val="0"/>
          <w:w w:val="100"/>
          <w:position w:val="0"/>
          <w:sz w:val="22"/>
          <w:szCs w:val="22"/>
        </w:rPr>
        <w:t>本集团根据在向客户转让商品或服务前是否拥有对该商品或服务的控制权，来判断从事交 易时本集团的身份是主要责任人还是代理人。本集团在向客户转让商品或服务前能够控制 该商品或服务的，本集团为主要责任人，按照已收或应收对价总额确认收入；否则，本集 团为代理人，按照预期有权收取的佣金或手续费的金额确认收入，该金额按照已收或应收 对价总额扣除应支付给其他相关方的价款后的净额，或者按照既定的佣金金额或比例等确 定。</w:t>
      </w:r>
    </w:p>
    <w:p>
      <w:pPr>
        <w:pStyle w:val="Style5"/>
        <w:keepNext w:val="0"/>
        <w:keepLines w:val="0"/>
        <w:widowControl w:val="0"/>
        <w:shd w:val="clear" w:color="auto" w:fill="auto"/>
        <w:bidi w:val="0"/>
        <w:spacing w:before="0" w:after="260" w:line="307" w:lineRule="exact"/>
        <w:ind w:left="740" w:right="0" w:firstLine="0"/>
        <w:jc w:val="both"/>
        <w:rPr>
          <w:sz w:val="22"/>
          <w:szCs w:val="22"/>
        </w:rPr>
      </w:pPr>
      <w:r>
        <w:rPr>
          <w:color w:val="000000"/>
          <w:spacing w:val="0"/>
          <w:w w:val="100"/>
          <w:position w:val="0"/>
          <w:sz w:val="22"/>
          <w:szCs w:val="22"/>
        </w:rPr>
        <w:t>合同发生变更且同时符合下列条件的，本集团将该合同变更部分作为一份单独的合同进行 会计处理：</w:t>
      </w:r>
    </w:p>
    <w:p>
      <w:pPr>
        <w:pStyle w:val="Style5"/>
        <w:keepNext w:val="0"/>
        <w:keepLines w:val="0"/>
        <w:widowControl w:val="0"/>
        <w:numPr>
          <w:ilvl w:val="0"/>
          <w:numId w:val="63"/>
        </w:numPr>
        <w:shd w:val="clear" w:color="auto" w:fill="auto"/>
        <w:tabs>
          <w:tab w:pos="1282" w:val="left"/>
        </w:tabs>
        <w:bidi w:val="0"/>
        <w:spacing w:before="0" w:after="0" w:line="312" w:lineRule="exact"/>
        <w:ind w:left="740" w:right="0" w:firstLine="0"/>
        <w:jc w:val="left"/>
        <w:rPr>
          <w:sz w:val="22"/>
          <w:szCs w:val="22"/>
        </w:rPr>
      </w:pPr>
      <w:bookmarkStart w:id="929" w:name="bookmark929"/>
      <w:bookmarkEnd w:id="929"/>
      <w:r>
        <w:rPr>
          <w:color w:val="000000"/>
          <w:spacing w:val="0"/>
          <w:w w:val="100"/>
          <w:position w:val="0"/>
          <w:sz w:val="22"/>
          <w:szCs w:val="22"/>
        </w:rPr>
        <w:t>增加了可明确区分的商品或服务及合同价款；</w:t>
      </w:r>
    </w:p>
    <w:p>
      <w:pPr>
        <w:pStyle w:val="Style5"/>
        <w:keepNext w:val="0"/>
        <w:keepLines w:val="0"/>
        <w:widowControl w:val="0"/>
        <w:numPr>
          <w:ilvl w:val="0"/>
          <w:numId w:val="63"/>
        </w:numPr>
        <w:shd w:val="clear" w:color="auto" w:fill="auto"/>
        <w:tabs>
          <w:tab w:pos="1282" w:val="left"/>
        </w:tabs>
        <w:bidi w:val="0"/>
        <w:spacing w:before="0" w:after="260" w:line="312" w:lineRule="exact"/>
        <w:ind w:left="740" w:right="0" w:firstLine="0"/>
        <w:jc w:val="left"/>
        <w:rPr>
          <w:sz w:val="22"/>
          <w:szCs w:val="22"/>
        </w:rPr>
      </w:pPr>
      <w:bookmarkStart w:id="930" w:name="bookmark930"/>
      <w:bookmarkEnd w:id="930"/>
      <w:r>
        <w:rPr>
          <w:color w:val="000000"/>
          <w:spacing w:val="0"/>
          <w:w w:val="100"/>
          <w:position w:val="0"/>
          <w:sz w:val="22"/>
          <w:szCs w:val="22"/>
        </w:rPr>
        <w:t>新增合同价款反映了新增商品或服务的单独售价。</w:t>
      </w:r>
    </w:p>
    <w:p>
      <w:pPr>
        <w:pStyle w:val="Style5"/>
        <w:keepNext w:val="0"/>
        <w:keepLines w:val="0"/>
        <w:widowControl w:val="0"/>
        <w:shd w:val="clear" w:color="auto" w:fill="auto"/>
        <w:bidi w:val="0"/>
        <w:spacing w:before="0" w:after="260" w:line="307" w:lineRule="exact"/>
        <w:ind w:left="740" w:right="0" w:firstLine="0"/>
        <w:jc w:val="left"/>
        <w:rPr>
          <w:sz w:val="22"/>
          <w:szCs w:val="22"/>
        </w:rPr>
      </w:pPr>
      <w:r>
        <w:rPr>
          <w:color w:val="000000"/>
          <w:spacing w:val="0"/>
          <w:w w:val="100"/>
          <w:position w:val="0"/>
          <w:sz w:val="22"/>
          <w:szCs w:val="22"/>
        </w:rPr>
        <w:t>合同变更未作为一份单独的合同进行会计处理的，且在合同变更日已转让的商品或已提供 的服务与未转让的商品或未提供的服务之间可明确区分的，本集团视为原合同终止，同 时，将原合同未履约部分与合同变更部分合并为新合同进行会计处理。</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707" w:val="left"/>
        </w:tabs>
        <w:bidi w:val="0"/>
        <w:spacing w:before="0" w:after="300" w:line="316"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07" w:val="left"/>
        </w:tabs>
        <w:bidi w:val="0"/>
        <w:spacing w:before="0" w:after="220" w:line="276" w:lineRule="auto"/>
        <w:ind w:left="0" w:right="0" w:firstLine="0"/>
        <w:jc w:val="both"/>
        <w:rPr>
          <w:sz w:val="22"/>
          <w:szCs w:val="22"/>
        </w:rPr>
      </w:pPr>
      <w:bookmarkStart w:id="931" w:name="bookmark931"/>
      <w:r>
        <w:rPr>
          <w:rFonts w:ascii="Times New Roman" w:eastAsia="Times New Roman" w:hAnsi="Times New Roman" w:cs="Times New Roman"/>
          <w:color w:val="000000"/>
          <w:spacing w:val="0"/>
          <w:w w:val="100"/>
          <w:position w:val="0"/>
          <w:sz w:val="24"/>
          <w:szCs w:val="24"/>
        </w:rPr>
        <w:t>2</w:t>
      </w:r>
      <w:bookmarkEnd w:id="93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收入确认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310" w:lineRule="exact"/>
        <w:ind w:left="740" w:right="0" w:firstLine="0"/>
        <w:jc w:val="both"/>
        <w:rPr>
          <w:sz w:val="22"/>
          <w:szCs w:val="22"/>
        </w:rPr>
      </w:pPr>
      <w:r>
        <w:rPr>
          <w:color w:val="000000"/>
          <w:spacing w:val="0"/>
          <w:w w:val="100"/>
          <w:position w:val="0"/>
          <w:sz w:val="22"/>
          <w:szCs w:val="22"/>
        </w:rPr>
        <w:t>本集团对于提供的电信服务通常按照履约进度确认收入，而销售终端及其他电信设备被视 为单项履约义务时，本集团在用户取得相关商品的控制权时点确认收入。与本集团取得收 入的主要活动相关的具体会计政策描述如下：</w:t>
      </w:r>
    </w:p>
    <w:p>
      <w:pPr>
        <w:pStyle w:val="Style5"/>
        <w:keepNext w:val="0"/>
        <w:keepLines w:val="0"/>
        <w:widowControl w:val="0"/>
        <w:numPr>
          <w:ilvl w:val="0"/>
          <w:numId w:val="97"/>
        </w:numPr>
        <w:shd w:val="clear" w:color="auto" w:fill="auto"/>
        <w:tabs>
          <w:tab w:pos="1288" w:val="left"/>
        </w:tabs>
        <w:bidi w:val="0"/>
        <w:spacing w:before="0" w:after="0" w:line="316" w:lineRule="exact"/>
        <w:ind w:left="740" w:right="0" w:firstLine="0"/>
        <w:jc w:val="both"/>
        <w:rPr>
          <w:sz w:val="22"/>
          <w:szCs w:val="22"/>
        </w:rPr>
      </w:pPr>
      <w:bookmarkStart w:id="932" w:name="bookmark932"/>
      <w:bookmarkEnd w:id="932"/>
      <w:r>
        <w:rPr>
          <w:color w:val="000000"/>
          <w:spacing w:val="0"/>
          <w:w w:val="100"/>
          <w:position w:val="0"/>
          <w:sz w:val="22"/>
          <w:szCs w:val="22"/>
        </w:rPr>
        <w:t>语音通话费和月租费在提供服务的过程中确认；</w:t>
      </w:r>
    </w:p>
    <w:p>
      <w:pPr>
        <w:pStyle w:val="Style5"/>
        <w:keepNext w:val="0"/>
        <w:keepLines w:val="0"/>
        <w:widowControl w:val="0"/>
        <w:numPr>
          <w:ilvl w:val="0"/>
          <w:numId w:val="97"/>
        </w:numPr>
        <w:shd w:val="clear" w:color="auto" w:fill="auto"/>
        <w:tabs>
          <w:tab w:pos="1288" w:val="left"/>
        </w:tabs>
        <w:bidi w:val="0"/>
        <w:spacing w:before="0" w:after="0" w:line="316" w:lineRule="exact"/>
        <w:ind w:left="1280" w:right="0" w:hanging="540"/>
        <w:jc w:val="both"/>
        <w:rPr>
          <w:sz w:val="22"/>
          <w:szCs w:val="22"/>
        </w:rPr>
      </w:pPr>
      <w:bookmarkStart w:id="933" w:name="bookmark933"/>
      <w:bookmarkEnd w:id="933"/>
      <w:r>
        <w:rPr>
          <w:color w:val="000000"/>
          <w:spacing w:val="0"/>
          <w:w w:val="100"/>
          <w:position w:val="0"/>
          <w:sz w:val="22"/>
          <w:szCs w:val="22"/>
        </w:rPr>
        <w:t>增值服务收入是指向用户提供如短信、炫铃、个性化彩铃、来电显示以及秘书服务 等，并在服务提供的过程中确认；</w:t>
      </w:r>
    </w:p>
    <w:p>
      <w:pPr>
        <w:pStyle w:val="Style5"/>
        <w:keepNext w:val="0"/>
        <w:keepLines w:val="0"/>
        <w:widowControl w:val="0"/>
        <w:numPr>
          <w:ilvl w:val="0"/>
          <w:numId w:val="97"/>
        </w:numPr>
        <w:shd w:val="clear" w:color="auto" w:fill="auto"/>
        <w:tabs>
          <w:tab w:pos="1288" w:val="left"/>
        </w:tabs>
        <w:bidi w:val="0"/>
        <w:spacing w:before="0" w:after="0" w:line="316" w:lineRule="exact"/>
        <w:ind w:left="0" w:right="0" w:firstLine="740"/>
        <w:jc w:val="left"/>
        <w:rPr>
          <w:sz w:val="22"/>
          <w:szCs w:val="22"/>
        </w:rPr>
      </w:pPr>
      <w:bookmarkStart w:id="934" w:name="bookmark934"/>
      <w:bookmarkEnd w:id="934"/>
      <w:r>
        <w:rPr>
          <w:color w:val="000000"/>
          <w:spacing w:val="0"/>
          <w:w w:val="100"/>
          <w:position w:val="0"/>
          <w:sz w:val="22"/>
          <w:szCs w:val="22"/>
        </w:rPr>
        <w:t>提供宽带及移动数据服务的收入在提供服务的过程中予以确认；</w:t>
      </w:r>
    </w:p>
    <w:p>
      <w:pPr>
        <w:pStyle w:val="Style5"/>
        <w:keepNext w:val="0"/>
        <w:keepLines w:val="0"/>
        <w:widowControl w:val="0"/>
        <w:numPr>
          <w:ilvl w:val="0"/>
          <w:numId w:val="97"/>
        </w:numPr>
        <w:shd w:val="clear" w:color="auto" w:fill="auto"/>
        <w:tabs>
          <w:tab w:pos="1288" w:val="left"/>
        </w:tabs>
        <w:bidi w:val="0"/>
        <w:spacing w:before="0" w:after="0" w:line="316" w:lineRule="exact"/>
        <w:ind w:left="1280" w:right="0" w:hanging="540"/>
        <w:jc w:val="both"/>
        <w:rPr>
          <w:sz w:val="22"/>
          <w:szCs w:val="22"/>
        </w:rPr>
      </w:pPr>
      <w:bookmarkStart w:id="935" w:name="bookmark935"/>
      <w:bookmarkEnd w:id="935"/>
      <w:r>
        <w:rPr>
          <w:color w:val="000000"/>
          <w:spacing w:val="0"/>
          <w:w w:val="100"/>
          <w:position w:val="0"/>
          <w:sz w:val="22"/>
          <w:szCs w:val="22"/>
        </w:rPr>
        <w:t>数据及其他互联网应用服务指互联网数据中心、云计算、大数据、物联网、信息与通 信技术等相关服务，其收入在提供服务的过程中予以确认；</w:t>
      </w:r>
    </w:p>
    <w:p>
      <w:pPr>
        <w:pStyle w:val="Style5"/>
        <w:keepNext w:val="0"/>
        <w:keepLines w:val="0"/>
        <w:widowControl w:val="0"/>
        <w:numPr>
          <w:ilvl w:val="0"/>
          <w:numId w:val="97"/>
        </w:numPr>
        <w:shd w:val="clear" w:color="auto" w:fill="auto"/>
        <w:tabs>
          <w:tab w:pos="1288" w:val="left"/>
        </w:tabs>
        <w:bidi w:val="0"/>
        <w:spacing w:before="0" w:after="0" w:line="316" w:lineRule="exact"/>
        <w:ind w:left="1280" w:right="0" w:hanging="540"/>
        <w:jc w:val="both"/>
        <w:rPr>
          <w:sz w:val="22"/>
          <w:szCs w:val="22"/>
        </w:rPr>
      </w:pPr>
      <w:bookmarkStart w:id="936" w:name="bookmark936"/>
      <w:bookmarkEnd w:id="936"/>
      <w:r>
        <w:rPr>
          <w:color w:val="000000"/>
          <w:spacing w:val="0"/>
          <w:w w:val="100"/>
          <w:position w:val="0"/>
          <w:sz w:val="22"/>
          <w:szCs w:val="22"/>
        </w:rPr>
        <w:t>网间结算收入指本集团与国内外其他电信运营商网络间通信而获得的收入，于发生的 过程中确认；网间结算支出指本集团与国内外其他电信运营商网络间通信所产生的支 出，于发生时确认；</w:t>
      </w:r>
    </w:p>
    <w:p>
      <w:pPr>
        <w:pStyle w:val="Style5"/>
        <w:keepNext w:val="0"/>
        <w:keepLines w:val="0"/>
        <w:widowControl w:val="0"/>
        <w:numPr>
          <w:ilvl w:val="0"/>
          <w:numId w:val="97"/>
        </w:numPr>
        <w:shd w:val="clear" w:color="auto" w:fill="auto"/>
        <w:tabs>
          <w:tab w:pos="1288" w:val="left"/>
        </w:tabs>
        <w:bidi w:val="0"/>
        <w:spacing w:before="0" w:after="0" w:line="316" w:lineRule="exact"/>
        <w:ind w:left="1280" w:right="0" w:hanging="540"/>
        <w:jc w:val="both"/>
        <w:rPr>
          <w:sz w:val="22"/>
          <w:szCs w:val="22"/>
        </w:rPr>
      </w:pPr>
      <w:bookmarkStart w:id="937" w:name="bookmark937"/>
      <w:bookmarkEnd w:id="937"/>
      <w:r>
        <w:rPr>
          <w:color w:val="000000"/>
          <w:spacing w:val="0"/>
          <w:w w:val="100"/>
          <w:position w:val="0"/>
          <w:sz w:val="22"/>
          <w:szCs w:val="22"/>
        </w:rPr>
        <w:t>销售通信产品收入指销售手机、通信设备等通信产品而产生的收入，在最终用户已接 受该通信产品并取得该通信产品控制权时确认；</w:t>
      </w:r>
    </w:p>
    <w:p>
      <w:pPr>
        <w:pStyle w:val="Style5"/>
        <w:keepNext w:val="0"/>
        <w:keepLines w:val="0"/>
        <w:widowControl w:val="0"/>
        <w:numPr>
          <w:ilvl w:val="0"/>
          <w:numId w:val="97"/>
        </w:numPr>
        <w:shd w:val="clear" w:color="auto" w:fill="auto"/>
        <w:tabs>
          <w:tab w:pos="1288" w:val="left"/>
        </w:tabs>
        <w:bidi w:val="0"/>
        <w:spacing w:before="0" w:after="0" w:line="316" w:lineRule="exact"/>
        <w:ind w:left="1280" w:right="0" w:hanging="540"/>
        <w:jc w:val="both"/>
        <w:rPr>
          <w:sz w:val="22"/>
          <w:szCs w:val="22"/>
        </w:rPr>
      </w:pPr>
      <w:bookmarkStart w:id="938" w:name="bookmark938"/>
      <w:bookmarkEnd w:id="938"/>
      <w:r>
        <w:rPr>
          <w:color w:val="000000"/>
          <w:spacing w:val="0"/>
          <w:w w:val="100"/>
          <w:position w:val="0"/>
          <w:sz w:val="22"/>
          <w:szCs w:val="22"/>
        </w:rPr>
        <w:t>网元及电路的服务收入在服务期限内确认；</w:t>
      </w:r>
    </w:p>
    <w:p>
      <w:pPr>
        <w:pStyle w:val="Style5"/>
        <w:keepNext w:val="0"/>
        <w:keepLines w:val="0"/>
        <w:widowControl w:val="0"/>
        <w:numPr>
          <w:ilvl w:val="0"/>
          <w:numId w:val="97"/>
        </w:numPr>
        <w:shd w:val="clear" w:color="auto" w:fill="auto"/>
        <w:tabs>
          <w:tab w:pos="1288" w:val="left"/>
        </w:tabs>
        <w:bidi w:val="0"/>
        <w:spacing w:before="0" w:after="0" w:line="316" w:lineRule="exact"/>
        <w:ind w:left="1280" w:right="0" w:hanging="540"/>
        <w:jc w:val="both"/>
        <w:rPr>
          <w:sz w:val="22"/>
          <w:szCs w:val="22"/>
        </w:rPr>
      </w:pPr>
      <w:bookmarkStart w:id="939" w:name="bookmark939"/>
      <w:bookmarkEnd w:id="939"/>
      <w:r>
        <w:rPr>
          <w:color w:val="000000"/>
          <w:spacing w:val="0"/>
          <w:w w:val="100"/>
          <w:position w:val="0"/>
          <w:sz w:val="22"/>
          <w:szCs w:val="22"/>
        </w:rPr>
        <w:t>本集团向用户提供了积分奖励计划。该积分奖励计划根据用户的消费额、缴费记录等 对其进行奖励。根据奖励积分计划，本集团将部分交易价格分摊至用户在未来购买本 集团商品或服务时可兑换抵扣的奖励积分。分摊比例按照奖励积分和相关商品或服务 单独售价的相对比例确定。本集团将分摊至奖励积分的金额予以递延并在积分兑换或 到期时确认为收入；</w:t>
      </w:r>
    </w:p>
    <w:p>
      <w:pPr>
        <w:pStyle w:val="Style5"/>
        <w:keepNext w:val="0"/>
        <w:keepLines w:val="0"/>
        <w:widowControl w:val="0"/>
        <w:shd w:val="clear" w:color="auto" w:fill="auto"/>
        <w:bidi w:val="0"/>
        <w:spacing w:before="0" w:after="300" w:line="316" w:lineRule="exact"/>
        <w:ind w:left="1280" w:right="0" w:hanging="540"/>
        <w:jc w:val="both"/>
        <w:rPr>
          <w:sz w:val="22"/>
          <w:szCs w:val="22"/>
        </w:rPr>
      </w:pPr>
      <w:r>
        <w:rPr>
          <w:color w:val="000000"/>
          <w:spacing w:val="0"/>
          <w:w w:val="100"/>
          <w:position w:val="0"/>
          <w:sz w:val="22"/>
          <w:szCs w:val="22"/>
        </w:rPr>
        <w:t>⑴本集团向用户提供捆绑通信终端及通信服务的优惠套餐。该优惠套餐的合同总金额按 照通信终端和通信服务的单独售价在两者之间进行分配。通信终端销售收入于最终用 户已接受该通信终端并取得该通信终端控制权时予以确认。通信服务收入按用户的移 动通信服务实际用量予以确认。销售通信终端的成本于通信终端销售收入确认时于利 润表内立刻确认为营业成本。</w:t>
      </w:r>
    </w:p>
    <w:p>
      <w:pPr>
        <w:pStyle w:val="Style5"/>
        <w:keepNext w:val="0"/>
        <w:keepLines w:val="0"/>
        <w:widowControl w:val="0"/>
        <w:shd w:val="clear" w:color="auto" w:fill="auto"/>
        <w:tabs>
          <w:tab w:pos="707" w:val="left"/>
        </w:tabs>
        <w:bidi w:val="0"/>
        <w:spacing w:before="0" w:after="220" w:line="276" w:lineRule="auto"/>
        <w:ind w:left="0" w:right="0" w:firstLine="0"/>
        <w:jc w:val="both"/>
        <w:rPr>
          <w:sz w:val="22"/>
          <w:szCs w:val="22"/>
        </w:rPr>
      </w:pPr>
      <w:bookmarkStart w:id="940" w:name="bookmark940"/>
      <w:r>
        <w:rPr>
          <w:rFonts w:ascii="Times New Roman" w:eastAsia="Times New Roman" w:hAnsi="Times New Roman" w:cs="Times New Roman"/>
          <w:color w:val="000000"/>
          <w:spacing w:val="0"/>
          <w:w w:val="100"/>
          <w:position w:val="0"/>
          <w:sz w:val="24"/>
          <w:szCs w:val="24"/>
        </w:rPr>
        <w:t>2</w:t>
      </w:r>
      <w:bookmarkEnd w:id="940"/>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利息收入</w:t>
      </w:r>
    </w:p>
    <w:p>
      <w:pPr>
        <w:pStyle w:val="Style5"/>
        <w:keepNext w:val="0"/>
        <w:keepLines w:val="0"/>
        <w:widowControl w:val="0"/>
        <w:shd w:val="clear" w:color="auto" w:fill="auto"/>
        <w:bidi w:val="0"/>
        <w:spacing w:before="0" w:after="300" w:line="314" w:lineRule="exact"/>
        <w:ind w:left="740" w:right="0" w:firstLine="0"/>
        <w:jc w:val="both"/>
        <w:rPr>
          <w:sz w:val="22"/>
          <w:szCs w:val="22"/>
        </w:rPr>
      </w:pPr>
      <w:r>
        <w:rPr>
          <w:color w:val="000000"/>
          <w:spacing w:val="0"/>
          <w:w w:val="100"/>
          <w:position w:val="0"/>
          <w:sz w:val="22"/>
          <w:szCs w:val="22"/>
        </w:rPr>
        <w:t>存放于银行或其他金融机构的存款利息收入按借出货币资金的时间，采用实际利率计算确 定；对于分类为以摊余成本计量或分类为以公允价值计量且其变动计入其他综合收益且未 发生信用损失的金融资产，实际利率适用于该资产的账面余额。对于发生信用减值的金融 资产，实际利率适用于资产的摊余成本。</w:t>
      </w:r>
    </w:p>
    <w:p>
      <w:pPr>
        <w:pStyle w:val="Style5"/>
        <w:keepNext w:val="0"/>
        <w:keepLines w:val="0"/>
        <w:widowControl w:val="0"/>
        <w:shd w:val="clear" w:color="auto" w:fill="auto"/>
        <w:tabs>
          <w:tab w:pos="707" w:val="left"/>
        </w:tabs>
        <w:bidi w:val="0"/>
        <w:spacing w:before="0" w:after="220" w:line="276" w:lineRule="auto"/>
        <w:ind w:left="0" w:right="0" w:firstLine="0"/>
        <w:jc w:val="both"/>
        <w:rPr>
          <w:sz w:val="22"/>
          <w:szCs w:val="22"/>
        </w:rPr>
      </w:pPr>
      <w:bookmarkStart w:id="941" w:name="bookmark941"/>
      <w:r>
        <w:rPr>
          <w:rFonts w:ascii="Times New Roman" w:eastAsia="Times New Roman" w:hAnsi="Times New Roman" w:cs="Times New Roman"/>
          <w:color w:val="000000"/>
          <w:spacing w:val="0"/>
          <w:w w:val="100"/>
          <w:position w:val="0"/>
          <w:sz w:val="24"/>
          <w:szCs w:val="24"/>
        </w:rPr>
        <w:t>2</w:t>
      </w:r>
      <w:bookmarkEnd w:id="941"/>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合同成本</w:t>
      </w:r>
    </w:p>
    <w:p>
      <w:pPr>
        <w:pStyle w:val="Style5"/>
        <w:keepNext w:val="0"/>
        <w:keepLines w:val="0"/>
        <w:widowControl w:val="0"/>
        <w:shd w:val="clear" w:color="auto" w:fill="auto"/>
        <w:bidi w:val="0"/>
        <w:spacing w:before="0" w:after="220" w:line="316" w:lineRule="exact"/>
        <w:ind w:left="0" w:right="0" w:firstLine="740"/>
        <w:jc w:val="both"/>
        <w:rPr>
          <w:sz w:val="22"/>
          <w:szCs w:val="22"/>
        </w:rPr>
      </w:pPr>
      <w:r>
        <w:rPr>
          <w:color w:val="000000"/>
          <w:spacing w:val="0"/>
          <w:w w:val="100"/>
          <w:position w:val="0"/>
          <w:sz w:val="22"/>
          <w:szCs w:val="22"/>
        </w:rPr>
        <w:t>合同成本包括为取得合同发生的增量成本及合同履约成本。</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8" w:val="left"/>
        </w:tabs>
        <w:bidi w:val="0"/>
        <w:spacing w:before="0" w:after="26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8" w:val="left"/>
        </w:tabs>
        <w:bidi w:val="0"/>
        <w:spacing w:before="0" w:after="260" w:line="271" w:lineRule="auto"/>
        <w:ind w:left="0" w:right="0" w:firstLine="0"/>
        <w:jc w:val="both"/>
        <w:rPr>
          <w:sz w:val="22"/>
          <w:szCs w:val="22"/>
        </w:rPr>
      </w:pPr>
      <w:bookmarkStart w:id="942" w:name="bookmark942"/>
      <w:r>
        <w:rPr>
          <w:rFonts w:ascii="Times New Roman" w:eastAsia="Times New Roman" w:hAnsi="Times New Roman" w:cs="Times New Roman"/>
          <w:color w:val="000000"/>
          <w:spacing w:val="0"/>
          <w:w w:val="100"/>
          <w:position w:val="0"/>
          <w:sz w:val="24"/>
          <w:szCs w:val="24"/>
        </w:rPr>
        <w:t>2</w:t>
      </w:r>
      <w:bookmarkEnd w:id="942"/>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合同成本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07" w:lineRule="exact"/>
        <w:ind w:left="740" w:right="0" w:firstLine="0"/>
        <w:jc w:val="both"/>
        <w:rPr>
          <w:sz w:val="22"/>
          <w:szCs w:val="22"/>
        </w:rPr>
      </w:pPr>
      <w:r>
        <w:rPr>
          <w:color w:val="000000"/>
          <w:spacing w:val="0"/>
          <w:w w:val="100"/>
          <w:position w:val="0"/>
          <w:sz w:val="22"/>
          <w:szCs w:val="22"/>
        </w:rPr>
        <w:t>为取得合同发生的增量成本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合同取得成本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是指本集团不取得合同就不会发生的成本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 销售佣金等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。该成本预期能够收回的，本集团将其作为合同取得成本确认为一项资产。本 集团为取得合同发生的、除预期能够收回的增量成本之外的其他支出于发生时计入当期损 益。</w:t>
      </w:r>
    </w:p>
    <w:p>
      <w:pPr>
        <w:pStyle w:val="Style5"/>
        <w:keepNext w:val="0"/>
        <w:keepLines w:val="0"/>
        <w:widowControl w:val="0"/>
        <w:shd w:val="clear" w:color="auto" w:fill="auto"/>
        <w:bidi w:val="0"/>
        <w:spacing w:before="0" w:after="0" w:line="312" w:lineRule="exact"/>
        <w:ind w:left="740" w:right="0" w:firstLine="0"/>
        <w:jc w:val="both"/>
        <w:rPr>
          <w:sz w:val="22"/>
          <w:szCs w:val="22"/>
        </w:rPr>
      </w:pPr>
      <w:r>
        <w:rPr>
          <w:color w:val="000000"/>
          <w:spacing w:val="0"/>
          <w:w w:val="100"/>
          <w:position w:val="0"/>
          <w:sz w:val="22"/>
          <w:szCs w:val="22"/>
        </w:rPr>
        <w:t>为履行合同发生的成本，不属于存货等其他企业会计准则规范范围且同时满足下列条件</w:t>
      </w:r>
    </w:p>
    <w:p>
      <w:pPr>
        <w:pStyle w:val="Style5"/>
        <w:keepNext w:val="0"/>
        <w:keepLines w:val="0"/>
        <w:widowControl w:val="0"/>
        <w:shd w:val="clear" w:color="auto" w:fill="auto"/>
        <w:bidi w:val="0"/>
        <w:spacing w:before="0" w:after="260" w:line="312" w:lineRule="exact"/>
        <w:ind w:left="0" w:right="0" w:firstLine="740"/>
        <w:jc w:val="both"/>
        <w:rPr>
          <w:sz w:val="22"/>
          <w:szCs w:val="22"/>
        </w:rPr>
      </w:pPr>
      <w:r>
        <w:rPr>
          <w:color w:val="000000"/>
          <w:spacing w:val="0"/>
          <w:w w:val="100"/>
          <w:position w:val="0"/>
          <w:sz w:val="22"/>
          <w:szCs w:val="22"/>
        </w:rPr>
        <w:t>的，本集团将其作为合同履约成本确认为一项资产：</w:t>
      </w:r>
    </w:p>
    <w:p>
      <w:pPr>
        <w:pStyle w:val="Style5"/>
        <w:keepNext w:val="0"/>
        <w:keepLines w:val="0"/>
        <w:widowControl w:val="0"/>
        <w:numPr>
          <w:ilvl w:val="0"/>
          <w:numId w:val="63"/>
        </w:numPr>
        <w:shd w:val="clear" w:color="auto" w:fill="auto"/>
        <w:tabs>
          <w:tab w:pos="1286" w:val="left"/>
        </w:tabs>
        <w:bidi w:val="0"/>
        <w:spacing w:before="0" w:after="0" w:line="312" w:lineRule="exact"/>
        <w:ind w:left="1280" w:right="0" w:hanging="540"/>
        <w:jc w:val="both"/>
        <w:rPr>
          <w:sz w:val="22"/>
          <w:szCs w:val="22"/>
        </w:rPr>
      </w:pPr>
      <w:bookmarkStart w:id="943" w:name="bookmark943"/>
      <w:bookmarkEnd w:id="943"/>
      <w:r>
        <w:rPr>
          <w:color w:val="000000"/>
          <w:spacing w:val="0"/>
          <w:w w:val="100"/>
          <w:position w:val="0"/>
          <w:sz w:val="22"/>
          <w:szCs w:val="22"/>
        </w:rPr>
        <w:t xml:space="preserve">该成本与一份当前或预期取得的合同直接相关，包括直接人工、直接材料、制造费用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或类似费用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、明确由用户承担的成本以及仅因该合同而发生的其他成本；</w:t>
      </w:r>
    </w:p>
    <w:p>
      <w:pPr>
        <w:pStyle w:val="Style5"/>
        <w:keepNext w:val="0"/>
        <w:keepLines w:val="0"/>
        <w:widowControl w:val="0"/>
        <w:numPr>
          <w:ilvl w:val="0"/>
          <w:numId w:val="63"/>
        </w:numPr>
        <w:shd w:val="clear" w:color="auto" w:fill="auto"/>
        <w:tabs>
          <w:tab w:pos="1286" w:val="left"/>
        </w:tabs>
        <w:bidi w:val="0"/>
        <w:spacing w:before="0" w:after="0" w:line="312" w:lineRule="exact"/>
        <w:ind w:left="0" w:right="0" w:firstLine="740"/>
        <w:jc w:val="both"/>
        <w:rPr>
          <w:sz w:val="22"/>
          <w:szCs w:val="22"/>
        </w:rPr>
      </w:pPr>
      <w:bookmarkStart w:id="944" w:name="bookmark944"/>
      <w:bookmarkEnd w:id="944"/>
      <w:r>
        <w:rPr>
          <w:color w:val="000000"/>
          <w:spacing w:val="0"/>
          <w:w w:val="100"/>
          <w:position w:val="0"/>
          <w:sz w:val="22"/>
          <w:szCs w:val="22"/>
        </w:rPr>
        <w:t>该成本增加了本集团未来用于履行履约义务的资源；</w:t>
      </w:r>
    </w:p>
    <w:p>
      <w:pPr>
        <w:pStyle w:val="Style5"/>
        <w:keepNext w:val="0"/>
        <w:keepLines w:val="0"/>
        <w:widowControl w:val="0"/>
        <w:numPr>
          <w:ilvl w:val="0"/>
          <w:numId w:val="63"/>
        </w:numPr>
        <w:shd w:val="clear" w:color="auto" w:fill="auto"/>
        <w:tabs>
          <w:tab w:pos="1286" w:val="left"/>
        </w:tabs>
        <w:bidi w:val="0"/>
        <w:spacing w:before="0" w:after="260" w:line="271" w:lineRule="auto"/>
        <w:ind w:left="0" w:right="0" w:firstLine="740"/>
        <w:jc w:val="both"/>
        <w:rPr>
          <w:sz w:val="22"/>
          <w:szCs w:val="22"/>
        </w:rPr>
      </w:pPr>
      <w:bookmarkStart w:id="945" w:name="bookmark945"/>
      <w:bookmarkEnd w:id="945"/>
      <w:r>
        <w:rPr>
          <w:color w:val="000000"/>
          <w:spacing w:val="0"/>
          <w:w w:val="100"/>
          <w:position w:val="0"/>
          <w:sz w:val="22"/>
          <w:szCs w:val="22"/>
        </w:rPr>
        <w:t>该成本预期能够收回。</w:t>
      </w:r>
    </w:p>
    <w:p>
      <w:pPr>
        <w:pStyle w:val="Style5"/>
        <w:keepNext w:val="0"/>
        <w:keepLines w:val="0"/>
        <w:widowControl w:val="0"/>
        <w:shd w:val="clear" w:color="auto" w:fill="auto"/>
        <w:bidi w:val="0"/>
        <w:spacing w:before="0" w:after="260" w:line="307" w:lineRule="exact"/>
        <w:ind w:left="740" w:right="0" w:firstLine="0"/>
        <w:jc w:val="left"/>
        <w:rPr>
          <w:sz w:val="22"/>
          <w:szCs w:val="22"/>
        </w:rPr>
      </w:pPr>
      <w:r>
        <w:rPr>
          <w:color w:val="000000"/>
          <w:spacing w:val="0"/>
          <w:w w:val="100"/>
          <w:position w:val="0"/>
          <w:sz w:val="22"/>
          <w:szCs w:val="22"/>
        </w:rPr>
        <w:t>合同取得成本确认的资产和合同履约成本确认的资产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与合同成本有关的资产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采用与该资产相关的商品或服务收入确认相同的基础进行摊销，计入当期损益。摊销期限 不超过一年则在发生时计入当期损益。</w:t>
      </w:r>
    </w:p>
    <w:p>
      <w:pPr>
        <w:pStyle w:val="Style5"/>
        <w:keepNext w:val="0"/>
        <w:keepLines w:val="0"/>
        <w:widowControl w:val="0"/>
        <w:shd w:val="clear" w:color="auto" w:fill="auto"/>
        <w:bidi w:val="0"/>
        <w:spacing w:before="0" w:after="260" w:line="312" w:lineRule="exact"/>
        <w:ind w:left="740" w:right="0" w:firstLine="0"/>
        <w:jc w:val="left"/>
        <w:rPr>
          <w:sz w:val="22"/>
          <w:szCs w:val="22"/>
        </w:rPr>
      </w:pPr>
      <w:r>
        <w:rPr>
          <w:color w:val="000000"/>
          <w:spacing w:val="0"/>
          <w:w w:val="100"/>
          <w:position w:val="0"/>
          <w:sz w:val="22"/>
          <w:szCs w:val="22"/>
        </w:rPr>
        <w:t>在确定与合同成本有关的资产的减值损失时，首先对按照其他相关企业会计准则确认的、 与合同有关的其他资产确定减值损失；然后，对于与合同成本有关的资产，其账面价值高 于下列两项的差额的，超出部分计提减值准备，并确认为资产减值损失：</w:t>
      </w:r>
    </w:p>
    <w:p>
      <w:pPr>
        <w:pStyle w:val="Style5"/>
        <w:keepNext w:val="0"/>
        <w:keepLines w:val="0"/>
        <w:widowControl w:val="0"/>
        <w:numPr>
          <w:ilvl w:val="0"/>
          <w:numId w:val="63"/>
        </w:numPr>
        <w:shd w:val="clear" w:color="auto" w:fill="auto"/>
        <w:tabs>
          <w:tab w:pos="1286" w:val="left"/>
        </w:tabs>
        <w:bidi w:val="0"/>
        <w:spacing w:before="0" w:after="0" w:line="312" w:lineRule="exact"/>
        <w:ind w:left="0" w:right="0" w:firstLine="740"/>
        <w:jc w:val="both"/>
        <w:rPr>
          <w:sz w:val="22"/>
          <w:szCs w:val="22"/>
        </w:rPr>
      </w:pPr>
      <w:bookmarkStart w:id="946" w:name="bookmark946"/>
      <w:bookmarkEnd w:id="946"/>
      <w:r>
        <w:rPr>
          <w:color w:val="000000"/>
          <w:spacing w:val="0"/>
          <w:w w:val="100"/>
          <w:position w:val="0"/>
          <w:sz w:val="22"/>
          <w:szCs w:val="22"/>
        </w:rPr>
        <w:t>本集团因转让与该资产相关的商品或服务预期能够取得的剩余对价；</w:t>
      </w:r>
    </w:p>
    <w:p>
      <w:pPr>
        <w:pStyle w:val="Style5"/>
        <w:keepNext w:val="0"/>
        <w:keepLines w:val="0"/>
        <w:widowControl w:val="0"/>
        <w:numPr>
          <w:ilvl w:val="0"/>
          <w:numId w:val="63"/>
        </w:numPr>
        <w:shd w:val="clear" w:color="auto" w:fill="auto"/>
        <w:tabs>
          <w:tab w:pos="1286" w:val="left"/>
        </w:tabs>
        <w:bidi w:val="0"/>
        <w:spacing w:before="0" w:after="260" w:line="312" w:lineRule="exact"/>
        <w:ind w:left="0" w:right="0" w:firstLine="740"/>
        <w:jc w:val="both"/>
        <w:rPr>
          <w:sz w:val="22"/>
          <w:szCs w:val="22"/>
        </w:rPr>
      </w:pPr>
      <w:bookmarkStart w:id="947" w:name="bookmark947"/>
      <w:bookmarkEnd w:id="947"/>
      <w:r>
        <w:rPr>
          <w:color w:val="000000"/>
          <w:spacing w:val="0"/>
          <w:w w:val="100"/>
          <w:position w:val="0"/>
          <w:sz w:val="22"/>
          <w:szCs w:val="22"/>
        </w:rPr>
        <w:t>为转让该相关商品或服务估计将要发生的成本。</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与合同成本相关的资产计提减值准备后，如果以前期间减值的因素发生变化，使得上述两 项差额高于该资产账面价值的，转回原已计提的资产减值准备，并计入当期损益，但转回 后的资产账面价值不超过假定不计提减值准备情况下该资产在转回日的账面价值。</w:t>
      </w:r>
    </w:p>
    <w:p>
      <w:pPr>
        <w:pStyle w:val="Style5"/>
        <w:keepNext w:val="0"/>
        <w:keepLines w:val="0"/>
        <w:widowControl w:val="0"/>
        <w:shd w:val="clear" w:color="auto" w:fill="auto"/>
        <w:tabs>
          <w:tab w:pos="688" w:val="left"/>
        </w:tabs>
        <w:bidi w:val="0"/>
        <w:spacing w:before="0" w:after="260" w:line="271" w:lineRule="auto"/>
        <w:ind w:left="0" w:right="0" w:firstLine="0"/>
        <w:jc w:val="both"/>
        <w:rPr>
          <w:sz w:val="22"/>
          <w:szCs w:val="22"/>
        </w:rPr>
      </w:pPr>
      <w:bookmarkStart w:id="948" w:name="bookmark948"/>
      <w:r>
        <w:rPr>
          <w:rFonts w:ascii="Times New Roman" w:eastAsia="Times New Roman" w:hAnsi="Times New Roman" w:cs="Times New Roman"/>
          <w:color w:val="000000"/>
          <w:spacing w:val="0"/>
          <w:w w:val="100"/>
          <w:position w:val="0"/>
          <w:sz w:val="24"/>
          <w:szCs w:val="24"/>
        </w:rPr>
        <w:t>2</w:t>
      </w:r>
      <w:bookmarkEnd w:id="948"/>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tab/>
        <w:t>政府补助</w:t>
      </w:r>
    </w:p>
    <w:p>
      <w:pPr>
        <w:pStyle w:val="Style5"/>
        <w:keepNext w:val="0"/>
        <w:keepLines w:val="0"/>
        <w:widowControl w:val="0"/>
        <w:shd w:val="clear" w:color="auto" w:fill="auto"/>
        <w:bidi w:val="0"/>
        <w:spacing w:before="0" w:after="260" w:line="317" w:lineRule="exact"/>
        <w:ind w:left="740" w:right="0" w:firstLine="0"/>
        <w:jc w:val="both"/>
        <w:rPr>
          <w:sz w:val="22"/>
          <w:szCs w:val="22"/>
        </w:rPr>
      </w:pPr>
      <w:r>
        <w:rPr>
          <w:color w:val="000000"/>
          <w:spacing w:val="0"/>
          <w:w w:val="100"/>
          <w:position w:val="0"/>
          <w:sz w:val="22"/>
          <w:szCs w:val="22"/>
        </w:rPr>
        <w:t>政府补助是本集团从政府无偿取得的货币性资产或非货币性资产，但不包括政府以投资者 身份向本集团投入的资本。</w:t>
      </w:r>
    </w:p>
    <w:p>
      <w:pPr>
        <w:pStyle w:val="Style5"/>
        <w:keepNext w:val="0"/>
        <w:keepLines w:val="0"/>
        <w:widowControl w:val="0"/>
        <w:shd w:val="clear" w:color="auto" w:fill="auto"/>
        <w:bidi w:val="0"/>
        <w:spacing w:before="0" w:after="260" w:line="312" w:lineRule="exact"/>
        <w:ind w:left="0" w:right="0" w:firstLine="740"/>
        <w:jc w:val="left"/>
        <w:rPr>
          <w:sz w:val="22"/>
          <w:szCs w:val="22"/>
        </w:rPr>
      </w:pPr>
      <w:r>
        <w:rPr>
          <w:color w:val="000000"/>
          <w:spacing w:val="0"/>
          <w:w w:val="100"/>
          <w:position w:val="0"/>
          <w:sz w:val="22"/>
          <w:szCs w:val="22"/>
        </w:rPr>
        <w:t>政府补助在能够满足政府补助所附条件，并能够收到时，予以确认。</w:t>
      </w:r>
    </w:p>
    <w:p>
      <w:pPr>
        <w:pStyle w:val="Style5"/>
        <w:keepNext w:val="0"/>
        <w:keepLines w:val="0"/>
        <w:widowControl w:val="0"/>
        <w:shd w:val="clear" w:color="auto" w:fill="auto"/>
        <w:bidi w:val="0"/>
        <w:spacing w:before="0" w:after="260" w:line="307" w:lineRule="exact"/>
        <w:ind w:left="740" w:right="0" w:firstLine="0"/>
        <w:jc w:val="both"/>
        <w:rPr>
          <w:sz w:val="22"/>
          <w:szCs w:val="22"/>
        </w:rPr>
      </w:pPr>
      <w:r>
        <w:rPr>
          <w:color w:val="000000"/>
          <w:spacing w:val="0"/>
          <w:w w:val="100"/>
          <w:position w:val="0"/>
          <w:sz w:val="22"/>
          <w:szCs w:val="22"/>
        </w:rPr>
        <w:t>政府补助为货币性资产的，按照收到或应收的金额计量。政府补助为非货币性资产的，按 照公允价值计量。</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8" w:val="left"/>
        </w:tabs>
        <w:bidi w:val="0"/>
        <w:spacing w:before="0" w:after="260" w:line="312"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8" w:val="left"/>
        </w:tabs>
        <w:bidi w:val="0"/>
        <w:spacing w:before="0" w:after="260" w:line="271" w:lineRule="auto"/>
        <w:ind w:left="0" w:right="0" w:firstLine="0"/>
        <w:jc w:val="both"/>
        <w:rPr>
          <w:sz w:val="22"/>
          <w:szCs w:val="22"/>
        </w:rPr>
      </w:pPr>
      <w:bookmarkStart w:id="949" w:name="bookmark949"/>
      <w:r>
        <w:rPr>
          <w:rFonts w:ascii="Times New Roman" w:eastAsia="Times New Roman" w:hAnsi="Times New Roman" w:cs="Times New Roman"/>
          <w:color w:val="000000"/>
          <w:spacing w:val="0"/>
          <w:w w:val="100"/>
          <w:position w:val="0"/>
          <w:sz w:val="24"/>
          <w:szCs w:val="24"/>
        </w:rPr>
        <w:t>2</w:t>
      </w:r>
      <w:bookmarkEnd w:id="949"/>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tab/>
        <w:t>政府补助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本集团取得的、用于购建或以其他方式形成长期资产的政府补助作为与资产相关的政府补 助。本集团取得的与资产相关之外的其他政府补助作为与收益相关的政府补助。与资产相 关的政府补助，本集团将其确认为递延收益，并在相关资产使用寿命内按照合理、系统的 方法分期计入当期损益。与收益相关的政府补助，如果用于补偿本集团以后期间的相关成 本费用或损失的，本集团将其确认为递延收益，并在确认相关成本费用或损失的期间，计 入当期损益；如果用于补偿本集团已发生的相关成本费用或损失的，则直接计入当期损 益。与本集团日常活动相关的政府补助，按照经济业务实质，计入其他收益或冲减相关成 本费用。与本集团日常活动无关的政府补助，计入营业外收入。</w:t>
      </w:r>
    </w:p>
    <w:p>
      <w:pPr>
        <w:pStyle w:val="Style5"/>
        <w:keepNext w:val="0"/>
        <w:keepLines w:val="0"/>
        <w:widowControl w:val="0"/>
        <w:shd w:val="clear" w:color="auto" w:fill="auto"/>
        <w:bidi w:val="0"/>
        <w:spacing w:before="0" w:after="260" w:line="311" w:lineRule="exact"/>
        <w:ind w:left="740" w:right="0" w:firstLine="0"/>
        <w:jc w:val="both"/>
        <w:rPr>
          <w:sz w:val="22"/>
          <w:szCs w:val="22"/>
        </w:rPr>
      </w:pPr>
      <w:r>
        <w:rPr>
          <w:color w:val="000000"/>
          <w:spacing w:val="0"/>
          <w:w w:val="100"/>
          <w:position w:val="0"/>
          <w:sz w:val="22"/>
          <w:szCs w:val="22"/>
        </w:rPr>
        <w:t>对于本集团取得的政策性优惠借款贴息，如果财政将贴息资金拨付给贷款银行，本集团以 借款的公允价值作为借款的入账价值并按照实际利率法计算借款费用，实际收到的金额与 借款公允价值之间的差额确认为递延收益，递延收益在借款存续期内采用实际利率法摊 销，冲减相关借款费用；如果财政将贴息资金直接拨付给本集团，则将对应的贴息冲减相 关借款费用。</w:t>
      </w:r>
    </w:p>
    <w:p>
      <w:pPr>
        <w:pStyle w:val="Style5"/>
        <w:keepNext w:val="0"/>
        <w:keepLines w:val="0"/>
        <w:widowControl w:val="0"/>
        <w:shd w:val="clear" w:color="auto" w:fill="auto"/>
        <w:tabs>
          <w:tab w:pos="698" w:val="left"/>
        </w:tabs>
        <w:bidi w:val="0"/>
        <w:spacing w:before="0" w:after="260" w:line="312" w:lineRule="exact"/>
        <w:ind w:left="0" w:right="0" w:firstLine="0"/>
        <w:jc w:val="left"/>
        <w:rPr>
          <w:sz w:val="22"/>
          <w:szCs w:val="22"/>
        </w:rPr>
      </w:pPr>
      <w:bookmarkStart w:id="950" w:name="bookmark950"/>
      <w:r>
        <w:rPr>
          <w:rFonts w:ascii="Times New Roman" w:eastAsia="Times New Roman" w:hAnsi="Times New Roman" w:cs="Times New Roman"/>
          <w:color w:val="000000"/>
          <w:spacing w:val="0"/>
          <w:w w:val="100"/>
          <w:position w:val="0"/>
          <w:sz w:val="24"/>
          <w:szCs w:val="24"/>
        </w:rPr>
        <w:t>2</w:t>
      </w:r>
      <w:bookmarkEnd w:id="950"/>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w:t>
        <w:tab/>
        <w:t>递延所得税资产和递延所得税负债</w:t>
      </w:r>
    </w:p>
    <w:p>
      <w:pPr>
        <w:pStyle w:val="Style5"/>
        <w:keepNext w:val="0"/>
        <w:keepLines w:val="0"/>
        <w:widowControl w:val="0"/>
        <w:shd w:val="clear" w:color="auto" w:fill="auto"/>
        <w:bidi w:val="0"/>
        <w:spacing w:before="0" w:after="320" w:line="312" w:lineRule="exact"/>
        <w:ind w:left="0" w:right="0" w:firstLine="740"/>
        <w:jc w:val="left"/>
        <w:rPr>
          <w:sz w:val="22"/>
          <w:szCs w:val="22"/>
        </w:rPr>
      </w:pPr>
      <w:r>
        <w:rPr>
          <w:color w:val="000000"/>
          <w:spacing w:val="0"/>
          <w:w w:val="100"/>
          <w:position w:val="0"/>
          <w:sz w:val="22"/>
          <w:szCs w:val="22"/>
        </w:rPr>
        <w:t>所得税费用包括当期所得税和递延所得税。</w:t>
      </w:r>
    </w:p>
    <w:p>
      <w:pPr>
        <w:pStyle w:val="Style5"/>
        <w:keepNext w:val="0"/>
        <w:keepLines w:val="0"/>
        <w:widowControl w:val="0"/>
        <w:shd w:val="clear" w:color="auto" w:fill="auto"/>
        <w:tabs>
          <w:tab w:pos="1200" w:val="left"/>
        </w:tabs>
        <w:bidi w:val="0"/>
        <w:spacing w:before="0" w:after="260" w:line="271" w:lineRule="auto"/>
        <w:ind w:left="740" w:right="0" w:firstLine="0"/>
        <w:jc w:val="both"/>
        <w:rPr>
          <w:sz w:val="22"/>
          <w:szCs w:val="22"/>
        </w:rPr>
      </w:pPr>
      <w:bookmarkStart w:id="951" w:name="bookmark951"/>
      <w:r>
        <w:rPr>
          <w:rFonts w:ascii="Times New Roman" w:eastAsia="Times New Roman" w:hAnsi="Times New Roman" w:cs="Times New Roman"/>
          <w:color w:val="000000"/>
          <w:spacing w:val="0"/>
          <w:w w:val="100"/>
          <w:position w:val="0"/>
          <w:sz w:val="24"/>
          <w:szCs w:val="24"/>
        </w:rPr>
        <w:t>（</w:t>
      </w:r>
      <w:bookmarkEnd w:id="951"/>
      <w:r>
        <w:rPr>
          <w:rFonts w:ascii="Times New Roman" w:eastAsia="Times New Roman" w:hAnsi="Times New Roman" w:cs="Times New Roman"/>
          <w:color w:val="000000"/>
          <w:spacing w:val="0"/>
          <w:w w:val="100"/>
          <w:position w:val="0"/>
          <w:sz w:val="24"/>
          <w:szCs w:val="24"/>
        </w:rPr>
        <w:t>1）</w:t>
        <w:tab/>
      </w:r>
      <w:r>
        <w:rPr>
          <w:color w:val="000000"/>
          <w:spacing w:val="0"/>
          <w:w w:val="100"/>
          <w:position w:val="0"/>
          <w:sz w:val="22"/>
          <w:szCs w:val="22"/>
        </w:rPr>
        <w:t>当期所得税</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资产负债表日，对于当期和以前期间形成的当期所得税负债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，以按照税法规定计 算的预期应交纳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或返还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的所得税金额计量。</w:t>
      </w:r>
    </w:p>
    <w:p>
      <w:pPr>
        <w:pStyle w:val="Style5"/>
        <w:keepNext w:val="0"/>
        <w:keepLines w:val="0"/>
        <w:widowControl w:val="0"/>
        <w:shd w:val="clear" w:color="auto" w:fill="auto"/>
        <w:tabs>
          <w:tab w:pos="1200" w:val="left"/>
        </w:tabs>
        <w:bidi w:val="0"/>
        <w:spacing w:before="0" w:after="260" w:line="312" w:lineRule="exact"/>
        <w:ind w:left="0" w:right="0" w:firstLine="740"/>
        <w:jc w:val="left"/>
        <w:rPr>
          <w:sz w:val="22"/>
          <w:szCs w:val="22"/>
        </w:rPr>
      </w:pPr>
      <w:bookmarkStart w:id="952" w:name="bookmark952"/>
      <w:r>
        <w:rPr>
          <w:rFonts w:ascii="Times New Roman" w:eastAsia="Times New Roman" w:hAnsi="Times New Roman" w:cs="Times New Roman"/>
          <w:color w:val="000000"/>
          <w:spacing w:val="0"/>
          <w:w w:val="100"/>
          <w:position w:val="0"/>
          <w:sz w:val="24"/>
          <w:szCs w:val="24"/>
        </w:rPr>
        <w:t>（</w:t>
      </w:r>
      <w:bookmarkEnd w:id="952"/>
      <w:r>
        <w:rPr>
          <w:rFonts w:ascii="Times New Roman" w:eastAsia="Times New Roman" w:hAnsi="Times New Roman" w:cs="Times New Roman"/>
          <w:color w:val="000000"/>
          <w:spacing w:val="0"/>
          <w:w w:val="100"/>
          <w:position w:val="0"/>
          <w:sz w:val="24"/>
          <w:szCs w:val="24"/>
        </w:rPr>
        <w:t>2）</w:t>
        <w:tab/>
      </w:r>
      <w:r>
        <w:rPr>
          <w:color w:val="000000"/>
          <w:spacing w:val="0"/>
          <w:w w:val="100"/>
          <w:position w:val="0"/>
          <w:sz w:val="22"/>
          <w:szCs w:val="22"/>
        </w:rPr>
        <w:t>递延所得税资产及递延所得税负债</w:t>
      </w:r>
    </w:p>
    <w:p>
      <w:pPr>
        <w:pStyle w:val="Style5"/>
        <w:keepNext w:val="0"/>
        <w:keepLines w:val="0"/>
        <w:widowControl w:val="0"/>
        <w:shd w:val="clear" w:color="auto" w:fill="auto"/>
        <w:bidi w:val="0"/>
        <w:spacing w:before="0" w:after="260" w:line="314" w:lineRule="exact"/>
        <w:ind w:left="740" w:right="0" w:firstLine="0"/>
        <w:jc w:val="both"/>
        <w:rPr>
          <w:sz w:val="22"/>
          <w:szCs w:val="22"/>
        </w:rPr>
      </w:pPr>
      <w:r>
        <w:rPr>
          <w:color w:val="000000"/>
          <w:spacing w:val="0"/>
          <w:w w:val="100"/>
          <w:position w:val="0"/>
          <w:sz w:val="22"/>
          <w:szCs w:val="22"/>
        </w:rPr>
        <w:t>对于某些资产、负债项目的账面价值与其计税基础之间的差额，以及未作为资产和负债确 认但按照税法规定可以确定其计税基础的项目的账面价值与计税基础之间的差额产生的暂 时性差异，采用资产负债表债务法确认递延所得税资产及递延所得税负债。</w:t>
      </w:r>
    </w:p>
    <w:p>
      <w:pPr>
        <w:pStyle w:val="Style5"/>
        <w:keepNext w:val="0"/>
        <w:keepLines w:val="0"/>
        <w:widowControl w:val="0"/>
        <w:shd w:val="clear" w:color="auto" w:fill="auto"/>
        <w:bidi w:val="0"/>
        <w:spacing w:before="0" w:after="260" w:line="311" w:lineRule="exact"/>
        <w:ind w:left="740" w:right="0" w:firstLine="0"/>
        <w:jc w:val="both"/>
        <w:rPr>
          <w:sz w:val="22"/>
          <w:szCs w:val="22"/>
        </w:rPr>
      </w:pPr>
      <w:r>
        <w:rPr>
          <w:color w:val="000000"/>
          <w:spacing w:val="0"/>
          <w:w w:val="100"/>
          <w:position w:val="0"/>
          <w:sz w:val="22"/>
          <w:szCs w:val="22"/>
        </w:rPr>
        <w:t>一般情况下所有暂时性差异均确认相关的递延所得税。但对于可抵扣暂时性差异，本集团 以很可能取得用来抵扣可抵扣暂时性差异的应纳税所得额为限，确认相关的递延所得税资 产。此外，与商誉的初始确认相关的，以及与既不是企业合并、发生时也不影响会计利润 和应纳税所得额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或可抵扣亏损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的交易中产生的资产或负债的初始确认有关的暂时性差 异，不予确认有关的递延所得税资产或负债。</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对于能够结转以后年度的可抵扣亏损及税款抵减，以很可能获得用来抵扣可抵扣亏损和税 款抵减的未来应纳税所得额为限，确认相应的递延所得税资产。</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8" w:val="left"/>
        </w:tabs>
        <w:bidi w:val="0"/>
        <w:spacing w:before="0" w:after="260" w:line="312" w:lineRule="exact"/>
        <w:ind w:left="0" w:right="0" w:firstLine="0"/>
        <w:jc w:val="left"/>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8" w:val="left"/>
        </w:tabs>
        <w:bidi w:val="0"/>
        <w:spacing w:before="0" w:after="260" w:line="312" w:lineRule="exact"/>
        <w:ind w:left="0" w:right="0" w:firstLine="0"/>
        <w:jc w:val="left"/>
        <w:rPr>
          <w:sz w:val="22"/>
          <w:szCs w:val="22"/>
        </w:rPr>
      </w:pPr>
      <w:bookmarkStart w:id="953" w:name="bookmark953"/>
      <w:r>
        <w:rPr>
          <w:rFonts w:ascii="Times New Roman" w:eastAsia="Times New Roman" w:hAnsi="Times New Roman" w:cs="Times New Roman"/>
          <w:color w:val="000000"/>
          <w:spacing w:val="0"/>
          <w:w w:val="100"/>
          <w:position w:val="0"/>
          <w:sz w:val="24"/>
          <w:szCs w:val="24"/>
        </w:rPr>
        <w:t>2</w:t>
      </w:r>
      <w:bookmarkEnd w:id="953"/>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w:t>
        <w:tab/>
        <w:t>递延所得税资产和递延所得税负债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99"/>
        </w:numPr>
        <w:shd w:val="clear" w:color="auto" w:fill="auto"/>
        <w:tabs>
          <w:tab w:pos="1204" w:val="left"/>
        </w:tabs>
        <w:bidi w:val="0"/>
        <w:spacing w:before="0" w:after="260" w:line="312" w:lineRule="exact"/>
        <w:ind w:left="740" w:right="0" w:firstLine="0"/>
        <w:jc w:val="both"/>
        <w:rPr>
          <w:sz w:val="22"/>
          <w:szCs w:val="22"/>
        </w:rPr>
      </w:pPr>
      <w:bookmarkStart w:id="954" w:name="bookmark954"/>
      <w:bookmarkEnd w:id="954"/>
      <w:r>
        <w:rPr>
          <w:color w:val="000000"/>
          <w:spacing w:val="0"/>
          <w:w w:val="100"/>
          <w:position w:val="0"/>
          <w:sz w:val="22"/>
          <w:szCs w:val="22"/>
        </w:rPr>
        <w:t>递延所得税资产及递延所得税负债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本集团确认与子公司、联营企业及合营企业投资相关的应纳税暂时性差异产生的递延所得 税负债，除非本集团能够控制暂时性差异转回的时间，而且该暂时性差异在可预见的未来 很可能不会转回。对于与子公司、联营企业及合营企业投资相关的可抵扣暂时性差异，只 有当暂时性差异在可预见的未来很可能转回，且未来很可能获得用来抵扣可抵扣暂时性差 异的应纳税所得额时，本集团才确认递延所得税资产。</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资产负债表日，对于递延所得税资产和递延所得税负债，根据税法规定，按照预期收回相 关资产或清偿相关负债期间的适用税率计量。</w:t>
      </w:r>
    </w:p>
    <w:p>
      <w:pPr>
        <w:pStyle w:val="Style5"/>
        <w:keepNext w:val="0"/>
        <w:keepLines w:val="0"/>
        <w:widowControl w:val="0"/>
        <w:shd w:val="clear" w:color="auto" w:fill="auto"/>
        <w:bidi w:val="0"/>
        <w:spacing w:before="0" w:after="260" w:line="317" w:lineRule="exact"/>
        <w:ind w:left="740" w:right="0" w:firstLine="0"/>
        <w:jc w:val="both"/>
        <w:rPr>
          <w:sz w:val="22"/>
          <w:szCs w:val="22"/>
        </w:rPr>
      </w:pPr>
      <w:r>
        <w:rPr>
          <w:color w:val="000000"/>
          <w:spacing w:val="0"/>
          <w:w w:val="100"/>
          <w:position w:val="0"/>
          <w:sz w:val="22"/>
          <w:szCs w:val="22"/>
        </w:rPr>
        <w:t>除与直接计入其他综合收益或股东权益的交易和事项相关的当期所得税和递延所得税计入 其他综合收益或股东权益，以及企业合并产生的递延所得税调整商誉的账面价值外，其余 当期所得税和递延所得税费用或收益计入当期损益。</w:t>
      </w:r>
    </w:p>
    <w:p>
      <w:pPr>
        <w:pStyle w:val="Style5"/>
        <w:keepNext w:val="0"/>
        <w:keepLines w:val="0"/>
        <w:widowControl w:val="0"/>
        <w:shd w:val="clear" w:color="auto" w:fill="auto"/>
        <w:bidi w:val="0"/>
        <w:spacing w:before="0" w:after="320" w:line="310" w:lineRule="exact"/>
        <w:ind w:left="740" w:right="0" w:firstLine="0"/>
        <w:jc w:val="both"/>
        <w:rPr>
          <w:sz w:val="22"/>
          <w:szCs w:val="22"/>
        </w:rPr>
      </w:pPr>
      <w:r>
        <w:rPr>
          <w:color w:val="000000"/>
          <w:spacing w:val="0"/>
          <w:w w:val="100"/>
          <w:position w:val="0"/>
          <w:sz w:val="22"/>
          <w:szCs w:val="22"/>
        </w:rPr>
        <w:t>资产负债表日，对递延所得税资产的账面价值进行复核，如果未来很可能无法获得足够的 应纳税所得额用以抵扣递延所得税资产的利益，则减记递延所得税资产的账面价值。在很 可能获得足够的应纳税所得额时，减记的金额予以转回。</w:t>
      </w:r>
    </w:p>
    <w:p>
      <w:pPr>
        <w:pStyle w:val="Style5"/>
        <w:keepNext w:val="0"/>
        <w:keepLines w:val="0"/>
        <w:widowControl w:val="0"/>
        <w:numPr>
          <w:ilvl w:val="0"/>
          <w:numId w:val="99"/>
        </w:numPr>
        <w:shd w:val="clear" w:color="auto" w:fill="auto"/>
        <w:tabs>
          <w:tab w:pos="1204" w:val="left"/>
        </w:tabs>
        <w:bidi w:val="0"/>
        <w:spacing w:before="0" w:after="260" w:line="271" w:lineRule="auto"/>
        <w:ind w:left="0" w:right="0" w:firstLine="740"/>
        <w:jc w:val="both"/>
        <w:rPr>
          <w:sz w:val="22"/>
          <w:szCs w:val="22"/>
        </w:rPr>
      </w:pPr>
      <w:bookmarkStart w:id="955" w:name="bookmark955"/>
      <w:bookmarkEnd w:id="955"/>
      <w:r>
        <w:rPr>
          <w:color w:val="000000"/>
          <w:spacing w:val="0"/>
          <w:w w:val="100"/>
          <w:position w:val="0"/>
          <w:sz w:val="22"/>
          <w:szCs w:val="22"/>
        </w:rPr>
        <w:t>所得税的抵销</w:t>
      </w:r>
    </w:p>
    <w:p>
      <w:pPr>
        <w:pStyle w:val="Style5"/>
        <w:keepNext w:val="0"/>
        <w:keepLines w:val="0"/>
        <w:widowControl w:val="0"/>
        <w:shd w:val="clear" w:color="auto" w:fill="auto"/>
        <w:bidi w:val="0"/>
        <w:spacing w:before="0" w:after="320" w:line="302" w:lineRule="exact"/>
        <w:ind w:left="740" w:right="0" w:firstLine="0"/>
        <w:jc w:val="left"/>
        <w:rPr>
          <w:sz w:val="22"/>
          <w:szCs w:val="22"/>
        </w:rPr>
      </w:pPr>
      <w:r>
        <w:rPr>
          <w:color w:val="000000"/>
          <w:spacing w:val="0"/>
          <w:w w:val="100"/>
          <w:position w:val="0"/>
          <w:sz w:val="22"/>
          <w:szCs w:val="22"/>
        </w:rPr>
        <w:t>资产负债表日，递延所得税资产及递延所得税负债在同时满足以下条件时以抵销后的净额 列示：</w:t>
      </w:r>
    </w:p>
    <w:p>
      <w:pPr>
        <w:pStyle w:val="Style5"/>
        <w:keepNext w:val="0"/>
        <w:keepLines w:val="0"/>
        <w:widowControl w:val="0"/>
        <w:numPr>
          <w:ilvl w:val="0"/>
          <w:numId w:val="63"/>
        </w:numPr>
        <w:shd w:val="clear" w:color="auto" w:fill="auto"/>
        <w:tabs>
          <w:tab w:pos="1287" w:val="left"/>
        </w:tabs>
        <w:bidi w:val="0"/>
        <w:spacing w:before="0" w:after="0" w:line="312" w:lineRule="exact"/>
        <w:ind w:left="1280" w:right="0" w:hanging="540"/>
        <w:jc w:val="left"/>
        <w:rPr>
          <w:sz w:val="22"/>
          <w:szCs w:val="22"/>
        </w:rPr>
      </w:pPr>
      <w:bookmarkStart w:id="956" w:name="bookmark956"/>
      <w:bookmarkEnd w:id="956"/>
      <w:r>
        <w:rPr>
          <w:color w:val="000000"/>
          <w:spacing w:val="0"/>
          <w:w w:val="100"/>
          <w:position w:val="0"/>
          <w:sz w:val="22"/>
          <w:szCs w:val="22"/>
        </w:rPr>
        <w:t>纳税主体拥有以净额结算当期所得税资产及当期所得税负债的法定权利；</w:t>
      </w:r>
    </w:p>
    <w:p>
      <w:pPr>
        <w:pStyle w:val="Style5"/>
        <w:keepNext w:val="0"/>
        <w:keepLines w:val="0"/>
        <w:widowControl w:val="0"/>
        <w:numPr>
          <w:ilvl w:val="0"/>
          <w:numId w:val="63"/>
        </w:numPr>
        <w:shd w:val="clear" w:color="auto" w:fill="auto"/>
        <w:tabs>
          <w:tab w:pos="1287" w:val="left"/>
        </w:tabs>
        <w:bidi w:val="0"/>
        <w:spacing w:before="0" w:after="320" w:line="312" w:lineRule="exact"/>
        <w:ind w:left="1280" w:right="0" w:hanging="540"/>
        <w:jc w:val="left"/>
        <w:rPr>
          <w:sz w:val="22"/>
          <w:szCs w:val="22"/>
        </w:rPr>
      </w:pPr>
      <w:bookmarkStart w:id="957" w:name="bookmark957"/>
      <w:bookmarkEnd w:id="957"/>
      <w:r>
        <w:rPr>
          <w:color w:val="000000"/>
          <w:spacing w:val="0"/>
          <w:w w:val="100"/>
          <w:position w:val="0"/>
          <w:sz w:val="22"/>
          <w:szCs w:val="22"/>
        </w:rPr>
        <w:t>递延所得税资产及递延所得税负债是与同一税收征管部门对同一纳税主体征收的所得 税相关或者是对不同的纳税主体相关，但在未来每一具有重要性的递延所得税资产及 负债转回的期间内，涉及的纳税主体意图以净额结算当期所得税资产和负债或是同时 取得资产、清偿负债。</w:t>
      </w:r>
    </w:p>
    <w:p>
      <w:pPr>
        <w:pStyle w:val="Style5"/>
        <w:keepNext w:val="0"/>
        <w:keepLines w:val="0"/>
        <w:widowControl w:val="0"/>
        <w:shd w:val="clear" w:color="auto" w:fill="auto"/>
        <w:tabs>
          <w:tab w:pos="698" w:val="left"/>
        </w:tabs>
        <w:bidi w:val="0"/>
        <w:spacing w:before="0" w:after="260" w:line="271" w:lineRule="auto"/>
        <w:ind w:left="0" w:right="0" w:firstLine="0"/>
        <w:jc w:val="both"/>
        <w:rPr>
          <w:sz w:val="22"/>
          <w:szCs w:val="22"/>
        </w:rPr>
      </w:pPr>
      <w:bookmarkStart w:id="958" w:name="bookmark958"/>
      <w:r>
        <w:rPr>
          <w:rFonts w:ascii="Times New Roman" w:eastAsia="Times New Roman" w:hAnsi="Times New Roman" w:cs="Times New Roman"/>
          <w:color w:val="000000"/>
          <w:spacing w:val="0"/>
          <w:w w:val="100"/>
          <w:position w:val="0"/>
          <w:sz w:val="24"/>
          <w:szCs w:val="24"/>
        </w:rPr>
        <w:t>2</w:t>
      </w:r>
      <w:bookmarkEnd w:id="958"/>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w:t>
        <w:tab/>
        <w:t>租赁</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租赁，是指在一定期间内，出租人将资产的使用权让与承租人以获取对价的合同。</w:t>
      </w:r>
    </w:p>
    <w:p>
      <w:pPr>
        <w:pStyle w:val="Style5"/>
        <w:keepNext w:val="0"/>
        <w:keepLines w:val="0"/>
        <w:widowControl w:val="0"/>
        <w:shd w:val="clear" w:color="auto" w:fill="auto"/>
        <w:bidi w:val="0"/>
        <w:spacing w:before="0" w:after="260" w:line="314" w:lineRule="exact"/>
        <w:ind w:left="740" w:right="0" w:firstLine="0"/>
        <w:jc w:val="both"/>
        <w:rPr>
          <w:sz w:val="22"/>
          <w:szCs w:val="22"/>
        </w:rPr>
      </w:pPr>
      <w:r>
        <w:rPr>
          <w:color w:val="000000"/>
          <w:spacing w:val="0"/>
          <w:w w:val="100"/>
          <w:position w:val="0"/>
          <w:sz w:val="22"/>
          <w:szCs w:val="22"/>
        </w:rPr>
        <w:t>在合同开始日，本集团评估合同是否为租赁或者包含租赁。如果合同中一方让渡了在一定 期间内控制一项或多项已识别资产使用的权利以换取对价，则该合同为租赁或者包含租 赁。</w:t>
      </w:r>
    </w:p>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6" w:val="left"/>
        </w:tabs>
        <w:bidi w:val="0"/>
        <w:spacing w:before="0" w:after="320" w:line="311" w:lineRule="exact"/>
        <w:ind w:left="0" w:right="0" w:firstLine="0"/>
        <w:jc w:val="left"/>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6" w:val="left"/>
        </w:tabs>
        <w:bidi w:val="0"/>
        <w:spacing w:before="0" w:after="260" w:line="271"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w:t>
        <w:tab/>
        <w:t>租赁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1" w:lineRule="exact"/>
        <w:ind w:left="1280" w:right="0" w:hanging="540"/>
        <w:jc w:val="both"/>
        <w:rPr>
          <w:sz w:val="22"/>
          <w:szCs w:val="22"/>
        </w:rPr>
      </w:pPr>
      <w:r>
        <w:rPr>
          <w:color w:val="000000"/>
          <w:spacing w:val="0"/>
          <w:w w:val="100"/>
          <w:position w:val="0"/>
          <w:sz w:val="22"/>
          <w:szCs w:val="22"/>
        </w:rPr>
        <w:t>为确定合同是否让渡了在一定期间内控制已识别资产使用的权利，本集团进行如下评估：</w:t>
      </w:r>
    </w:p>
    <w:p>
      <w:pPr>
        <w:pStyle w:val="Style5"/>
        <w:keepNext w:val="0"/>
        <w:keepLines w:val="0"/>
        <w:widowControl w:val="0"/>
        <w:numPr>
          <w:ilvl w:val="0"/>
          <w:numId w:val="63"/>
        </w:numPr>
        <w:shd w:val="clear" w:color="auto" w:fill="auto"/>
        <w:tabs>
          <w:tab w:pos="1282" w:val="left"/>
        </w:tabs>
        <w:bidi w:val="0"/>
        <w:spacing w:before="0" w:after="0" w:line="311" w:lineRule="exact"/>
        <w:ind w:left="1280" w:right="0" w:hanging="540"/>
        <w:jc w:val="both"/>
        <w:rPr>
          <w:sz w:val="22"/>
          <w:szCs w:val="22"/>
        </w:rPr>
      </w:pPr>
      <w:bookmarkStart w:id="959" w:name="bookmark959"/>
      <w:bookmarkEnd w:id="959"/>
      <w:r>
        <w:rPr>
          <w:color w:val="000000"/>
          <w:spacing w:val="0"/>
          <w:w w:val="100"/>
          <w:position w:val="0"/>
          <w:sz w:val="22"/>
          <w:szCs w:val="22"/>
        </w:rPr>
        <w:t>合同是否涉及已识别资产的使用。已识别资产可能由合同明确指定或在资产可供客户 使用时隐性指定，并且该资产在物理上可区分，或者如果资产的某部分产能或其他部 分在物理上不可区分但实质上代表了该资产的全部产能，从而使客户获得因使用该资 产所产生的几乎全部经济利益。如果资产的供应方在整个使用期间拥有对该资产的实 质性替换权，则该资产不属于已识别资产；</w:t>
      </w:r>
    </w:p>
    <w:p>
      <w:pPr>
        <w:pStyle w:val="Style5"/>
        <w:keepNext w:val="0"/>
        <w:keepLines w:val="0"/>
        <w:widowControl w:val="0"/>
        <w:numPr>
          <w:ilvl w:val="0"/>
          <w:numId w:val="63"/>
        </w:numPr>
        <w:shd w:val="clear" w:color="auto" w:fill="auto"/>
        <w:tabs>
          <w:tab w:pos="1282" w:val="left"/>
        </w:tabs>
        <w:bidi w:val="0"/>
        <w:spacing w:before="0" w:after="0" w:line="311" w:lineRule="exact"/>
        <w:ind w:left="1280" w:right="0" w:hanging="540"/>
        <w:jc w:val="both"/>
        <w:rPr>
          <w:sz w:val="22"/>
          <w:szCs w:val="22"/>
        </w:rPr>
      </w:pPr>
      <w:bookmarkStart w:id="960" w:name="bookmark960"/>
      <w:bookmarkEnd w:id="960"/>
      <w:r>
        <w:rPr>
          <w:color w:val="000000"/>
          <w:spacing w:val="0"/>
          <w:w w:val="100"/>
          <w:position w:val="0"/>
          <w:sz w:val="22"/>
          <w:szCs w:val="22"/>
        </w:rPr>
        <w:t>承租人是否有权获得在使用期间内因使用已识别资产所产生的几乎全部经济利益；</w:t>
      </w:r>
    </w:p>
    <w:p>
      <w:pPr>
        <w:pStyle w:val="Style5"/>
        <w:keepNext w:val="0"/>
        <w:keepLines w:val="0"/>
        <w:widowControl w:val="0"/>
        <w:numPr>
          <w:ilvl w:val="0"/>
          <w:numId w:val="63"/>
        </w:numPr>
        <w:shd w:val="clear" w:color="auto" w:fill="auto"/>
        <w:tabs>
          <w:tab w:pos="1282" w:val="left"/>
        </w:tabs>
        <w:bidi w:val="0"/>
        <w:spacing w:before="0" w:after="260" w:line="311" w:lineRule="exact"/>
        <w:ind w:left="0" w:right="0" w:firstLine="740"/>
        <w:jc w:val="left"/>
        <w:rPr>
          <w:sz w:val="22"/>
          <w:szCs w:val="22"/>
        </w:rPr>
      </w:pPr>
      <w:bookmarkStart w:id="961" w:name="bookmark961"/>
      <w:bookmarkEnd w:id="961"/>
      <w:r>
        <w:rPr>
          <w:color w:val="000000"/>
          <w:spacing w:val="0"/>
          <w:w w:val="100"/>
          <w:position w:val="0"/>
          <w:sz w:val="22"/>
          <w:szCs w:val="22"/>
        </w:rPr>
        <w:t>承租人是否有权在该使用期间主导已识别资产的使用。</w:t>
      </w:r>
    </w:p>
    <w:p>
      <w:pPr>
        <w:pStyle w:val="Style5"/>
        <w:keepNext w:val="0"/>
        <w:keepLines w:val="0"/>
        <w:widowControl w:val="0"/>
        <w:shd w:val="clear" w:color="auto" w:fill="auto"/>
        <w:bidi w:val="0"/>
        <w:spacing w:before="0" w:after="320" w:line="312" w:lineRule="exact"/>
        <w:ind w:left="740" w:right="0" w:firstLine="0"/>
        <w:jc w:val="both"/>
        <w:rPr>
          <w:sz w:val="22"/>
          <w:szCs w:val="22"/>
        </w:rPr>
      </w:pPr>
      <w:r>
        <w:rPr>
          <w:color w:val="000000"/>
          <w:spacing w:val="0"/>
          <w:w w:val="100"/>
          <w:position w:val="0"/>
          <w:sz w:val="22"/>
          <w:szCs w:val="22"/>
        </w:rPr>
        <w:t>合同中同时包含多项单独租赁的，承租人和出租人将合同予以分拆，并分别各项单独租赁 进行会计处理。合同中同时包含租赁和非租赁部分的，承租人和出租人将租赁和非租赁部 分进行分拆。在分拆合同包含的租赁和非租赁部分时，承租人按照各租赁部分单独价格及 非租赁部分的单独价格之和的相对比例分摊合同对价。出租人按附注三</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2"/>
          <w:szCs w:val="22"/>
        </w:rPr>
        <w:t>所述会计政策 中关于交易价格分摊的规定分摊合同对价。</w:t>
      </w:r>
    </w:p>
    <w:p>
      <w:pPr>
        <w:pStyle w:val="Style5"/>
        <w:keepNext w:val="0"/>
        <w:keepLines w:val="0"/>
        <w:widowControl w:val="0"/>
        <w:numPr>
          <w:ilvl w:val="0"/>
          <w:numId w:val="101"/>
        </w:numPr>
        <w:shd w:val="clear" w:color="auto" w:fill="auto"/>
        <w:bidi w:val="0"/>
        <w:spacing w:before="0" w:after="260" w:line="271" w:lineRule="auto"/>
        <w:ind w:left="0" w:right="0" w:firstLine="740"/>
        <w:jc w:val="both"/>
        <w:rPr>
          <w:sz w:val="22"/>
          <w:szCs w:val="22"/>
        </w:rPr>
      </w:pPr>
      <w:bookmarkStart w:id="962" w:name="bookmark962"/>
      <w:bookmarkEnd w:id="962"/>
      <w:r>
        <w:rPr>
          <w:color w:val="000000"/>
          <w:spacing w:val="0"/>
          <w:w w:val="100"/>
          <w:position w:val="0"/>
          <w:sz w:val="22"/>
          <w:szCs w:val="22"/>
        </w:rPr>
        <w:t>本集团作为承租人</w:t>
      </w:r>
    </w:p>
    <w:p>
      <w:pPr>
        <w:pStyle w:val="Style5"/>
        <w:keepNext w:val="0"/>
        <w:keepLines w:val="0"/>
        <w:widowControl w:val="0"/>
        <w:shd w:val="clear" w:color="auto" w:fill="auto"/>
        <w:bidi w:val="0"/>
        <w:spacing w:before="0" w:after="260" w:line="309" w:lineRule="exact"/>
        <w:ind w:left="740" w:right="0" w:firstLine="0"/>
        <w:jc w:val="both"/>
        <w:rPr>
          <w:sz w:val="22"/>
          <w:szCs w:val="22"/>
        </w:rPr>
      </w:pPr>
      <w:r>
        <w:rPr>
          <w:color w:val="000000"/>
          <w:spacing w:val="0"/>
          <w:w w:val="100"/>
          <w:position w:val="0"/>
          <w:sz w:val="22"/>
          <w:szCs w:val="22"/>
        </w:rPr>
        <w:t>在租赁期开始日，本集团对租赁确认使用权资产和租赁负债。使用权资产按照成本进行初 始计量，包括租赁负债的初始计量金额、在租赁期开始日或之前支付的租赁付款额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扣除已 享受的租赁激励相关金额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，发生的初始直接费用以及为拆卸及移除租赁资产、复原租赁资 产所在场地或将租赁资产恢复至租赁条款约定状态预计将发生的成本。</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本集团使用直线法对使用权资产计提折旧。对能够合理确定租赁期届满时取得租赁资产所 有权的，本集团在租赁资产剩余使用寿命内计提折旧。否则，租赁资产在租赁期与租赁资 产剩余使用寿命两者孰短的期间内计提折旧。使用权资产按附注三</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所述的会计政策计 提减值准备。</w:t>
      </w:r>
    </w:p>
    <w:p>
      <w:pPr>
        <w:pStyle w:val="Style5"/>
        <w:keepNext w:val="0"/>
        <w:keepLines w:val="0"/>
        <w:widowControl w:val="0"/>
        <w:shd w:val="clear" w:color="auto" w:fill="auto"/>
        <w:bidi w:val="0"/>
        <w:spacing w:before="0" w:after="260" w:line="307" w:lineRule="exact"/>
        <w:ind w:left="740" w:right="0" w:firstLine="0"/>
        <w:jc w:val="both"/>
        <w:rPr>
          <w:sz w:val="22"/>
          <w:szCs w:val="22"/>
        </w:rPr>
      </w:pPr>
      <w:r>
        <w:rPr>
          <w:color w:val="000000"/>
          <w:spacing w:val="0"/>
          <w:w w:val="100"/>
          <w:position w:val="0"/>
          <w:sz w:val="22"/>
          <w:szCs w:val="22"/>
        </w:rPr>
        <w:t>租赁负债按照租赁期开始日尚未支付的租赁付款额的现值进行初始计量，折现率为租赁内 含利率。无法确定租赁内含利率的，采用本集团增量借款利率作为折现率。</w:t>
      </w:r>
    </w:p>
    <w:p>
      <w:pPr>
        <w:pStyle w:val="Style5"/>
        <w:keepNext w:val="0"/>
        <w:keepLines w:val="0"/>
        <w:widowControl w:val="0"/>
        <w:shd w:val="clear" w:color="auto" w:fill="auto"/>
        <w:bidi w:val="0"/>
        <w:spacing w:before="0" w:after="260" w:line="310" w:lineRule="exact"/>
        <w:ind w:left="740" w:right="0" w:firstLine="0"/>
        <w:jc w:val="both"/>
        <w:rPr>
          <w:sz w:val="22"/>
          <w:szCs w:val="22"/>
        </w:rPr>
      </w:pPr>
      <w:r>
        <w:rPr>
          <w:color w:val="000000"/>
          <w:spacing w:val="0"/>
          <w:w w:val="100"/>
          <w:position w:val="0"/>
          <w:sz w:val="22"/>
          <w:szCs w:val="22"/>
        </w:rPr>
        <w:t>本集团按照固定的周期性利率计算租赁负债在租赁期内各期间的利息费用，并计入当期损 益或相关资产成本。未纳入租赁负债计量的可变租赁付款额在实际发生时计入当期损益或 相关资产成本。</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6" w:val="left"/>
        </w:tabs>
        <w:bidi w:val="0"/>
        <w:spacing w:before="0" w:after="280" w:line="310"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6" w:val="left"/>
        </w:tabs>
        <w:bidi w:val="0"/>
        <w:spacing w:before="0" w:after="280" w:line="269"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w:t>
        <w:tab/>
        <w:t>租赁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03"/>
        </w:numPr>
        <w:shd w:val="clear" w:color="auto" w:fill="auto"/>
        <w:tabs>
          <w:tab w:pos="1221" w:val="left"/>
        </w:tabs>
        <w:bidi w:val="0"/>
        <w:spacing w:before="0" w:after="280" w:line="310" w:lineRule="exact"/>
        <w:ind w:left="0" w:right="0" w:firstLine="740"/>
        <w:jc w:val="both"/>
        <w:rPr>
          <w:sz w:val="22"/>
          <w:szCs w:val="22"/>
        </w:rPr>
      </w:pPr>
      <w:bookmarkStart w:id="963" w:name="bookmark963"/>
      <w:bookmarkEnd w:id="963"/>
      <w:r>
        <w:rPr>
          <w:color w:val="000000"/>
          <w:spacing w:val="0"/>
          <w:w w:val="100"/>
          <w:position w:val="0"/>
          <w:sz w:val="22"/>
          <w:szCs w:val="22"/>
        </w:rPr>
        <w:t>本集团作为承租人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312" w:lineRule="exact"/>
        <w:ind w:left="740" w:right="0" w:firstLine="0"/>
        <w:jc w:val="both"/>
        <w:rPr>
          <w:sz w:val="22"/>
          <w:szCs w:val="22"/>
        </w:rPr>
      </w:pPr>
      <w:r>
        <w:rPr>
          <w:color w:val="000000"/>
          <w:spacing w:val="0"/>
          <w:w w:val="100"/>
          <w:position w:val="0"/>
          <w:sz w:val="22"/>
          <w:szCs w:val="22"/>
        </w:rPr>
        <w:t>租赁期开始日后，发生下列情形的，本集团按照变动后租赁付款额的现值重新计量租赁负 债：</w:t>
      </w:r>
    </w:p>
    <w:p>
      <w:pPr>
        <w:pStyle w:val="Style5"/>
        <w:keepNext w:val="0"/>
        <w:keepLines w:val="0"/>
        <w:widowControl w:val="0"/>
        <w:numPr>
          <w:ilvl w:val="0"/>
          <w:numId w:val="63"/>
        </w:numPr>
        <w:shd w:val="clear" w:color="auto" w:fill="auto"/>
        <w:tabs>
          <w:tab w:pos="1287" w:val="left"/>
        </w:tabs>
        <w:bidi w:val="0"/>
        <w:spacing w:before="0" w:after="0" w:line="302" w:lineRule="exact"/>
        <w:ind w:left="740" w:right="0" w:firstLine="0"/>
        <w:jc w:val="both"/>
        <w:rPr>
          <w:sz w:val="22"/>
          <w:szCs w:val="22"/>
        </w:rPr>
      </w:pPr>
      <w:bookmarkStart w:id="964" w:name="bookmark964"/>
      <w:bookmarkEnd w:id="964"/>
      <w:r>
        <w:rPr>
          <w:color w:val="000000"/>
          <w:spacing w:val="0"/>
          <w:w w:val="100"/>
          <w:position w:val="0"/>
          <w:sz w:val="22"/>
          <w:szCs w:val="22"/>
        </w:rPr>
        <w:t>根据担保余值预计的应付金额发生变动；</w:t>
      </w:r>
    </w:p>
    <w:p>
      <w:pPr>
        <w:pStyle w:val="Style5"/>
        <w:keepNext w:val="0"/>
        <w:keepLines w:val="0"/>
        <w:widowControl w:val="0"/>
        <w:numPr>
          <w:ilvl w:val="0"/>
          <w:numId w:val="63"/>
        </w:numPr>
        <w:shd w:val="clear" w:color="auto" w:fill="auto"/>
        <w:tabs>
          <w:tab w:pos="1287" w:val="left"/>
        </w:tabs>
        <w:bidi w:val="0"/>
        <w:spacing w:before="0" w:after="0" w:line="302" w:lineRule="exact"/>
        <w:ind w:left="740" w:right="0" w:firstLine="0"/>
        <w:jc w:val="both"/>
        <w:rPr>
          <w:sz w:val="22"/>
          <w:szCs w:val="22"/>
        </w:rPr>
      </w:pPr>
      <w:bookmarkStart w:id="965" w:name="bookmark965"/>
      <w:bookmarkEnd w:id="965"/>
      <w:r>
        <w:rPr>
          <w:color w:val="000000"/>
          <w:spacing w:val="0"/>
          <w:w w:val="100"/>
          <w:position w:val="0"/>
          <w:sz w:val="22"/>
          <w:szCs w:val="22"/>
        </w:rPr>
        <w:t>用于确定租赁付款额的指数或比率发生变动；</w:t>
      </w:r>
    </w:p>
    <w:p>
      <w:pPr>
        <w:pStyle w:val="Style5"/>
        <w:keepNext w:val="0"/>
        <w:keepLines w:val="0"/>
        <w:widowControl w:val="0"/>
        <w:numPr>
          <w:ilvl w:val="0"/>
          <w:numId w:val="63"/>
        </w:numPr>
        <w:shd w:val="clear" w:color="auto" w:fill="auto"/>
        <w:tabs>
          <w:tab w:pos="1287" w:val="left"/>
        </w:tabs>
        <w:bidi w:val="0"/>
        <w:spacing w:before="0" w:after="280" w:line="302" w:lineRule="exact"/>
        <w:ind w:left="1280" w:right="0" w:hanging="540"/>
        <w:jc w:val="both"/>
        <w:rPr>
          <w:sz w:val="22"/>
          <w:szCs w:val="22"/>
        </w:rPr>
      </w:pPr>
      <w:bookmarkStart w:id="966" w:name="bookmark966"/>
      <w:bookmarkEnd w:id="966"/>
      <w:r>
        <w:rPr>
          <w:color w:val="000000"/>
          <w:spacing w:val="0"/>
          <w:w w:val="100"/>
          <w:position w:val="0"/>
          <w:sz w:val="22"/>
          <w:szCs w:val="22"/>
        </w:rPr>
        <w:t>本集团对购买选择权、续租选择权或终止租赁选择权的评估结果发生变化，或续租选 择权或终止租赁选择权的实际行使情况与原评估结果不一致。</w:t>
      </w:r>
    </w:p>
    <w:p>
      <w:pPr>
        <w:pStyle w:val="Style5"/>
        <w:keepNext w:val="0"/>
        <w:keepLines w:val="0"/>
        <w:widowControl w:val="0"/>
        <w:shd w:val="clear" w:color="auto" w:fill="auto"/>
        <w:bidi w:val="0"/>
        <w:spacing w:before="0" w:after="280" w:line="312" w:lineRule="exact"/>
        <w:ind w:left="740" w:right="0" w:firstLine="0"/>
        <w:jc w:val="both"/>
        <w:rPr>
          <w:sz w:val="22"/>
          <w:szCs w:val="22"/>
        </w:rPr>
      </w:pPr>
      <w:r>
        <w:rPr>
          <w:color w:val="000000"/>
          <w:spacing w:val="0"/>
          <w:w w:val="100"/>
          <w:position w:val="0"/>
          <w:sz w:val="22"/>
          <w:szCs w:val="22"/>
        </w:rPr>
        <w:t>在租赁期开始日后，发生下列情形的，本集团重新计量租赁负债，并调整相应的使用权资 产，若使用权资产的账面价值已调减至零，但租赁负债仍需进一步调减的，本集团将差额 计入当期损益：</w:t>
      </w:r>
    </w:p>
    <w:p>
      <w:pPr>
        <w:pStyle w:val="Style5"/>
        <w:keepNext w:val="0"/>
        <w:keepLines w:val="0"/>
        <w:widowControl w:val="0"/>
        <w:numPr>
          <w:ilvl w:val="0"/>
          <w:numId w:val="63"/>
        </w:numPr>
        <w:shd w:val="clear" w:color="auto" w:fill="auto"/>
        <w:tabs>
          <w:tab w:pos="1287" w:val="left"/>
        </w:tabs>
        <w:bidi w:val="0"/>
        <w:spacing w:before="0" w:after="0" w:line="310" w:lineRule="exact"/>
        <w:ind w:left="1280" w:right="0" w:hanging="540"/>
        <w:jc w:val="both"/>
        <w:rPr>
          <w:sz w:val="22"/>
          <w:szCs w:val="22"/>
        </w:rPr>
      </w:pPr>
      <w:bookmarkStart w:id="967" w:name="bookmark967"/>
      <w:bookmarkEnd w:id="967"/>
      <w:r>
        <w:rPr>
          <w:color w:val="000000"/>
          <w:spacing w:val="0"/>
          <w:w w:val="100"/>
          <w:position w:val="0"/>
          <w:sz w:val="22"/>
          <w:szCs w:val="22"/>
        </w:rPr>
        <w:t>因租赁期变化或购买选择权的评估结果发生变化的，本集团按变动后租赁付款额和修 订后的折现率计算的现值重新计量租赁负债；</w:t>
      </w:r>
    </w:p>
    <w:p>
      <w:pPr>
        <w:pStyle w:val="Style5"/>
        <w:keepNext w:val="0"/>
        <w:keepLines w:val="0"/>
        <w:widowControl w:val="0"/>
        <w:numPr>
          <w:ilvl w:val="0"/>
          <w:numId w:val="63"/>
        </w:numPr>
        <w:shd w:val="clear" w:color="auto" w:fill="auto"/>
        <w:tabs>
          <w:tab w:pos="1287" w:val="left"/>
        </w:tabs>
        <w:bidi w:val="0"/>
        <w:spacing w:before="0" w:after="280" w:line="310" w:lineRule="exact"/>
        <w:ind w:left="1280" w:right="0" w:hanging="540"/>
        <w:jc w:val="both"/>
        <w:rPr>
          <w:sz w:val="22"/>
          <w:szCs w:val="22"/>
        </w:rPr>
      </w:pPr>
      <w:bookmarkStart w:id="968" w:name="bookmark968"/>
      <w:bookmarkEnd w:id="968"/>
      <w:r>
        <w:rPr>
          <w:color w:val="000000"/>
          <w:spacing w:val="0"/>
          <w:w w:val="100"/>
          <w:position w:val="0"/>
          <w:sz w:val="22"/>
          <w:szCs w:val="22"/>
        </w:rPr>
        <w:t>根据用于确定租赁付款额的指数或者比率发生变动时，本集团按照变动后的租赁付款 额和原折现率计算的现值重新计量租赁负债。</w:t>
      </w:r>
    </w:p>
    <w:p>
      <w:pPr>
        <w:pStyle w:val="Style5"/>
        <w:keepNext w:val="0"/>
        <w:keepLines w:val="0"/>
        <w:widowControl w:val="0"/>
        <w:shd w:val="clear" w:color="auto" w:fill="auto"/>
        <w:bidi w:val="0"/>
        <w:spacing w:before="0" w:after="280" w:line="317" w:lineRule="exact"/>
        <w:ind w:left="740" w:right="0" w:firstLine="0"/>
        <w:jc w:val="both"/>
        <w:rPr>
          <w:sz w:val="22"/>
          <w:szCs w:val="22"/>
        </w:rPr>
      </w:pPr>
      <w:r>
        <w:rPr>
          <w:color w:val="000000"/>
          <w:spacing w:val="0"/>
          <w:w w:val="100"/>
          <w:position w:val="0"/>
          <w:sz w:val="22"/>
          <w:szCs w:val="22"/>
        </w:rPr>
        <w:t>本集团已选择对短期租赁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租赁期不超过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个月且不包含购买选择权的租赁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和低价值资产 租赁不确认使用权资产和租赁负债，并将相关的租赁付款额在租赁期内各个期间按照直线 法计入当期损益或相关资产成本。</w:t>
      </w:r>
    </w:p>
    <w:p>
      <w:pPr>
        <w:pStyle w:val="Style5"/>
        <w:keepNext w:val="0"/>
        <w:keepLines w:val="0"/>
        <w:widowControl w:val="0"/>
        <w:numPr>
          <w:ilvl w:val="0"/>
          <w:numId w:val="103"/>
        </w:numPr>
        <w:shd w:val="clear" w:color="auto" w:fill="auto"/>
        <w:tabs>
          <w:tab w:pos="1221" w:val="left"/>
        </w:tabs>
        <w:bidi w:val="0"/>
        <w:spacing w:before="0" w:after="280" w:line="269" w:lineRule="auto"/>
        <w:ind w:left="740" w:right="0" w:firstLine="0"/>
        <w:jc w:val="both"/>
        <w:rPr>
          <w:sz w:val="22"/>
          <w:szCs w:val="22"/>
        </w:rPr>
      </w:pPr>
      <w:bookmarkStart w:id="969" w:name="bookmark969"/>
      <w:bookmarkEnd w:id="969"/>
      <w:r>
        <w:rPr>
          <w:color w:val="000000"/>
          <w:spacing w:val="0"/>
          <w:w w:val="100"/>
          <w:position w:val="0"/>
          <w:sz w:val="22"/>
          <w:szCs w:val="22"/>
        </w:rPr>
        <w:t>本集团作为出租人</w:t>
      </w:r>
    </w:p>
    <w:p>
      <w:pPr>
        <w:pStyle w:val="Style5"/>
        <w:keepNext w:val="0"/>
        <w:keepLines w:val="0"/>
        <w:widowControl w:val="0"/>
        <w:shd w:val="clear" w:color="auto" w:fill="auto"/>
        <w:bidi w:val="0"/>
        <w:spacing w:before="0" w:after="280" w:line="310" w:lineRule="exact"/>
        <w:ind w:left="740" w:right="0" w:firstLine="0"/>
        <w:jc w:val="both"/>
        <w:rPr>
          <w:sz w:val="22"/>
          <w:szCs w:val="22"/>
        </w:rPr>
      </w:pPr>
      <w:r>
        <w:rPr>
          <w:color w:val="000000"/>
          <w:spacing w:val="0"/>
          <w:w w:val="100"/>
          <w:position w:val="0"/>
          <w:sz w:val="22"/>
          <w:szCs w:val="22"/>
        </w:rPr>
        <w:t>在租赁开始日，本集团将租赁分为融资租赁和经营租赁。融资租赁是指无论所有权最终是 否转移但实质上转移了与租赁资产所有权有关的几乎全部风险和报酬的租赁。经营租赁是 指除融资租赁以外的其他租赁。</w:t>
      </w:r>
    </w:p>
    <w:p>
      <w:pPr>
        <w:pStyle w:val="Style5"/>
        <w:keepNext w:val="0"/>
        <w:keepLines w:val="0"/>
        <w:widowControl w:val="0"/>
        <w:shd w:val="clear" w:color="auto" w:fill="auto"/>
        <w:bidi w:val="0"/>
        <w:spacing w:before="0" w:after="280" w:line="305" w:lineRule="exact"/>
        <w:ind w:left="740" w:right="0" w:firstLine="0"/>
        <w:jc w:val="both"/>
        <w:rPr>
          <w:sz w:val="22"/>
          <w:szCs w:val="22"/>
        </w:rPr>
      </w:pPr>
      <w:r>
        <w:rPr>
          <w:color w:val="000000"/>
          <w:spacing w:val="0"/>
          <w:w w:val="100"/>
          <w:position w:val="0"/>
          <w:sz w:val="22"/>
          <w:szCs w:val="22"/>
        </w:rPr>
        <w:t>本集团作为转租出租人时，基于原租赁产生的使用权资产，而不是原租赁的标的资产，对 转租赁进行分类。如果原租赁为短期租赁且本集团选择对原租赁应用上述短期租赁的简化 处理，本集团将该转租赁分类为经营租赁。</w:t>
      </w:r>
    </w:p>
    <w:p>
      <w:pPr>
        <w:pStyle w:val="Style5"/>
        <w:keepNext w:val="0"/>
        <w:keepLines w:val="0"/>
        <w:widowControl w:val="0"/>
        <w:shd w:val="clear" w:color="auto" w:fill="auto"/>
        <w:bidi w:val="0"/>
        <w:spacing w:before="0" w:after="280" w:line="309" w:lineRule="exact"/>
        <w:ind w:left="740" w:right="0" w:firstLine="0"/>
        <w:jc w:val="both"/>
        <w:rPr>
          <w:sz w:val="22"/>
          <w:szCs w:val="22"/>
        </w:rPr>
      </w:pPr>
      <w:r>
        <w:rPr>
          <w:color w:val="000000"/>
          <w:spacing w:val="0"/>
          <w:w w:val="100"/>
          <w:position w:val="0"/>
          <w:sz w:val="22"/>
          <w:szCs w:val="22"/>
        </w:rPr>
        <w:t>融资租赁下，在租赁期开始日，本集团对融资租赁确认应收融资租赁款，并终止确认融资 租赁资产。本集团对应收融资租赁款进行初始计量时，将租赁投资净额作为应收融资租赁 款的入账价值。租赁投资净额为未担保余值和租赁期开始日尚未收到的租赁收款额按照租 赁内含利率折现的现值之和。</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712" w:val="left"/>
        </w:tabs>
        <w:bidi w:val="0"/>
        <w:spacing w:before="0" w:after="300" w:line="309"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12" w:val="left"/>
        </w:tabs>
        <w:bidi w:val="0"/>
        <w:spacing w:before="0" w:after="240" w:line="269" w:lineRule="auto"/>
        <w:ind w:left="0" w:right="0" w:firstLine="0"/>
        <w:jc w:val="both"/>
        <w:rPr>
          <w:sz w:val="22"/>
          <w:szCs w:val="22"/>
        </w:rPr>
      </w:pPr>
      <w:bookmarkStart w:id="970" w:name="bookmark970"/>
      <w:r>
        <w:rPr>
          <w:rFonts w:ascii="Times New Roman" w:eastAsia="Times New Roman" w:hAnsi="Times New Roman" w:cs="Times New Roman"/>
          <w:color w:val="000000"/>
          <w:spacing w:val="0"/>
          <w:w w:val="100"/>
          <w:position w:val="0"/>
          <w:sz w:val="24"/>
          <w:szCs w:val="24"/>
        </w:rPr>
        <w:t>2</w:t>
      </w:r>
      <w:bookmarkEnd w:id="970"/>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w:t>
        <w:tab/>
        <w:t>租赁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40" w:line="269" w:lineRule="auto"/>
        <w:ind w:left="740" w:right="0" w:firstLine="0"/>
        <w:jc w:val="both"/>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本集团作为出租人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40" w:line="314" w:lineRule="exact"/>
        <w:ind w:left="740" w:right="0" w:firstLine="0"/>
        <w:jc w:val="both"/>
        <w:rPr>
          <w:sz w:val="22"/>
          <w:szCs w:val="22"/>
        </w:rPr>
      </w:pPr>
      <w:r>
        <w:rPr>
          <w:color w:val="000000"/>
          <w:spacing w:val="0"/>
          <w:w w:val="100"/>
          <w:position w:val="0"/>
          <w:sz w:val="22"/>
          <w:szCs w:val="22"/>
        </w:rPr>
        <w:t>本集团按照固定的周期性利率计算并确认租赁期内各个期间的利息收入。应收融资租赁款 的终止确认和减值按附注三</w:t>
      </w:r>
      <w:r>
        <w:rPr>
          <w:rFonts w:ascii="Times New Roman" w:eastAsia="Times New Roman" w:hAnsi="Times New Roman" w:cs="Times New Roman"/>
          <w:color w:val="000000"/>
          <w:spacing w:val="0"/>
          <w:w w:val="100"/>
          <w:position w:val="0"/>
          <w:sz w:val="24"/>
          <w:szCs w:val="24"/>
        </w:rPr>
        <w:t>(9 )</w:t>
      </w:r>
      <w:r>
        <w:rPr>
          <w:color w:val="000000"/>
          <w:spacing w:val="0"/>
          <w:w w:val="100"/>
          <w:position w:val="0"/>
          <w:sz w:val="22"/>
          <w:szCs w:val="22"/>
        </w:rPr>
        <w:t>所述的会计政策进行会计处理。未纳入租赁投资净额计量的 可变租赁付款额在实际发生时计入当期损益。</w:t>
      </w:r>
    </w:p>
    <w:p>
      <w:pPr>
        <w:pStyle w:val="Style5"/>
        <w:keepNext w:val="0"/>
        <w:keepLines w:val="0"/>
        <w:widowControl w:val="0"/>
        <w:shd w:val="clear" w:color="auto" w:fill="auto"/>
        <w:bidi w:val="0"/>
        <w:spacing w:before="0" w:after="300" w:line="309" w:lineRule="exact"/>
        <w:ind w:left="740" w:right="0" w:firstLine="0"/>
        <w:jc w:val="both"/>
        <w:rPr>
          <w:sz w:val="22"/>
          <w:szCs w:val="22"/>
        </w:rPr>
      </w:pPr>
      <w:r>
        <w:rPr>
          <w:color w:val="000000"/>
          <w:spacing w:val="0"/>
          <w:w w:val="100"/>
          <w:position w:val="0"/>
          <w:sz w:val="22"/>
          <w:szCs w:val="22"/>
        </w:rPr>
        <w:t>经营租赁的租赁收款额在租赁期内按直线法确认为租金收入。本集团将其发生的与经营租 赁有关的初始直接费用予以资本化，在租赁期内按照与租金收入确认相同的基础进行分 摊，分期计入当期损益。未计入租赁收款额的可变租赁付款额在实际发生时计入当期损 益。</w:t>
      </w:r>
    </w:p>
    <w:p>
      <w:pPr>
        <w:pStyle w:val="Style5"/>
        <w:keepNext w:val="0"/>
        <w:keepLines w:val="0"/>
        <w:widowControl w:val="0"/>
        <w:shd w:val="clear" w:color="auto" w:fill="auto"/>
        <w:tabs>
          <w:tab w:pos="712" w:val="left"/>
        </w:tabs>
        <w:bidi w:val="0"/>
        <w:spacing w:before="0" w:after="240" w:line="269" w:lineRule="auto"/>
        <w:ind w:left="0" w:right="0" w:firstLine="0"/>
        <w:jc w:val="both"/>
        <w:rPr>
          <w:sz w:val="22"/>
          <w:szCs w:val="22"/>
        </w:rPr>
      </w:pPr>
      <w:bookmarkStart w:id="971" w:name="bookmark971"/>
      <w:r>
        <w:rPr>
          <w:rFonts w:ascii="Times New Roman" w:eastAsia="Times New Roman" w:hAnsi="Times New Roman" w:cs="Times New Roman"/>
          <w:color w:val="000000"/>
          <w:spacing w:val="0"/>
          <w:w w:val="100"/>
          <w:position w:val="0"/>
          <w:sz w:val="24"/>
          <w:szCs w:val="24"/>
        </w:rPr>
        <w:t>2</w:t>
      </w:r>
      <w:bookmarkEnd w:id="971"/>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分部信息</w:t>
      </w:r>
    </w:p>
    <w:p>
      <w:pPr>
        <w:pStyle w:val="Style5"/>
        <w:keepNext w:val="0"/>
        <w:keepLines w:val="0"/>
        <w:widowControl w:val="0"/>
        <w:shd w:val="clear" w:color="auto" w:fill="auto"/>
        <w:bidi w:val="0"/>
        <w:spacing w:before="0" w:after="240" w:line="312" w:lineRule="exact"/>
        <w:ind w:left="740" w:right="0" w:firstLine="0"/>
        <w:jc w:val="both"/>
        <w:rPr>
          <w:sz w:val="22"/>
          <w:szCs w:val="22"/>
        </w:rPr>
      </w:pPr>
      <w:r>
        <w:rPr>
          <w:color w:val="000000"/>
          <w:spacing w:val="0"/>
          <w:w w:val="100"/>
          <w:position w:val="0"/>
          <w:sz w:val="22"/>
          <w:szCs w:val="22"/>
        </w:rPr>
        <w:t>本集团以内部组织结构、管理要求、内部报告制度为依据确定经营分部，以经营分部为基 础确定报告分部并披露分部信息。</w:t>
      </w:r>
    </w:p>
    <w:p>
      <w:pPr>
        <w:pStyle w:val="Style5"/>
        <w:keepNext w:val="0"/>
        <w:keepLines w:val="0"/>
        <w:widowControl w:val="0"/>
        <w:shd w:val="clear" w:color="auto" w:fill="auto"/>
        <w:bidi w:val="0"/>
        <w:spacing w:before="0" w:after="300" w:line="307" w:lineRule="exact"/>
        <w:ind w:left="740" w:right="0" w:firstLine="0"/>
        <w:jc w:val="both"/>
        <w:rPr>
          <w:sz w:val="22"/>
          <w:szCs w:val="22"/>
        </w:rPr>
      </w:pPr>
      <w:r>
        <w:rPr>
          <w:color w:val="000000"/>
          <w:spacing w:val="0"/>
          <w:w w:val="100"/>
          <w:position w:val="0"/>
          <w:sz w:val="22"/>
          <w:szCs w:val="22"/>
        </w:rPr>
        <w:t>如果两个或多个经营分部存在相似经济特征且同时在各单项产品或劳务的性质、生产过程 的性质、产品或劳务的用户类型、销售产品或提供劳务的方式、生产产品及提供劳务受法 律及行政法规的影响等方面具有相同或相似性的，可以合并为一个经营分部。</w:t>
      </w:r>
    </w:p>
    <w:p>
      <w:pPr>
        <w:pStyle w:val="Style5"/>
        <w:keepNext w:val="0"/>
        <w:keepLines w:val="0"/>
        <w:widowControl w:val="0"/>
        <w:shd w:val="clear" w:color="auto" w:fill="auto"/>
        <w:tabs>
          <w:tab w:pos="712" w:val="left"/>
        </w:tabs>
        <w:bidi w:val="0"/>
        <w:spacing w:before="0" w:after="240" w:line="269" w:lineRule="auto"/>
        <w:ind w:left="0" w:right="0" w:firstLine="0"/>
        <w:jc w:val="both"/>
        <w:rPr>
          <w:sz w:val="22"/>
          <w:szCs w:val="22"/>
        </w:rPr>
      </w:pPr>
      <w:bookmarkStart w:id="972" w:name="bookmark972"/>
      <w:r>
        <w:rPr>
          <w:rFonts w:ascii="Times New Roman" w:eastAsia="Times New Roman" w:hAnsi="Times New Roman" w:cs="Times New Roman"/>
          <w:color w:val="000000"/>
          <w:spacing w:val="0"/>
          <w:w w:val="100"/>
          <w:position w:val="0"/>
          <w:sz w:val="24"/>
          <w:szCs w:val="24"/>
        </w:rPr>
        <w:t>3</w:t>
      </w:r>
      <w:bookmarkEnd w:id="972"/>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w:t>
        <w:tab/>
        <w:t>非货币性资产交换</w:t>
      </w:r>
    </w:p>
    <w:p>
      <w:pPr>
        <w:pStyle w:val="Style5"/>
        <w:keepNext w:val="0"/>
        <w:keepLines w:val="0"/>
        <w:widowControl w:val="0"/>
        <w:shd w:val="clear" w:color="auto" w:fill="auto"/>
        <w:bidi w:val="0"/>
        <w:spacing w:before="0" w:after="300" w:line="308" w:lineRule="exact"/>
        <w:ind w:left="740" w:right="0" w:firstLine="0"/>
        <w:jc w:val="both"/>
        <w:rPr>
          <w:sz w:val="22"/>
          <w:szCs w:val="22"/>
        </w:rPr>
      </w:pPr>
      <w:r>
        <w:rPr>
          <w:color w:val="000000"/>
          <w:spacing w:val="0"/>
          <w:w w:val="100"/>
          <w:position w:val="0"/>
          <w:sz w:val="22"/>
          <w:szCs w:val="22"/>
        </w:rPr>
        <w:t>本集团以固定资产、无形资产、投资性房地产和长期股权投资等非货币性资产进行交换 时，不涉及或仅涉及少量货币性资产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即补价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时，对该等交易按照非货币性资产交换进行 处理。对于换入资产，在换入资产符合资产定义并满足资产确认条件时予以确认；对于换 出资产，在换出资产满足资产终止确认条件时终止确认。换入资产的确认时点与换出资产 的终止确认时点存在不一致的，本集团在资产负债表日按以下原则进行处理：</w:t>
      </w:r>
    </w:p>
    <w:p>
      <w:pPr>
        <w:pStyle w:val="Style5"/>
        <w:keepNext w:val="0"/>
        <w:keepLines w:val="0"/>
        <w:widowControl w:val="0"/>
        <w:numPr>
          <w:ilvl w:val="0"/>
          <w:numId w:val="63"/>
        </w:numPr>
        <w:shd w:val="clear" w:color="auto" w:fill="auto"/>
        <w:tabs>
          <w:tab w:pos="1287" w:val="left"/>
        </w:tabs>
        <w:bidi w:val="0"/>
        <w:spacing w:before="0" w:after="0" w:line="310" w:lineRule="exact"/>
        <w:ind w:left="1280" w:right="0" w:hanging="540"/>
        <w:jc w:val="left"/>
        <w:rPr>
          <w:sz w:val="22"/>
          <w:szCs w:val="22"/>
        </w:rPr>
      </w:pPr>
      <w:bookmarkStart w:id="973" w:name="bookmark973"/>
      <w:bookmarkEnd w:id="973"/>
      <w:r>
        <w:rPr>
          <w:color w:val="000000"/>
          <w:spacing w:val="0"/>
          <w:w w:val="100"/>
          <w:position w:val="0"/>
          <w:sz w:val="22"/>
          <w:szCs w:val="22"/>
        </w:rPr>
        <w:t>换入资产满足资产确认条件，换出资产尚未满足终止确认条件的，在确认换入资产的 同时将交付换出资产的义务确认为一项负债；</w:t>
      </w:r>
    </w:p>
    <w:p>
      <w:pPr>
        <w:pStyle w:val="Style5"/>
        <w:keepNext w:val="0"/>
        <w:keepLines w:val="0"/>
        <w:widowControl w:val="0"/>
        <w:numPr>
          <w:ilvl w:val="0"/>
          <w:numId w:val="63"/>
        </w:numPr>
        <w:shd w:val="clear" w:color="auto" w:fill="auto"/>
        <w:tabs>
          <w:tab w:pos="1287" w:val="left"/>
        </w:tabs>
        <w:bidi w:val="0"/>
        <w:spacing w:before="0" w:after="300" w:line="310" w:lineRule="exact"/>
        <w:ind w:left="1280" w:right="0" w:hanging="540"/>
        <w:jc w:val="left"/>
        <w:rPr>
          <w:sz w:val="22"/>
          <w:szCs w:val="22"/>
        </w:rPr>
      </w:pPr>
      <w:bookmarkStart w:id="974" w:name="bookmark974"/>
      <w:bookmarkEnd w:id="974"/>
      <w:r>
        <w:rPr>
          <w:color w:val="000000"/>
          <w:spacing w:val="0"/>
          <w:w w:val="100"/>
          <w:position w:val="0"/>
          <w:sz w:val="22"/>
          <w:szCs w:val="22"/>
        </w:rPr>
        <w:t>换入资产尚未满足资产确认条件，换出资产满足终止确认条件的，在终止确认换出资 产的同时将取得换入资产的权利确认为一项资产。</w:t>
      </w:r>
    </w:p>
    <w:p>
      <w:pPr>
        <w:pStyle w:val="Style5"/>
        <w:keepNext w:val="0"/>
        <w:keepLines w:val="0"/>
        <w:widowControl w:val="0"/>
        <w:shd w:val="clear" w:color="auto" w:fill="auto"/>
        <w:bidi w:val="0"/>
        <w:spacing w:before="0" w:after="240" w:line="310" w:lineRule="exact"/>
        <w:ind w:left="740" w:right="0" w:firstLine="0"/>
        <w:jc w:val="left"/>
        <w:rPr>
          <w:sz w:val="22"/>
          <w:szCs w:val="22"/>
        </w:rPr>
      </w:pPr>
      <w:r>
        <w:rPr>
          <w:color w:val="000000"/>
          <w:spacing w:val="0"/>
          <w:w w:val="100"/>
          <w:position w:val="0"/>
          <w:sz w:val="22"/>
          <w:szCs w:val="22"/>
        </w:rPr>
        <w:t>非货币性资产交换同时满足</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该项交换具有商业实质，及</w:t>
      </w:r>
      <w:r>
        <w:rPr>
          <w:rFonts w:ascii="Times New Roman" w:eastAsia="Times New Roman" w:hAnsi="Times New Roman" w:cs="Times New Roman"/>
          <w:color w:val="000000"/>
          <w:spacing w:val="0"/>
          <w:w w:val="100"/>
          <w:position w:val="0"/>
          <w:sz w:val="24"/>
          <w:szCs w:val="24"/>
        </w:rPr>
        <w:t>(2 )</w:t>
      </w:r>
      <w:r>
        <w:rPr>
          <w:color w:val="000000"/>
          <w:spacing w:val="0"/>
          <w:w w:val="100"/>
          <w:position w:val="0"/>
          <w:sz w:val="22"/>
          <w:szCs w:val="22"/>
        </w:rPr>
        <w:t>换入资产或换出资产的公允价 值能够可靠地计量这两项条件的，以换出资产的公允价值为基础计量，但有确凿证据表明 换入资产的公允价值更加可靠的除外。对于换入资产，本集团以换出资产公允价值和应</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708" w:val="left"/>
        </w:tabs>
        <w:bidi w:val="0"/>
        <w:spacing w:before="0" w:after="240" w:line="305" w:lineRule="exact"/>
        <w:ind w:left="0" w:right="0" w:firstLine="0"/>
        <w:jc w:val="both"/>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08" w:val="left"/>
        </w:tabs>
        <w:bidi w:val="0"/>
        <w:spacing w:before="0" w:after="240" w:line="305" w:lineRule="exact"/>
        <w:ind w:left="0" w:right="0" w:firstLine="0"/>
        <w:jc w:val="both"/>
        <w:rPr>
          <w:sz w:val="22"/>
          <w:szCs w:val="22"/>
        </w:rPr>
      </w:pPr>
      <w:bookmarkStart w:id="975" w:name="bookmark975"/>
      <w:r>
        <w:rPr>
          <w:rFonts w:ascii="Times New Roman" w:eastAsia="Times New Roman" w:hAnsi="Times New Roman" w:cs="Times New Roman"/>
          <w:color w:val="000000"/>
          <w:spacing w:val="0"/>
          <w:w w:val="100"/>
          <w:position w:val="0"/>
          <w:sz w:val="24"/>
          <w:szCs w:val="24"/>
        </w:rPr>
        <w:t>3</w:t>
      </w:r>
      <w:bookmarkEnd w:id="975"/>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w:t>
        <w:tab/>
        <w:t>非货币性资产交换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305" w:lineRule="exact"/>
        <w:ind w:left="720" w:right="0" w:firstLine="0"/>
        <w:jc w:val="both"/>
        <w:rPr>
          <w:sz w:val="22"/>
          <w:szCs w:val="22"/>
        </w:rPr>
      </w:pPr>
      <w:r>
        <w:rPr>
          <w:color w:val="000000"/>
          <w:spacing w:val="0"/>
          <w:w w:val="100"/>
          <w:position w:val="0"/>
          <w:sz w:val="22"/>
          <w:szCs w:val="22"/>
        </w:rPr>
        <w:t>支付的相关税费作为换入资产的成本进行初始计量；对于换出资产，本集团在终止确认时 将换出资产的公允价值与其账面价值的差额计入当期损益。未同时满足上述两项条件的非 货币性资产交换，本集团以账面价值为基础计量。对于换入资产，本集团以换出资产的账 面价值和应支付的相关税费作为换入资产的初始计量金额；对于换出资产，终止确认时不 确认损益。</w:t>
      </w:r>
    </w:p>
    <w:p>
      <w:pPr>
        <w:pStyle w:val="Style5"/>
        <w:keepNext w:val="0"/>
        <w:keepLines w:val="0"/>
        <w:widowControl w:val="0"/>
        <w:shd w:val="clear" w:color="auto" w:fill="auto"/>
        <w:tabs>
          <w:tab w:pos="708" w:val="left"/>
        </w:tabs>
        <w:bidi w:val="0"/>
        <w:spacing w:before="0" w:after="240" w:line="305" w:lineRule="exact"/>
        <w:ind w:left="0" w:right="0" w:firstLine="0"/>
        <w:jc w:val="both"/>
        <w:rPr>
          <w:sz w:val="22"/>
          <w:szCs w:val="22"/>
        </w:rPr>
      </w:pPr>
      <w:bookmarkStart w:id="976" w:name="bookmark976"/>
      <w:r>
        <w:rPr>
          <w:rFonts w:ascii="Times New Roman" w:eastAsia="Times New Roman" w:hAnsi="Times New Roman" w:cs="Times New Roman"/>
          <w:color w:val="000000"/>
          <w:spacing w:val="0"/>
          <w:w w:val="100"/>
          <w:position w:val="0"/>
          <w:sz w:val="24"/>
          <w:szCs w:val="24"/>
        </w:rPr>
        <w:t>3</w:t>
      </w:r>
      <w:bookmarkEnd w:id="97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与少数股东之间的交易</w:t>
      </w:r>
    </w:p>
    <w:p>
      <w:pPr>
        <w:pStyle w:val="Style5"/>
        <w:keepNext w:val="0"/>
        <w:keepLines w:val="0"/>
        <w:widowControl w:val="0"/>
        <w:shd w:val="clear" w:color="auto" w:fill="auto"/>
        <w:bidi w:val="0"/>
        <w:spacing w:before="0" w:after="300" w:line="306" w:lineRule="exact"/>
        <w:ind w:left="720" w:right="0" w:firstLine="0"/>
        <w:jc w:val="both"/>
        <w:rPr>
          <w:sz w:val="22"/>
          <w:szCs w:val="22"/>
        </w:rPr>
      </w:pPr>
      <w:r>
        <w:rPr>
          <w:color w:val="000000"/>
          <w:spacing w:val="0"/>
          <w:w w:val="100"/>
          <w:position w:val="0"/>
          <w:sz w:val="22"/>
          <w:szCs w:val="22"/>
        </w:rPr>
        <w:t>对于购买子公司少数股权或处置部分股权投资但没有丧失对该子公司控制权的交易，作为 权益性交易核算，调整归属于母公司所有者权益和少数股东权益的账面价值以反映其在子 公司中相关权益的变化，少数股东权益的调整额与本集团支付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收到对价的公允价值之间的 差额调整资本公积，资本公积的金额不足冲减的，调整留存收益。</w:t>
      </w:r>
    </w:p>
    <w:p>
      <w:pPr>
        <w:pStyle w:val="Style5"/>
        <w:keepNext w:val="0"/>
        <w:keepLines w:val="0"/>
        <w:widowControl w:val="0"/>
        <w:shd w:val="clear" w:color="auto" w:fill="auto"/>
        <w:tabs>
          <w:tab w:pos="708" w:val="left"/>
        </w:tabs>
        <w:bidi w:val="0"/>
        <w:spacing w:before="0" w:after="240" w:line="266" w:lineRule="auto"/>
        <w:ind w:left="0" w:right="0" w:firstLine="0"/>
        <w:jc w:val="both"/>
        <w:rPr>
          <w:sz w:val="22"/>
          <w:szCs w:val="22"/>
        </w:rPr>
      </w:pPr>
      <w:bookmarkStart w:id="977" w:name="bookmark977"/>
      <w:r>
        <w:rPr>
          <w:rFonts w:ascii="Times New Roman" w:eastAsia="Times New Roman" w:hAnsi="Times New Roman" w:cs="Times New Roman"/>
          <w:color w:val="000000"/>
          <w:spacing w:val="0"/>
          <w:w w:val="100"/>
          <w:position w:val="0"/>
          <w:sz w:val="24"/>
          <w:szCs w:val="24"/>
        </w:rPr>
        <w:t>3</w:t>
      </w:r>
      <w:bookmarkEnd w:id="97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关联方</w:t>
      </w:r>
    </w:p>
    <w:p>
      <w:pPr>
        <w:pStyle w:val="Style5"/>
        <w:keepNext w:val="0"/>
        <w:keepLines w:val="0"/>
        <w:widowControl w:val="0"/>
        <w:shd w:val="clear" w:color="auto" w:fill="auto"/>
        <w:bidi w:val="0"/>
        <w:spacing w:before="0" w:after="240" w:line="302" w:lineRule="exact"/>
        <w:ind w:left="720" w:right="0" w:firstLine="0"/>
        <w:jc w:val="both"/>
        <w:rPr>
          <w:sz w:val="22"/>
          <w:szCs w:val="22"/>
        </w:rPr>
      </w:pPr>
      <w:r>
        <w:rPr>
          <w:color w:val="000000"/>
          <w:spacing w:val="0"/>
          <w:w w:val="100"/>
          <w:position w:val="0"/>
          <w:sz w:val="22"/>
          <w:szCs w:val="22"/>
        </w:rPr>
        <w:t>一方控制、共同控制另一方或对另一方施加重大影响，以及两方或两方以上同受一方控 制、共同控制的，构成关联方。关联方可为个人或企业。仅仅同受国家控制而不存在其他 关联方关系的企业，不构成关联方。</w:t>
      </w: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此外，本公司同时根据证监会颁布的《上市公司信息披露管理办法》确定本集团或本公司 的关联方。</w:t>
      </w:r>
    </w:p>
    <w:p>
      <w:pPr>
        <w:pStyle w:val="Style5"/>
        <w:keepNext w:val="0"/>
        <w:keepLines w:val="0"/>
        <w:widowControl w:val="0"/>
        <w:shd w:val="clear" w:color="auto" w:fill="auto"/>
        <w:tabs>
          <w:tab w:pos="708" w:val="left"/>
        </w:tabs>
        <w:bidi w:val="0"/>
        <w:spacing w:before="0" w:after="240" w:line="266" w:lineRule="auto"/>
        <w:ind w:left="0" w:right="0" w:firstLine="0"/>
        <w:jc w:val="both"/>
        <w:rPr>
          <w:sz w:val="22"/>
          <w:szCs w:val="22"/>
        </w:rPr>
      </w:pPr>
      <w:bookmarkStart w:id="978" w:name="bookmark978"/>
      <w:r>
        <w:rPr>
          <w:rFonts w:ascii="Times New Roman" w:eastAsia="Times New Roman" w:hAnsi="Times New Roman" w:cs="Times New Roman"/>
          <w:color w:val="000000"/>
          <w:spacing w:val="0"/>
          <w:w w:val="100"/>
          <w:position w:val="0"/>
          <w:sz w:val="24"/>
          <w:szCs w:val="24"/>
        </w:rPr>
        <w:t>3</w:t>
      </w:r>
      <w:bookmarkEnd w:id="97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会计政策变更</w:t>
      </w:r>
    </w:p>
    <w:p>
      <w:pPr>
        <w:pStyle w:val="Style5"/>
        <w:keepNext w:val="0"/>
        <w:keepLines w:val="0"/>
        <w:widowControl w:val="0"/>
        <w:shd w:val="clear" w:color="auto" w:fill="auto"/>
        <w:bidi w:val="0"/>
        <w:spacing w:before="0" w:after="300" w:line="305" w:lineRule="exact"/>
        <w:ind w:left="720" w:right="0" w:firstLine="0"/>
        <w:jc w:val="both"/>
        <w:rPr>
          <w:sz w:val="22"/>
          <w:szCs w:val="22"/>
        </w:rPr>
      </w:pPr>
      <w:r>
        <w:rPr>
          <w:color w:val="000000"/>
          <w:spacing w:val="0"/>
          <w:w w:val="100"/>
          <w:position w:val="0"/>
          <w:sz w:val="22"/>
          <w:szCs w:val="22"/>
        </w:rPr>
        <w:t>与本集团相关的于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年生效的企业会计准则相关规定如下：</w:t>
      </w:r>
    </w:p>
    <w:p>
      <w:pPr>
        <w:pStyle w:val="Style5"/>
        <w:keepNext w:val="0"/>
        <w:keepLines w:val="0"/>
        <w:widowControl w:val="0"/>
        <w:shd w:val="clear" w:color="auto" w:fill="auto"/>
        <w:bidi w:val="0"/>
        <w:spacing w:before="0" w:after="240" w:line="305" w:lineRule="exact"/>
        <w:ind w:left="720" w:right="0" w:firstLine="0"/>
        <w:jc w:val="both"/>
        <w:rPr>
          <w:sz w:val="24"/>
          <w:szCs w:val="24"/>
        </w:rPr>
      </w:pPr>
      <w:bookmarkStart w:id="979" w:name="bookmark979"/>
      <w:r>
        <w:rPr>
          <w:rFonts w:ascii="Times New Roman" w:eastAsia="Times New Roman" w:hAnsi="Times New Roman" w:cs="Times New Roman"/>
          <w:color w:val="000000"/>
          <w:spacing w:val="0"/>
          <w:w w:val="100"/>
          <w:position w:val="0"/>
          <w:sz w:val="24"/>
          <w:szCs w:val="24"/>
        </w:rPr>
        <w:t>（</w:t>
      </w:r>
      <w:bookmarkEnd w:id="97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关于调整《新冠肺炎疫情相关租金减让会计处理规定》适用范围的通知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财会</w:t>
      </w:r>
      <w:r>
        <w:rPr>
          <w:rFonts w:ascii="Times New Roman" w:eastAsia="Times New Roman" w:hAnsi="Times New Roman" w:cs="Times New Roman"/>
          <w:color w:val="000000"/>
          <w:spacing w:val="0"/>
          <w:w w:val="100"/>
          <w:position w:val="0"/>
          <w:sz w:val="24"/>
          <w:szCs w:val="24"/>
        </w:rPr>
        <w:t xml:space="preserve">[2021] </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40" w:line="305" w:lineRule="exact"/>
        <w:ind w:left="720" w:right="0" w:firstLine="0"/>
        <w:jc w:val="both"/>
        <w:rPr>
          <w:sz w:val="22"/>
          <w:szCs w:val="22"/>
        </w:rPr>
      </w:pPr>
      <w:r>
        <w:rPr>
          <w:color w:val="000000"/>
          <w:spacing w:val="0"/>
          <w:w w:val="100"/>
          <w:position w:val="0"/>
          <w:sz w:val="22"/>
          <w:szCs w:val="22"/>
        </w:rPr>
        <w:t>财会</w:t>
      </w:r>
      <w:r>
        <w:rPr>
          <w:rFonts w:ascii="Times New Roman" w:eastAsia="Times New Roman" w:hAnsi="Times New Roman" w:cs="Times New Roman"/>
          <w:color w:val="000000"/>
          <w:spacing w:val="0"/>
          <w:w w:val="100"/>
          <w:position w:val="0"/>
          <w:sz w:val="24"/>
          <w:szCs w:val="24"/>
        </w:rPr>
        <w:t xml:space="preserve">[2021] </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号系对《新冠肺炎疫情相关租金减让会计处理规定》</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财会</w:t>
      </w:r>
      <w:r>
        <w:rPr>
          <w:rFonts w:ascii="Times New Roman" w:eastAsia="Times New Roman" w:hAnsi="Times New Roman" w:cs="Times New Roman"/>
          <w:color w:val="000000"/>
          <w:spacing w:val="0"/>
          <w:w w:val="100"/>
          <w:position w:val="0"/>
          <w:sz w:val="24"/>
          <w:szCs w:val="24"/>
        </w:rPr>
        <w:t>[2020]10</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适用 范围的调整。适用财会</w:t>
      </w:r>
      <w:r>
        <w:rPr>
          <w:rFonts w:ascii="Times New Roman" w:eastAsia="Times New Roman" w:hAnsi="Times New Roman" w:cs="Times New Roman"/>
          <w:color w:val="000000"/>
          <w:spacing w:val="0"/>
          <w:w w:val="100"/>
          <w:position w:val="0"/>
          <w:sz w:val="24"/>
          <w:szCs w:val="24"/>
        </w:rPr>
        <w:t>[2020]10</w:t>
      </w:r>
      <w:r>
        <w:rPr>
          <w:color w:val="000000"/>
          <w:spacing w:val="0"/>
          <w:w w:val="100"/>
          <w:position w:val="0"/>
          <w:sz w:val="22"/>
          <w:szCs w:val="22"/>
        </w:rPr>
        <w:t>号简化方法的租金减让期间由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减让仅针对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 xml:space="preserve">30 </w:t>
      </w:r>
      <w:r>
        <w:rPr>
          <w:color w:val="000000"/>
          <w:spacing w:val="0"/>
          <w:w w:val="100"/>
          <w:position w:val="0"/>
          <w:sz w:val="22"/>
          <w:szCs w:val="22"/>
        </w:rPr>
        <w:t>日前的应付租赁付款额，</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 xml:space="preserve">日后应付租赁付款额增加不影响满足该条件，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日后应付租赁付款额减少不满足该条件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调整为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减让仅针对</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 xml:space="preserve">30 </w:t>
      </w:r>
      <w:r>
        <w:rPr>
          <w:color w:val="000000"/>
          <w:spacing w:val="0"/>
          <w:w w:val="100"/>
          <w:position w:val="0"/>
          <w:sz w:val="22"/>
          <w:szCs w:val="22"/>
        </w:rPr>
        <w:t>日前的应付租赁付款额，</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 xml:space="preserve">日后应付租赁付款额增加不影响满足该条件， </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日后应付租赁付款额减少不满足该条件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，其他适用条件不变。</w:t>
      </w:r>
    </w:p>
    <w:p>
      <w:pPr>
        <w:pStyle w:val="Style5"/>
        <w:keepNext w:val="0"/>
        <w:keepLines w:val="0"/>
        <w:widowControl w:val="0"/>
        <w:shd w:val="clear" w:color="auto" w:fill="auto"/>
        <w:bidi w:val="0"/>
        <w:spacing w:before="0" w:after="240" w:line="312" w:lineRule="exact"/>
        <w:ind w:left="720" w:right="0" w:firstLine="0"/>
        <w:jc w:val="both"/>
        <w:rPr>
          <w:sz w:val="22"/>
          <w:szCs w:val="22"/>
        </w:rPr>
      </w:pPr>
      <w:r>
        <w:rPr>
          <w:color w:val="000000"/>
          <w:spacing w:val="0"/>
          <w:w w:val="100"/>
          <w:position w:val="0"/>
          <w:sz w:val="22"/>
          <w:szCs w:val="22"/>
        </w:rPr>
        <w:t>财会</w:t>
      </w:r>
      <w:r>
        <w:rPr>
          <w:rFonts w:ascii="Times New Roman" w:eastAsia="Times New Roman" w:hAnsi="Times New Roman" w:cs="Times New Roman"/>
          <w:color w:val="000000"/>
          <w:spacing w:val="0"/>
          <w:w w:val="100"/>
          <w:position w:val="0"/>
          <w:sz w:val="24"/>
          <w:szCs w:val="24"/>
        </w:rPr>
        <w:t xml:space="preserve">[2021] </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号自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2"/>
          <w:szCs w:val="22"/>
        </w:rPr>
        <w:t>日起施行，对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日至该规定施行日新冠肺炎 疫情相关租金减让的会计处理不符合该规定的，应当根据该规定进行调整。本集团未采用 上述简化处理。</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65" w:val="left"/>
        </w:tabs>
        <w:bidi w:val="0"/>
        <w:spacing w:before="0" w:after="260" w:line="312" w:lineRule="exact"/>
        <w:ind w:left="0" w:right="0" w:firstLine="0"/>
        <w:jc w:val="left"/>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65" w:val="left"/>
        </w:tabs>
        <w:bidi w:val="0"/>
        <w:spacing w:before="0" w:after="260" w:line="271"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2"/>
          <w:szCs w:val="22"/>
        </w:rPr>
        <w:t>、</w:t>
        <w:tab/>
        <w:t>会计政策变更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1157" w:val="left"/>
        </w:tabs>
        <w:bidi w:val="0"/>
        <w:spacing w:before="0" w:after="260" w:line="312" w:lineRule="exact"/>
        <w:ind w:left="0" w:right="0" w:firstLine="720"/>
        <w:jc w:val="left"/>
        <w:rPr>
          <w:sz w:val="22"/>
          <w:szCs w:val="22"/>
        </w:rPr>
      </w:pPr>
      <w:bookmarkStart w:id="980" w:name="bookmark980"/>
      <w:r>
        <w:rPr>
          <w:rFonts w:ascii="Times New Roman" w:eastAsia="Times New Roman" w:hAnsi="Times New Roman" w:cs="Times New Roman"/>
          <w:color w:val="000000"/>
          <w:spacing w:val="0"/>
          <w:w w:val="100"/>
          <w:position w:val="0"/>
          <w:sz w:val="24"/>
          <w:szCs w:val="24"/>
        </w:rPr>
        <w:t>（</w:t>
      </w:r>
      <w:bookmarkEnd w:id="980"/>
      <w:r>
        <w:rPr>
          <w:rFonts w:ascii="Times New Roman" w:eastAsia="Times New Roman" w:hAnsi="Times New Roman" w:cs="Times New Roman"/>
          <w:color w:val="000000"/>
          <w:spacing w:val="0"/>
          <w:w w:val="100"/>
          <w:position w:val="0"/>
          <w:sz w:val="24"/>
          <w:szCs w:val="24"/>
        </w:rPr>
        <w:t>2）</w:t>
        <w:tab/>
      </w:r>
      <w:r>
        <w:rPr>
          <w:color w:val="000000"/>
          <w:spacing w:val="0"/>
          <w:w w:val="100"/>
          <w:position w:val="0"/>
          <w:sz w:val="22"/>
          <w:szCs w:val="22"/>
        </w:rPr>
        <w:t>关于基准利率改革导致相关合同现金流量的确定基础发生变更的会计处理</w:t>
      </w:r>
    </w:p>
    <w:p>
      <w:pPr>
        <w:pStyle w:val="Style5"/>
        <w:keepNext w:val="0"/>
        <w:keepLines w:val="0"/>
        <w:widowControl w:val="0"/>
        <w:shd w:val="clear" w:color="auto" w:fill="auto"/>
        <w:bidi w:val="0"/>
        <w:spacing w:before="0" w:after="260" w:line="288" w:lineRule="exact"/>
        <w:ind w:left="720" w:right="0" w:firstLine="0"/>
        <w:jc w:val="both"/>
        <w:rPr>
          <w:sz w:val="22"/>
          <w:szCs w:val="22"/>
        </w:rPr>
      </w:pPr>
      <w:r>
        <w:rPr>
          <w:color w:val="000000"/>
          <w:spacing w:val="0"/>
          <w:w w:val="100"/>
          <w:position w:val="0"/>
          <w:sz w:val="22"/>
          <w:szCs w:val="22"/>
        </w:rPr>
        <w:t>财政部于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月发布实施《企业会计准则解释第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2"/>
          <w:szCs w:val="22"/>
        </w:rPr>
        <w:t>号》</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解释第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，规范了基 准利率改革导致相关合同现金流量的确定基础发生变更的会计处理。</w:t>
      </w:r>
    </w:p>
    <w:p>
      <w:pPr>
        <w:pStyle w:val="Style5"/>
        <w:keepNext w:val="0"/>
        <w:keepLines w:val="0"/>
        <w:widowControl w:val="0"/>
        <w:shd w:val="clear" w:color="auto" w:fill="auto"/>
        <w:bidi w:val="0"/>
        <w:spacing w:before="0" w:after="260" w:line="311" w:lineRule="exact"/>
        <w:ind w:left="720" w:right="0" w:firstLine="0"/>
        <w:jc w:val="both"/>
        <w:rPr>
          <w:sz w:val="22"/>
          <w:szCs w:val="22"/>
        </w:rPr>
      </w:pPr>
      <w:r>
        <w:rPr>
          <w:color w:val="000000"/>
          <w:spacing w:val="0"/>
          <w:w w:val="100"/>
          <w:position w:val="0"/>
          <w:sz w:val="22"/>
          <w:szCs w:val="22"/>
        </w:rPr>
        <w:t>对于基准利率改革导致相关合同现金流量的确定基础发生变更的情形，当仅因基准利率改 革直接导致采用实际利率法确定利息收入或费用的金融资产或金融负债合同现金流量的确 定基础发生变更，且变更前后的确定基础在经济上相当时，本集团参照浮动利率变动的处 理方法，按照仅因基准利率改革导致变更后的未来现金流量重新计算实际利率，并以此为 基础进行后续计量。</w:t>
      </w:r>
    </w:p>
    <w:p>
      <w:pPr>
        <w:pStyle w:val="Style5"/>
        <w:keepNext w:val="0"/>
        <w:keepLines w:val="0"/>
        <w:widowControl w:val="0"/>
        <w:shd w:val="clear" w:color="auto" w:fill="auto"/>
        <w:bidi w:val="0"/>
        <w:spacing w:before="0" w:after="260" w:line="315" w:lineRule="exact"/>
        <w:ind w:left="720" w:right="0" w:firstLine="0"/>
        <w:jc w:val="both"/>
        <w:rPr>
          <w:sz w:val="22"/>
          <w:szCs w:val="22"/>
        </w:rPr>
      </w:pPr>
      <w:r>
        <w:rPr>
          <w:color w:val="000000"/>
          <w:spacing w:val="0"/>
          <w:w w:val="100"/>
          <w:position w:val="0"/>
          <w:sz w:val="22"/>
          <w:szCs w:val="22"/>
        </w:rPr>
        <w:t>除上述变更外，采用实际利率法确定利息收入或费用的金融资产或金融负债同时发生其他 变更的，本集团根据上述规定对基准利率改革导致的变更进行会计处理，再根据《企业会 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号一金融工具确认和计量》的规定评估其他变更是否导致终止确认该金融资产 或金融负债。</w:t>
      </w:r>
    </w:p>
    <w:p>
      <w:pPr>
        <w:pStyle w:val="Style5"/>
        <w:keepNext w:val="0"/>
        <w:keepLines w:val="0"/>
        <w:widowControl w:val="0"/>
        <w:shd w:val="clear" w:color="auto" w:fill="auto"/>
        <w:bidi w:val="0"/>
        <w:spacing w:before="0" w:after="260" w:line="322" w:lineRule="exact"/>
        <w:ind w:left="720" w:right="0" w:firstLine="0"/>
        <w:jc w:val="both"/>
        <w:rPr>
          <w:sz w:val="22"/>
          <w:szCs w:val="22"/>
        </w:rPr>
      </w:pPr>
      <w:r>
        <w:rPr>
          <w:color w:val="000000"/>
          <w:spacing w:val="0"/>
          <w:w w:val="100"/>
          <w:position w:val="0"/>
          <w:sz w:val="22"/>
          <w:szCs w:val="22"/>
        </w:rPr>
        <w:t>解释第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2"/>
          <w:szCs w:val="22"/>
        </w:rPr>
        <w:t>号自公布之日起施行，在解释施行日金融资产、金融负债等原账面价值与新账 面价值之间的差额，计入解释施行日所在年度报告期间的期初留存收益或其他综合收益。 采用上述规定未对本集团的财务状况和经营成果产生重大影响。</w:t>
      </w:r>
    </w:p>
    <w:p>
      <w:pPr>
        <w:pStyle w:val="Style5"/>
        <w:keepNext w:val="0"/>
        <w:keepLines w:val="0"/>
        <w:widowControl w:val="0"/>
        <w:shd w:val="clear" w:color="auto" w:fill="auto"/>
        <w:tabs>
          <w:tab w:pos="1157" w:val="left"/>
        </w:tabs>
        <w:bidi w:val="0"/>
        <w:spacing w:before="0" w:after="260" w:line="312" w:lineRule="exact"/>
        <w:ind w:left="0" w:right="0" w:firstLine="720"/>
        <w:jc w:val="left"/>
        <w:rPr>
          <w:sz w:val="22"/>
          <w:szCs w:val="22"/>
        </w:rPr>
      </w:pPr>
      <w:bookmarkStart w:id="981" w:name="bookmark981"/>
      <w:r>
        <w:rPr>
          <w:rFonts w:ascii="Times New Roman" w:eastAsia="Times New Roman" w:hAnsi="Times New Roman" w:cs="Times New Roman"/>
          <w:color w:val="000000"/>
          <w:spacing w:val="0"/>
          <w:w w:val="100"/>
          <w:position w:val="0"/>
          <w:sz w:val="24"/>
          <w:szCs w:val="24"/>
        </w:rPr>
        <w:t>（</w:t>
      </w:r>
      <w:bookmarkEnd w:id="981"/>
      <w:r>
        <w:rPr>
          <w:rFonts w:ascii="Times New Roman" w:eastAsia="Times New Roman" w:hAnsi="Times New Roman" w:cs="Times New Roman"/>
          <w:color w:val="000000"/>
          <w:spacing w:val="0"/>
          <w:w w:val="100"/>
          <w:position w:val="0"/>
          <w:sz w:val="24"/>
          <w:szCs w:val="24"/>
        </w:rPr>
        <w:t>3）</w:t>
        <w:tab/>
      </w:r>
      <w:r>
        <w:rPr>
          <w:color w:val="000000"/>
          <w:spacing w:val="0"/>
          <w:w w:val="100"/>
          <w:position w:val="0"/>
          <w:sz w:val="22"/>
          <w:szCs w:val="22"/>
        </w:rPr>
        <w:t>关于资金集中管理相关列报</w:t>
      </w:r>
    </w:p>
    <w:p>
      <w:pPr>
        <w:pStyle w:val="Style5"/>
        <w:keepNext w:val="0"/>
        <w:keepLines w:val="0"/>
        <w:widowControl w:val="0"/>
        <w:shd w:val="clear" w:color="auto" w:fill="auto"/>
        <w:bidi w:val="0"/>
        <w:spacing w:before="0" w:after="260" w:line="326" w:lineRule="exact"/>
        <w:ind w:left="720" w:right="0" w:firstLine="0"/>
        <w:jc w:val="both"/>
        <w:rPr>
          <w:sz w:val="22"/>
          <w:szCs w:val="22"/>
        </w:rPr>
      </w:pPr>
      <w:r>
        <w:rPr>
          <w:color w:val="000000"/>
          <w:spacing w:val="0"/>
          <w:w w:val="100"/>
          <w:position w:val="0"/>
          <w:sz w:val="22"/>
          <w:szCs w:val="22"/>
        </w:rPr>
        <w:t>财政部于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月发布《企业会计准则解释第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号》</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解释第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，规范了关于资 金集中管理的相关列报。</w:t>
      </w:r>
    </w:p>
    <w:p>
      <w:pPr>
        <w:pStyle w:val="Style5"/>
        <w:keepNext w:val="0"/>
        <w:keepLines w:val="0"/>
        <w:widowControl w:val="0"/>
        <w:shd w:val="clear" w:color="auto" w:fill="auto"/>
        <w:bidi w:val="0"/>
        <w:spacing w:before="0" w:after="260" w:line="312" w:lineRule="exact"/>
        <w:ind w:left="720" w:right="0" w:firstLine="0"/>
        <w:jc w:val="both"/>
        <w:rPr>
          <w:sz w:val="22"/>
          <w:szCs w:val="22"/>
        </w:rPr>
      </w:pPr>
      <w:r>
        <w:rPr>
          <w:color w:val="000000"/>
          <w:spacing w:val="0"/>
          <w:w w:val="100"/>
          <w:position w:val="0"/>
          <w:sz w:val="22"/>
          <w:szCs w:val="22"/>
        </w:rPr>
        <w:t>解释第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号规范了如下几类情形的列报：</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成员单位归集至集团母公司账户的资金；</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sz w:val="22"/>
          <w:szCs w:val="22"/>
        </w:rPr>
        <w:t>成员单位从集团母公司账户拆借资金；</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成员单位未归集至集团母公司账户而直接存入财 务公司的资金；</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成员单位未从集团母公司账户而直接从财务公司拆借的资金。解释第</w:t>
      </w:r>
      <w:r>
        <w:rPr>
          <w:rFonts w:ascii="Times New Roman" w:eastAsia="Times New Roman" w:hAnsi="Times New Roman" w:cs="Times New Roman"/>
          <w:color w:val="000000"/>
          <w:spacing w:val="0"/>
          <w:w w:val="100"/>
          <w:position w:val="0"/>
          <w:sz w:val="24"/>
          <w:szCs w:val="24"/>
        </w:rPr>
        <w:t xml:space="preserve">15 </w:t>
      </w:r>
      <w:r>
        <w:rPr>
          <w:color w:val="000000"/>
          <w:spacing w:val="0"/>
          <w:w w:val="100"/>
          <w:position w:val="0"/>
          <w:sz w:val="22"/>
          <w:szCs w:val="22"/>
        </w:rPr>
        <w:t>号所称的财务公司，是指依法接受银保监会的监督管理，以加强企业集团资金集中管理和 提高企业集团资金使用效率为目的，为企业集团成员单位提供财务管理服务的非银行金融 机构。资金集中管理涉及非流动项目的，解释第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 xml:space="preserve">号要求企业按照《企业会计准则第 </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财务报表列报》关于流动性列示的规定，分别在流动资产和非流动资产、流动负 债和非流动负债列示。同时，解释第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号规定，在集团母公司、成员单位和财务公司的资 产负债表中，除符合《企业会计准则第</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金融工具列报》中有关金融资产和金融负 债抵销的规定外，资金集中管理相关金融资产和金融负债不得相互抵销。</w:t>
      </w:r>
    </w:p>
    <w:p>
      <w:pPr>
        <w:pStyle w:val="Style5"/>
        <w:keepNext w:val="0"/>
        <w:keepLines w:val="0"/>
        <w:widowControl w:val="0"/>
        <w:shd w:val="clear" w:color="auto" w:fill="auto"/>
        <w:bidi w:val="0"/>
        <w:spacing w:before="0" w:after="260" w:line="331" w:lineRule="exact"/>
        <w:ind w:left="720" w:right="0" w:firstLine="0"/>
        <w:jc w:val="both"/>
        <w:rPr>
          <w:sz w:val="22"/>
          <w:szCs w:val="22"/>
        </w:rPr>
      </w:pPr>
      <w:r>
        <w:rPr>
          <w:color w:val="000000"/>
          <w:spacing w:val="0"/>
          <w:w w:val="100"/>
          <w:position w:val="0"/>
          <w:sz w:val="22"/>
          <w:szCs w:val="22"/>
        </w:rPr>
        <w:t>解释第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号关于资金集中管理相关列报的规定自公布之日起施行，并要求对可比期间的财 务报表数据进行相应调整。采用上述规定未对本集团的财务状况和经营成果产生重大影响。</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5" w:val="left"/>
        </w:tabs>
        <w:bidi w:val="0"/>
        <w:spacing w:before="0" w:after="280" w:line="302" w:lineRule="exact"/>
        <w:ind w:left="0" w:right="0" w:firstLine="0"/>
        <w:jc w:val="left"/>
        <w:rPr>
          <w:sz w:val="22"/>
          <w:szCs w:val="22"/>
        </w:rPr>
      </w:pPr>
      <w:r>
        <w:rPr>
          <w:color w:val="000000"/>
          <w:spacing w:val="0"/>
          <w:w w:val="100"/>
          <w:position w:val="0"/>
          <w:sz w:val="22"/>
          <w:szCs w:val="22"/>
        </w:rPr>
        <w:t>三、</w:t>
        <w:tab/>
        <w:t>重要会计政策和会计估计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5" w:val="left"/>
        </w:tabs>
        <w:bidi w:val="0"/>
        <w:spacing w:before="0" w:after="220" w:line="264" w:lineRule="auto"/>
        <w:ind w:left="0" w:right="0" w:firstLine="0"/>
        <w:jc w:val="left"/>
        <w:rPr>
          <w:sz w:val="22"/>
          <w:szCs w:val="22"/>
        </w:rPr>
      </w:pPr>
      <w:bookmarkStart w:id="982" w:name="bookmark982"/>
      <w:r>
        <w:rPr>
          <w:rFonts w:ascii="Times New Roman" w:eastAsia="Times New Roman" w:hAnsi="Times New Roman" w:cs="Times New Roman"/>
          <w:color w:val="000000"/>
          <w:spacing w:val="0"/>
          <w:w w:val="100"/>
          <w:position w:val="0"/>
          <w:sz w:val="24"/>
          <w:szCs w:val="24"/>
        </w:rPr>
        <w:t>3</w:t>
      </w:r>
      <w:bookmarkEnd w:id="982"/>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重要会计估计和判断</w:t>
      </w:r>
    </w:p>
    <w:p>
      <w:pPr>
        <w:pStyle w:val="Style5"/>
        <w:keepNext w:val="0"/>
        <w:keepLines w:val="0"/>
        <w:widowControl w:val="0"/>
        <w:shd w:val="clear" w:color="auto" w:fill="auto"/>
        <w:bidi w:val="0"/>
        <w:spacing w:before="0" w:after="280" w:line="302" w:lineRule="exact"/>
        <w:ind w:left="720" w:right="0" w:firstLine="0"/>
        <w:jc w:val="left"/>
        <w:rPr>
          <w:sz w:val="22"/>
          <w:szCs w:val="22"/>
        </w:rPr>
      </w:pPr>
      <w:r>
        <w:rPr>
          <w:color w:val="000000"/>
          <w:spacing w:val="0"/>
          <w:w w:val="100"/>
          <w:position w:val="0"/>
          <w:sz w:val="22"/>
          <w:szCs w:val="22"/>
        </w:rPr>
        <w:t>本集团根据历史经验和其他因素，包括对未来事项的合理预期，对所采用的重要会计估计 和关键判断进行持续的评价。</w:t>
      </w:r>
    </w:p>
    <w:p>
      <w:pPr>
        <w:pStyle w:val="Style5"/>
        <w:keepNext w:val="0"/>
        <w:keepLines w:val="0"/>
        <w:widowControl w:val="0"/>
        <w:numPr>
          <w:ilvl w:val="0"/>
          <w:numId w:val="105"/>
        </w:numPr>
        <w:shd w:val="clear" w:color="auto" w:fill="auto"/>
        <w:bidi w:val="0"/>
        <w:spacing w:before="0" w:after="220" w:line="302" w:lineRule="exact"/>
        <w:ind w:left="0" w:right="0" w:firstLine="720"/>
        <w:jc w:val="left"/>
        <w:rPr>
          <w:sz w:val="22"/>
          <w:szCs w:val="22"/>
        </w:rPr>
      </w:pPr>
      <w:bookmarkStart w:id="983" w:name="bookmark983"/>
      <w:bookmarkEnd w:id="983"/>
      <w:r>
        <w:rPr>
          <w:color w:val="000000"/>
          <w:spacing w:val="0"/>
          <w:w w:val="100"/>
          <w:position w:val="0"/>
          <w:sz w:val="22"/>
          <w:szCs w:val="22"/>
        </w:rPr>
        <w:t>重要会计估计及其关键假设</w:t>
      </w:r>
    </w:p>
    <w:p>
      <w:pPr>
        <w:pStyle w:val="Style5"/>
        <w:keepNext w:val="0"/>
        <w:keepLines w:val="0"/>
        <w:widowControl w:val="0"/>
        <w:shd w:val="clear" w:color="auto" w:fill="auto"/>
        <w:bidi w:val="0"/>
        <w:spacing w:before="0" w:after="280" w:line="302" w:lineRule="exact"/>
        <w:ind w:left="720" w:right="0" w:firstLine="0"/>
        <w:jc w:val="both"/>
        <w:rPr>
          <w:sz w:val="22"/>
          <w:szCs w:val="22"/>
        </w:rPr>
      </w:pPr>
      <w:r>
        <w:rPr>
          <w:color w:val="000000"/>
          <w:spacing w:val="0"/>
          <w:w w:val="100"/>
          <w:position w:val="0"/>
          <w:sz w:val="22"/>
          <w:szCs w:val="22"/>
        </w:rPr>
        <w:t>下列重大会计估计及关键假设存在会导致下一会计年度资产和负债的账面价值出现重大调 整的主要风险：</w:t>
      </w:r>
    </w:p>
    <w:p>
      <w:pPr>
        <w:pStyle w:val="Style5"/>
        <w:keepNext w:val="0"/>
        <w:keepLines w:val="0"/>
        <w:widowControl w:val="0"/>
        <w:numPr>
          <w:ilvl w:val="0"/>
          <w:numId w:val="107"/>
        </w:numPr>
        <w:shd w:val="clear" w:color="auto" w:fill="auto"/>
        <w:tabs>
          <w:tab w:pos="1184" w:val="left"/>
        </w:tabs>
        <w:bidi w:val="0"/>
        <w:spacing w:before="0" w:after="220" w:line="302" w:lineRule="exact"/>
        <w:ind w:left="720" w:right="0" w:firstLine="0"/>
        <w:jc w:val="both"/>
        <w:rPr>
          <w:sz w:val="22"/>
          <w:szCs w:val="22"/>
        </w:rPr>
      </w:pPr>
      <w:bookmarkStart w:id="984" w:name="bookmark984"/>
      <w:bookmarkEnd w:id="984"/>
      <w:r>
        <w:rPr>
          <w:color w:val="000000"/>
          <w:spacing w:val="0"/>
          <w:w w:val="100"/>
          <w:position w:val="0"/>
          <w:sz w:val="22"/>
          <w:szCs w:val="22"/>
        </w:rPr>
        <w:t>应收账款和合同资产减值</w:t>
      </w:r>
    </w:p>
    <w:p>
      <w:pPr>
        <w:pStyle w:val="Style5"/>
        <w:keepNext w:val="0"/>
        <w:keepLines w:val="0"/>
        <w:widowControl w:val="0"/>
        <w:shd w:val="clear" w:color="auto" w:fill="auto"/>
        <w:bidi w:val="0"/>
        <w:spacing w:before="0" w:after="280" w:line="307" w:lineRule="exact"/>
        <w:ind w:left="720" w:right="0" w:firstLine="0"/>
        <w:jc w:val="both"/>
        <w:rPr>
          <w:sz w:val="22"/>
          <w:szCs w:val="22"/>
        </w:rPr>
      </w:pPr>
      <w:r>
        <w:rPr>
          <w:color w:val="000000"/>
          <w:spacing w:val="0"/>
          <w:w w:val="100"/>
          <w:position w:val="0"/>
          <w:sz w:val="22"/>
          <w:szCs w:val="22"/>
        </w:rPr>
        <w:t>本集团按照附注三</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所述的预期信用损失模型对以摊余成本计量的应收账款和合同资产进 行减值会计处理并确认损失准备。本集团在每个资产负债表日重新计量预期信用损失，由 此形成的损失准备的增加或转回金额，作为减值损失或利得计入当期损益。</w:t>
      </w:r>
    </w:p>
    <w:p>
      <w:pPr>
        <w:pStyle w:val="Style5"/>
        <w:keepNext w:val="0"/>
        <w:keepLines w:val="0"/>
        <w:widowControl w:val="0"/>
        <w:numPr>
          <w:ilvl w:val="0"/>
          <w:numId w:val="107"/>
        </w:numPr>
        <w:shd w:val="clear" w:color="auto" w:fill="auto"/>
        <w:tabs>
          <w:tab w:pos="1184" w:val="left"/>
        </w:tabs>
        <w:bidi w:val="0"/>
        <w:spacing w:before="0" w:after="220" w:line="264" w:lineRule="auto"/>
        <w:ind w:left="0" w:right="0" w:firstLine="720"/>
        <w:jc w:val="left"/>
        <w:rPr>
          <w:sz w:val="22"/>
          <w:szCs w:val="22"/>
        </w:rPr>
      </w:pPr>
      <w:bookmarkStart w:id="985" w:name="bookmark985"/>
      <w:bookmarkEnd w:id="985"/>
      <w:r>
        <w:rPr>
          <w:color w:val="000000"/>
          <w:spacing w:val="0"/>
          <w:w w:val="100"/>
          <w:position w:val="0"/>
          <w:sz w:val="22"/>
          <w:szCs w:val="22"/>
        </w:rPr>
        <w:t>固定资产折旧</w:t>
      </w:r>
    </w:p>
    <w:p>
      <w:pPr>
        <w:pStyle w:val="Style5"/>
        <w:keepNext w:val="0"/>
        <w:keepLines w:val="0"/>
        <w:widowControl w:val="0"/>
        <w:shd w:val="clear" w:color="auto" w:fill="auto"/>
        <w:bidi w:val="0"/>
        <w:spacing w:before="0" w:after="280" w:line="295" w:lineRule="exact"/>
        <w:ind w:left="720" w:right="0" w:firstLine="0"/>
        <w:jc w:val="both"/>
        <w:rPr>
          <w:sz w:val="22"/>
          <w:szCs w:val="22"/>
        </w:rPr>
      </w:pPr>
      <w:r>
        <w:rPr>
          <w:color w:val="000000"/>
          <w:spacing w:val="0"/>
          <w:w w:val="100"/>
          <w:position w:val="0"/>
          <w:sz w:val="22"/>
          <w:szCs w:val="22"/>
        </w:rPr>
        <w:t>本集团固定资产的折旧在预计使用寿命内以资产的入账价值减去预计净残值后的金额按直 线法计提。本集团定期对固定资产预计使用寿命、预计净残值和折旧方法进行评估，以确 保折旧方法及折旧率与固定资产的预计经济利益实现模式一致。</w:t>
      </w:r>
    </w:p>
    <w:p>
      <w:pPr>
        <w:pStyle w:val="Style5"/>
        <w:keepNext w:val="0"/>
        <w:keepLines w:val="0"/>
        <w:widowControl w:val="0"/>
        <w:shd w:val="clear" w:color="auto" w:fill="auto"/>
        <w:bidi w:val="0"/>
        <w:spacing w:before="0" w:after="280" w:line="293" w:lineRule="exact"/>
        <w:ind w:left="720" w:right="0" w:firstLine="0"/>
        <w:jc w:val="both"/>
        <w:rPr>
          <w:sz w:val="22"/>
          <w:szCs w:val="22"/>
        </w:rPr>
      </w:pPr>
      <w:r>
        <w:rPr>
          <w:color w:val="000000"/>
          <w:spacing w:val="0"/>
          <w:w w:val="100"/>
          <w:position w:val="0"/>
          <w:sz w:val="22"/>
          <w:szCs w:val="22"/>
        </w:rPr>
        <w:t>本集团对固定资产预计使用寿命及净残值的估计是基于历史经验并考虑预期的技术更新而 作出的。当预计使用寿命及预计净残值发生重大变化时，可能需要相应调整折旧费用。</w:t>
      </w:r>
    </w:p>
    <w:p>
      <w:pPr>
        <w:pStyle w:val="Style5"/>
        <w:keepNext w:val="0"/>
        <w:keepLines w:val="0"/>
        <w:widowControl w:val="0"/>
        <w:numPr>
          <w:ilvl w:val="0"/>
          <w:numId w:val="107"/>
        </w:numPr>
        <w:shd w:val="clear" w:color="auto" w:fill="auto"/>
        <w:tabs>
          <w:tab w:pos="1184" w:val="left"/>
        </w:tabs>
        <w:bidi w:val="0"/>
        <w:spacing w:before="0" w:after="220" w:line="264" w:lineRule="auto"/>
        <w:ind w:left="0" w:right="0" w:firstLine="720"/>
        <w:jc w:val="left"/>
        <w:rPr>
          <w:sz w:val="22"/>
          <w:szCs w:val="22"/>
        </w:rPr>
      </w:pPr>
      <w:bookmarkStart w:id="986" w:name="bookmark986"/>
      <w:bookmarkEnd w:id="986"/>
      <w:r>
        <w:rPr>
          <w:color w:val="000000"/>
          <w:spacing w:val="0"/>
          <w:w w:val="100"/>
          <w:position w:val="0"/>
          <w:sz w:val="22"/>
          <w:szCs w:val="22"/>
        </w:rPr>
        <w:t>长期资产减值</w:t>
      </w:r>
    </w:p>
    <w:p>
      <w:pPr>
        <w:pStyle w:val="Style5"/>
        <w:keepNext w:val="0"/>
        <w:keepLines w:val="0"/>
        <w:widowControl w:val="0"/>
        <w:shd w:val="clear" w:color="auto" w:fill="auto"/>
        <w:bidi w:val="0"/>
        <w:spacing w:before="0" w:after="520" w:line="306" w:lineRule="exact"/>
        <w:ind w:left="720" w:right="0" w:firstLine="0"/>
        <w:jc w:val="both"/>
        <w:rPr>
          <w:sz w:val="22"/>
          <w:szCs w:val="22"/>
        </w:rPr>
      </w:pPr>
      <w:r>
        <w:rPr>
          <w:color w:val="000000"/>
          <w:spacing w:val="0"/>
          <w:w w:val="100"/>
          <w:position w:val="0"/>
          <w:sz w:val="22"/>
          <w:szCs w:val="22"/>
        </w:rPr>
        <w:t>本集团按照附注三</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2"/>
          <w:szCs w:val="22"/>
        </w:rPr>
        <w:t>所述会计政策评估长期资产是否存在减值。长期资产的可收回金额 是根据其归属的最低层次资产组的预计未来现金流量的现值计算确定的。当管理层的估计 发生重大变化时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包括收入增长率及经营成本金额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，资产组的可收回金额和本集团的未来 经营成果将受到重大影响。管理层利用所有现有的数据对资产组可收回金额作合理的估算。</w:t>
      </w:r>
    </w:p>
    <w:p>
      <w:pPr>
        <w:pStyle w:val="Style5"/>
        <w:keepNext w:val="0"/>
        <w:keepLines w:val="0"/>
        <w:widowControl w:val="0"/>
        <w:shd w:val="clear" w:color="auto" w:fill="auto"/>
        <w:bidi w:val="0"/>
        <w:spacing w:before="0" w:after="280" w:line="312" w:lineRule="exact"/>
        <w:ind w:left="0" w:right="0" w:firstLine="0"/>
        <w:jc w:val="left"/>
        <w:rPr>
          <w:sz w:val="22"/>
          <w:szCs w:val="22"/>
        </w:rPr>
      </w:pPr>
      <w:bookmarkStart w:id="987" w:name="bookmark987"/>
      <w:r>
        <w:rPr>
          <w:color w:val="000000"/>
          <w:spacing w:val="0"/>
          <w:w w:val="100"/>
          <w:position w:val="0"/>
          <w:sz w:val="22"/>
          <w:szCs w:val="22"/>
        </w:rPr>
        <w:t>四</w:t>
      </w:r>
      <w:bookmarkEnd w:id="987"/>
      <w:r>
        <w:rPr>
          <w:color w:val="000000"/>
          <w:spacing w:val="0"/>
          <w:w w:val="100"/>
          <w:position w:val="0"/>
          <w:sz w:val="22"/>
          <w:szCs w:val="22"/>
        </w:rPr>
        <w:t>、税项</w:t>
      </w:r>
    </w:p>
    <w:p>
      <w:pPr>
        <w:pStyle w:val="Style5"/>
        <w:keepNext w:val="0"/>
        <w:keepLines w:val="0"/>
        <w:widowControl w:val="0"/>
        <w:shd w:val="clear" w:color="auto" w:fill="auto"/>
        <w:tabs>
          <w:tab w:pos="675" w:val="left"/>
        </w:tabs>
        <w:bidi w:val="0"/>
        <w:spacing w:before="0" w:after="220" w:line="312" w:lineRule="exact"/>
        <w:ind w:left="0" w:right="0" w:firstLine="0"/>
        <w:jc w:val="left"/>
        <w:rPr>
          <w:sz w:val="22"/>
          <w:szCs w:val="22"/>
        </w:rPr>
      </w:pPr>
      <w:bookmarkStart w:id="988" w:name="bookmark988"/>
      <w:r>
        <w:rPr>
          <w:rFonts w:ascii="Times New Roman" w:eastAsia="Times New Roman" w:hAnsi="Times New Roman" w:cs="Times New Roman"/>
          <w:color w:val="000000"/>
          <w:spacing w:val="0"/>
          <w:w w:val="100"/>
          <w:position w:val="0"/>
          <w:sz w:val="24"/>
          <w:szCs w:val="24"/>
        </w:rPr>
        <w:t>1</w:t>
      </w:r>
      <w:bookmarkEnd w:id="988"/>
      <w:r>
        <w:rPr>
          <w:color w:val="000000"/>
          <w:spacing w:val="0"/>
          <w:w w:val="100"/>
          <w:position w:val="0"/>
          <w:sz w:val="22"/>
          <w:szCs w:val="22"/>
        </w:rPr>
        <w:t>、</w:t>
        <w:tab/>
        <w:t>增值税</w:t>
      </w:r>
    </w:p>
    <w:p>
      <w:pPr>
        <w:pStyle w:val="Style5"/>
        <w:keepNext w:val="0"/>
        <w:keepLines w:val="0"/>
        <w:widowControl w:val="0"/>
        <w:shd w:val="clear" w:color="auto" w:fill="auto"/>
        <w:bidi w:val="0"/>
        <w:spacing w:before="0" w:after="280" w:line="312" w:lineRule="exact"/>
        <w:ind w:left="720" w:right="0" w:firstLine="0"/>
        <w:jc w:val="left"/>
        <w:rPr>
          <w:sz w:val="22"/>
          <w:szCs w:val="22"/>
        </w:rPr>
      </w:pPr>
      <w:r>
        <w:rPr>
          <w:color w:val="000000"/>
          <w:spacing w:val="0"/>
          <w:w w:val="100"/>
          <w:position w:val="0"/>
          <w:sz w:val="22"/>
          <w:szCs w:val="22"/>
        </w:rPr>
        <w:t>本集团基础电信业务采用</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增值税率，增值电信业务采用</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增值税率，销售通信商品采 用</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2"/>
          <w:szCs w:val="22"/>
        </w:rPr>
        <w:t>增值税率；自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日，允许生产、生活性服务业纳 税人按照当期可抵扣进项税额加计</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，抵减应纳税额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以下称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加计抵减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60" w:line="310" w:lineRule="exact"/>
        <w:ind w:left="0" w:right="0" w:firstLine="0"/>
        <w:jc w:val="both"/>
        <w:rPr>
          <w:sz w:val="22"/>
          <w:szCs w:val="22"/>
        </w:rPr>
      </w:pPr>
      <w:bookmarkStart w:id="989" w:name="bookmark989"/>
      <w:r>
        <w:rPr>
          <w:color w:val="000000"/>
          <w:spacing w:val="0"/>
          <w:w w:val="100"/>
          <w:position w:val="0"/>
          <w:sz w:val="22"/>
          <w:szCs w:val="22"/>
        </w:rPr>
        <w:t>四</w:t>
      </w:r>
      <w:bookmarkEnd w:id="989"/>
      <w:r>
        <w:rPr>
          <w:color w:val="000000"/>
          <w:spacing w:val="0"/>
          <w:w w:val="100"/>
          <w:position w:val="0"/>
          <w:sz w:val="22"/>
          <w:szCs w:val="22"/>
        </w:rPr>
        <w:t>、税项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2" w:val="left"/>
        </w:tabs>
        <w:bidi w:val="0"/>
        <w:spacing w:before="0" w:after="260" w:line="310" w:lineRule="exact"/>
        <w:ind w:left="0" w:right="0" w:firstLine="0"/>
        <w:jc w:val="both"/>
        <w:rPr>
          <w:sz w:val="22"/>
          <w:szCs w:val="22"/>
        </w:rPr>
      </w:pPr>
      <w:bookmarkStart w:id="990" w:name="bookmark990"/>
      <w:r>
        <w:rPr>
          <w:rFonts w:ascii="Times New Roman" w:eastAsia="Times New Roman" w:hAnsi="Times New Roman" w:cs="Times New Roman"/>
          <w:color w:val="000000"/>
          <w:spacing w:val="0"/>
          <w:w w:val="100"/>
          <w:position w:val="0"/>
          <w:sz w:val="24"/>
          <w:szCs w:val="24"/>
        </w:rPr>
        <w:t>1</w:t>
      </w:r>
      <w:bookmarkEnd w:id="990"/>
      <w:r>
        <w:rPr>
          <w:color w:val="000000"/>
          <w:spacing w:val="0"/>
          <w:w w:val="100"/>
          <w:position w:val="0"/>
          <w:sz w:val="22"/>
          <w:szCs w:val="22"/>
        </w:rPr>
        <w:t>、</w:t>
        <w:tab/>
        <w:t>增值税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0" w:lineRule="exact"/>
        <w:ind w:left="720" w:right="0" w:firstLine="20"/>
        <w:jc w:val="both"/>
        <w:rPr>
          <w:sz w:val="22"/>
          <w:szCs w:val="22"/>
        </w:rPr>
      </w:pPr>
      <w:r>
        <w:rPr>
          <w:color w:val="000000"/>
          <w:spacing w:val="0"/>
          <w:w w:val="100"/>
          <w:position w:val="0"/>
          <w:sz w:val="22"/>
          <w:szCs w:val="22"/>
        </w:rPr>
        <w:t>本公司所属联通运营公司及其子公司购进应税货物或接受应税劳务及服务，取得的增值税 进项税额可以按相关规定抵扣销项税额。增值税应纳税额为当期销项税额抵减当期可以抵 扣的进项税额后的余额。当期销项税额小于当期进项税额不足抵扣时，其不足部分可以结 转下期继续抵扣。</w:t>
      </w:r>
    </w:p>
    <w:p>
      <w:pPr>
        <w:pStyle w:val="Style5"/>
        <w:keepNext w:val="0"/>
        <w:keepLines w:val="0"/>
        <w:widowControl w:val="0"/>
        <w:shd w:val="clear" w:color="auto" w:fill="auto"/>
        <w:bidi w:val="0"/>
        <w:spacing w:before="0" w:after="300" w:line="310" w:lineRule="exact"/>
        <w:ind w:left="720" w:right="0" w:firstLine="20"/>
        <w:jc w:val="both"/>
        <w:rPr>
          <w:sz w:val="22"/>
          <w:szCs w:val="22"/>
        </w:rPr>
      </w:pPr>
      <w:r>
        <w:rPr>
          <w:color w:val="000000"/>
          <w:spacing w:val="0"/>
          <w:w w:val="100"/>
          <w:position w:val="0"/>
          <w:sz w:val="22"/>
          <w:szCs w:val="22"/>
        </w:rPr>
        <w:t>本公司所属中国境内各子公司按缴纳增值税额的</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缴纳城市维护建设税。</w:t>
      </w:r>
    </w:p>
    <w:p>
      <w:pPr>
        <w:pStyle w:val="Style5"/>
        <w:keepNext w:val="0"/>
        <w:keepLines w:val="0"/>
        <w:widowControl w:val="0"/>
        <w:shd w:val="clear" w:color="auto" w:fill="auto"/>
        <w:tabs>
          <w:tab w:pos="672" w:val="left"/>
        </w:tabs>
        <w:bidi w:val="0"/>
        <w:spacing w:before="0" w:after="260" w:line="310" w:lineRule="exact"/>
        <w:ind w:left="0" w:right="0" w:firstLine="0"/>
        <w:jc w:val="both"/>
        <w:rPr>
          <w:sz w:val="22"/>
          <w:szCs w:val="22"/>
        </w:rPr>
      </w:pPr>
      <w:bookmarkStart w:id="991" w:name="bookmark991"/>
      <w:r>
        <w:rPr>
          <w:rFonts w:ascii="Times New Roman" w:eastAsia="Times New Roman" w:hAnsi="Times New Roman" w:cs="Times New Roman"/>
          <w:color w:val="000000"/>
          <w:spacing w:val="0"/>
          <w:w w:val="100"/>
          <w:position w:val="0"/>
          <w:sz w:val="24"/>
          <w:szCs w:val="24"/>
        </w:rPr>
        <w:t>2</w:t>
      </w:r>
      <w:bookmarkEnd w:id="991"/>
      <w:r>
        <w:rPr>
          <w:color w:val="000000"/>
          <w:spacing w:val="0"/>
          <w:w w:val="100"/>
          <w:position w:val="0"/>
          <w:sz w:val="22"/>
          <w:szCs w:val="22"/>
        </w:rPr>
        <w:t>、</w:t>
        <w:tab/>
        <w:t>企业所得税</w:t>
      </w:r>
    </w:p>
    <w:p>
      <w:pPr>
        <w:pStyle w:val="Style5"/>
        <w:keepNext w:val="0"/>
        <w:keepLines w:val="0"/>
        <w:widowControl w:val="0"/>
        <w:shd w:val="clear" w:color="auto" w:fill="auto"/>
        <w:tabs>
          <w:tab w:pos="1170" w:val="left"/>
        </w:tabs>
        <w:bidi w:val="0"/>
        <w:spacing w:before="0" w:after="260" w:line="310" w:lineRule="exact"/>
        <w:ind w:left="0" w:right="0" w:firstLine="720"/>
        <w:jc w:val="both"/>
        <w:rPr>
          <w:sz w:val="22"/>
          <w:szCs w:val="22"/>
        </w:rPr>
      </w:pPr>
      <w:bookmarkStart w:id="992" w:name="bookmark992"/>
      <w:r>
        <w:rPr>
          <w:rFonts w:ascii="Times New Roman" w:eastAsia="Times New Roman" w:hAnsi="Times New Roman" w:cs="Times New Roman"/>
          <w:color w:val="000000"/>
          <w:spacing w:val="0"/>
          <w:w w:val="100"/>
          <w:position w:val="0"/>
          <w:sz w:val="24"/>
          <w:szCs w:val="24"/>
        </w:rPr>
        <w:t>（</w:t>
      </w:r>
      <w:bookmarkEnd w:id="992"/>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2"/>
          <w:szCs w:val="22"/>
        </w:rPr>
        <w:t>本公司企业所得税</w:t>
      </w:r>
    </w:p>
    <w:p>
      <w:pPr>
        <w:pStyle w:val="Style5"/>
        <w:keepNext w:val="0"/>
        <w:keepLines w:val="0"/>
        <w:widowControl w:val="0"/>
        <w:shd w:val="clear" w:color="auto" w:fill="auto"/>
        <w:bidi w:val="0"/>
        <w:spacing w:before="0" w:after="260" w:line="307" w:lineRule="exact"/>
        <w:ind w:left="720" w:right="0" w:firstLine="20"/>
        <w:jc w:val="both"/>
        <w:rPr>
          <w:sz w:val="22"/>
          <w:szCs w:val="22"/>
        </w:rPr>
      </w:pPr>
      <w:r>
        <w:rPr>
          <w:color w:val="000000"/>
          <w:spacing w:val="0"/>
          <w:w w:val="100"/>
          <w:position w:val="0"/>
          <w:sz w:val="22"/>
          <w:szCs w:val="22"/>
        </w:rPr>
        <w:t>根据《中华人民共和国企业所得税法》</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所得税法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，本公司适用的企业所得税率为 </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。本公司按收入总额减去准予扣除项目后计算应纳税所得额。</w:t>
      </w:r>
    </w:p>
    <w:p>
      <w:pPr>
        <w:pStyle w:val="Style5"/>
        <w:keepNext w:val="0"/>
        <w:keepLines w:val="0"/>
        <w:widowControl w:val="0"/>
        <w:shd w:val="clear" w:color="auto" w:fill="auto"/>
        <w:tabs>
          <w:tab w:pos="1199" w:val="left"/>
        </w:tabs>
        <w:bidi w:val="0"/>
        <w:spacing w:before="0" w:after="260" w:line="310" w:lineRule="exact"/>
        <w:ind w:left="720" w:right="0" w:firstLine="20"/>
        <w:jc w:val="both"/>
        <w:rPr>
          <w:sz w:val="22"/>
          <w:szCs w:val="22"/>
        </w:rPr>
      </w:pPr>
      <w:bookmarkStart w:id="993" w:name="bookmark993"/>
      <w:r>
        <w:rPr>
          <w:rFonts w:ascii="Times New Roman" w:eastAsia="Times New Roman" w:hAnsi="Times New Roman" w:cs="Times New Roman"/>
          <w:color w:val="000000"/>
          <w:spacing w:val="0"/>
          <w:w w:val="100"/>
          <w:position w:val="0"/>
          <w:sz w:val="24"/>
          <w:szCs w:val="24"/>
        </w:rPr>
        <w:t>（</w:t>
      </w:r>
      <w:bookmarkEnd w:id="993"/>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2"/>
          <w:szCs w:val="22"/>
        </w:rPr>
        <w:t>联通运营公司企业所得税</w:t>
      </w:r>
    </w:p>
    <w:p>
      <w:pPr>
        <w:pStyle w:val="Style5"/>
        <w:keepNext w:val="0"/>
        <w:keepLines w:val="0"/>
        <w:widowControl w:val="0"/>
        <w:shd w:val="clear" w:color="auto" w:fill="auto"/>
        <w:bidi w:val="0"/>
        <w:spacing w:before="0" w:after="260" w:line="317" w:lineRule="exact"/>
        <w:ind w:left="720" w:right="0" w:firstLine="20"/>
        <w:jc w:val="both"/>
        <w:rPr>
          <w:sz w:val="22"/>
          <w:szCs w:val="22"/>
        </w:rPr>
      </w:pPr>
      <w:r>
        <w:rPr>
          <w:color w:val="000000"/>
          <w:spacing w:val="0"/>
          <w:w w:val="100"/>
          <w:position w:val="0"/>
          <w:sz w:val="22"/>
          <w:szCs w:val="22"/>
        </w:rPr>
        <w:t>根据财预</w:t>
      </w:r>
      <w:r>
        <w:rPr>
          <w:rFonts w:ascii="Times New Roman" w:eastAsia="Times New Roman" w:hAnsi="Times New Roman" w:cs="Times New Roman"/>
          <w:color w:val="000000"/>
          <w:spacing w:val="0"/>
          <w:w w:val="100"/>
          <w:position w:val="0"/>
          <w:sz w:val="24"/>
          <w:szCs w:val="24"/>
        </w:rPr>
        <w:t>[2012]40</w:t>
      </w:r>
      <w:r>
        <w:rPr>
          <w:color w:val="000000"/>
          <w:spacing w:val="0"/>
          <w:w w:val="100"/>
          <w:position w:val="0"/>
          <w:sz w:val="22"/>
          <w:szCs w:val="22"/>
        </w:rPr>
        <w:t xml:space="preserve">号《跨省市总分机构企业所得税分配及预算管理办法》的相关规定，自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日开始，企业总机构汇总计算企业年度应纳所得税额，扣除总机构和各境内 分支机构已预缴的税款，计算出应补退税款，分别由总机构和各分支机构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不包括当年已办 理注销税务登记的分支机构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于每财年结束后就地办理税款缴库或退库。</w:t>
      </w:r>
    </w:p>
    <w:p>
      <w:pPr>
        <w:pStyle w:val="Style5"/>
        <w:keepNext w:val="0"/>
        <w:keepLines w:val="0"/>
        <w:widowControl w:val="0"/>
        <w:shd w:val="clear" w:color="auto" w:fill="auto"/>
        <w:bidi w:val="0"/>
        <w:spacing w:before="0" w:after="300" w:line="310" w:lineRule="exact"/>
        <w:ind w:left="720" w:right="0" w:firstLine="20"/>
        <w:jc w:val="both"/>
        <w:rPr>
          <w:sz w:val="22"/>
          <w:szCs w:val="22"/>
        </w:rPr>
      </w:pPr>
      <w:r>
        <w:rPr>
          <w:color w:val="000000"/>
          <w:spacing w:val="0"/>
          <w:w w:val="100"/>
          <w:position w:val="0"/>
          <w:sz w:val="22"/>
          <w:szCs w:val="22"/>
        </w:rPr>
        <w:t>除以下分公司外，联通运营公司其他分公司于报告期内均适用于</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企业所得税率：</w:t>
      </w:r>
    </w:p>
    <w:tbl>
      <w:tblPr>
        <w:tblOverlap w:val="never"/>
        <w:jc w:val="center"/>
        <w:tblLayout w:type="fixed"/>
      </w:tblPr>
      <w:tblGrid>
        <w:gridCol w:w="2246"/>
        <w:gridCol w:w="2227"/>
        <w:gridCol w:w="2837"/>
        <w:gridCol w:w="1450"/>
      </w:tblGrid>
      <w:tr>
        <w:trPr>
          <w:trHeight w:val="43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分公司名称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u w:val="single"/>
              </w:rPr>
              <w:t>适用税率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rPr>
              <w:t>适用期间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22"/>
                <w:szCs w:val="22"/>
              </w:rPr>
            </w:pPr>
            <w:r>
              <w:rPr>
                <w:color w:val="000000"/>
                <w:spacing w:val="0"/>
                <w:w w:val="100"/>
                <w:position w:val="0"/>
                <w:sz w:val="22"/>
                <w:szCs w:val="22"/>
                <w:u w:val="single"/>
              </w:rPr>
              <w:t>优惠原因</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联通运营公司：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西藏分公司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24"/>
                <w:szCs w:val="24"/>
              </w:rPr>
            </w:pPr>
            <w:r>
              <w:rPr>
                <w:rFonts w:ascii="Times New Roman" w:eastAsia="Times New Roman" w:hAnsi="Times New Roman" w:cs="Times New Roman"/>
                <w:color w:val="000000"/>
                <w:spacing w:val="0"/>
                <w:w w:val="100"/>
                <w:position w:val="0"/>
                <w:sz w:val="24"/>
                <w:szCs w:val="24"/>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2"/>
                <w:szCs w:val="22"/>
              </w:rPr>
              <w:t xml:space="preserve">注 </w:t>
            </w:r>
            <w:r>
              <w:rPr>
                <w:rFonts w:ascii="Times New Roman" w:eastAsia="Times New Roman" w:hAnsi="Times New Roman" w:cs="Times New Roman"/>
                <w:color w:val="000000"/>
                <w:spacing w:val="0"/>
                <w:w w:val="100"/>
                <w:position w:val="0"/>
                <w:sz w:val="24"/>
                <w:szCs w:val="24"/>
              </w:rPr>
              <w:t>1</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青海分公司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24"/>
                <w:szCs w:val="24"/>
              </w:rPr>
            </w:pPr>
            <w:r>
              <w:rPr>
                <w:rFonts w:ascii="Times New Roman" w:eastAsia="Times New Roman" w:hAnsi="Times New Roman" w:cs="Times New Roman"/>
                <w:color w:val="000000"/>
                <w:spacing w:val="0"/>
                <w:w w:val="100"/>
                <w:position w:val="0"/>
                <w:sz w:val="24"/>
                <w:szCs w:val="24"/>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宁夏分公司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24"/>
                <w:szCs w:val="24"/>
              </w:rPr>
            </w:pPr>
            <w:r>
              <w:rPr>
                <w:rFonts w:ascii="Times New Roman" w:eastAsia="Times New Roman" w:hAnsi="Times New Roman" w:cs="Times New Roman"/>
                <w:color w:val="000000"/>
                <w:spacing w:val="0"/>
                <w:w w:val="100"/>
                <w:position w:val="0"/>
                <w:sz w:val="24"/>
                <w:szCs w:val="24"/>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陕西分公司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24"/>
                <w:szCs w:val="24"/>
              </w:rPr>
            </w:pPr>
            <w:r>
              <w:rPr>
                <w:rFonts w:ascii="Times New Roman" w:eastAsia="Times New Roman" w:hAnsi="Times New Roman" w:cs="Times New Roman"/>
                <w:color w:val="000000"/>
                <w:spacing w:val="0"/>
                <w:w w:val="100"/>
                <w:position w:val="0"/>
                <w:sz w:val="24"/>
                <w:szCs w:val="24"/>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海南分公司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24"/>
                <w:szCs w:val="24"/>
              </w:rPr>
            </w:pPr>
            <w:r>
              <w:rPr>
                <w:rFonts w:ascii="Times New Roman" w:eastAsia="Times New Roman" w:hAnsi="Times New Roman" w:cs="Times New Roman"/>
                <w:color w:val="000000"/>
                <w:spacing w:val="0"/>
                <w:w w:val="100"/>
                <w:position w:val="0"/>
                <w:sz w:val="24"/>
                <w:szCs w:val="24"/>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2</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新疆分公司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24"/>
                <w:szCs w:val="24"/>
              </w:rPr>
            </w:pPr>
            <w:r>
              <w:rPr>
                <w:rFonts w:ascii="Times New Roman" w:eastAsia="Times New Roman" w:hAnsi="Times New Roman" w:cs="Times New Roman"/>
                <w:color w:val="000000"/>
                <w:spacing w:val="0"/>
                <w:w w:val="100"/>
                <w:position w:val="0"/>
                <w:sz w:val="24"/>
                <w:szCs w:val="24"/>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p>
        </w:tc>
      </w:tr>
    </w:tbl>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60" w:line="310" w:lineRule="exact"/>
        <w:ind w:left="0" w:right="0" w:firstLine="0"/>
        <w:jc w:val="left"/>
        <w:rPr>
          <w:sz w:val="22"/>
          <w:szCs w:val="22"/>
        </w:rPr>
      </w:pPr>
      <w:bookmarkStart w:id="994" w:name="bookmark994"/>
      <w:r>
        <w:rPr>
          <w:color w:val="000000"/>
          <w:spacing w:val="0"/>
          <w:w w:val="100"/>
          <w:position w:val="0"/>
          <w:sz w:val="22"/>
          <w:szCs w:val="22"/>
        </w:rPr>
        <w:t>四</w:t>
      </w:r>
      <w:bookmarkEnd w:id="994"/>
      <w:r>
        <w:rPr>
          <w:color w:val="000000"/>
          <w:spacing w:val="0"/>
          <w:w w:val="100"/>
          <w:position w:val="0"/>
          <w:sz w:val="22"/>
          <w:szCs w:val="22"/>
        </w:rPr>
        <w:t>、税项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25" w:val="left"/>
        </w:tabs>
        <w:bidi w:val="0"/>
        <w:spacing w:before="0" w:after="260" w:line="310" w:lineRule="exact"/>
        <w:ind w:left="0" w:right="0" w:firstLine="0"/>
        <w:jc w:val="left"/>
        <w:rPr>
          <w:sz w:val="22"/>
          <w:szCs w:val="22"/>
        </w:rPr>
      </w:pPr>
      <w:bookmarkStart w:id="995" w:name="bookmark995"/>
      <w:r>
        <w:rPr>
          <w:rFonts w:ascii="Times New Roman" w:eastAsia="Times New Roman" w:hAnsi="Times New Roman" w:cs="Times New Roman"/>
          <w:color w:val="000000"/>
          <w:spacing w:val="0"/>
          <w:w w:val="100"/>
          <w:position w:val="0"/>
          <w:sz w:val="24"/>
          <w:szCs w:val="24"/>
        </w:rPr>
        <w:t>2</w:t>
      </w:r>
      <w:bookmarkEnd w:id="995"/>
      <w:r>
        <w:rPr>
          <w:color w:val="000000"/>
          <w:spacing w:val="0"/>
          <w:w w:val="100"/>
          <w:position w:val="0"/>
          <w:sz w:val="22"/>
          <w:szCs w:val="22"/>
        </w:rPr>
        <w:t>、</w:t>
        <w:tab/>
        <w:t>企业所得税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0" w:lineRule="exact"/>
        <w:ind w:left="740" w:right="0" w:firstLine="0"/>
        <w:jc w:val="both"/>
        <w:rPr>
          <w:sz w:val="22"/>
          <w:szCs w:val="22"/>
        </w:rPr>
      </w:pPr>
      <w:bookmarkStart w:id="996" w:name="bookmark996"/>
      <w:r>
        <w:rPr>
          <w:rFonts w:ascii="Times New Roman" w:eastAsia="Times New Roman" w:hAnsi="Times New Roman" w:cs="Times New Roman"/>
          <w:color w:val="000000"/>
          <w:spacing w:val="0"/>
          <w:w w:val="100"/>
          <w:position w:val="0"/>
          <w:sz w:val="24"/>
          <w:szCs w:val="24"/>
        </w:rPr>
        <w:t>（</w:t>
      </w:r>
      <w:bookmarkEnd w:id="996"/>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联通运营公司企业所得税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0" w:lineRule="exact"/>
        <w:ind w:left="740" w:right="0" w:firstLine="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：西部大开发税收优惠政策</w:t>
      </w:r>
    </w:p>
    <w:p>
      <w:pPr>
        <w:pStyle w:val="Style5"/>
        <w:keepNext w:val="0"/>
        <w:keepLines w:val="0"/>
        <w:widowControl w:val="0"/>
        <w:shd w:val="clear" w:color="auto" w:fill="auto"/>
        <w:bidi w:val="0"/>
        <w:spacing w:before="0" w:after="260" w:line="310" w:lineRule="exact"/>
        <w:ind w:left="740" w:right="0" w:firstLine="0"/>
        <w:jc w:val="both"/>
        <w:rPr>
          <w:sz w:val="24"/>
          <w:szCs w:val="24"/>
        </w:rPr>
      </w:pPr>
      <w:r>
        <w:rPr>
          <w:color w:val="000000"/>
          <w:spacing w:val="0"/>
          <w:w w:val="100"/>
          <w:position w:val="0"/>
          <w:sz w:val="22"/>
          <w:szCs w:val="22"/>
        </w:rPr>
        <w:t>根据《财政部、海关总署、国家税务总局关于深入实施西部大开发战略有关税收政策问题 的通知》</w:t>
      </w:r>
      <w:r>
        <w:rPr>
          <w:color w:val="000000"/>
          <w:spacing w:val="0"/>
          <w:w w:val="100"/>
          <w:position w:val="0"/>
          <w:sz w:val="24"/>
          <w:szCs w:val="24"/>
        </w:rPr>
        <w:t>（</w:t>
      </w:r>
      <w:r>
        <w:rPr>
          <w:color w:val="000000"/>
          <w:spacing w:val="0"/>
          <w:w w:val="100"/>
          <w:position w:val="0"/>
          <w:sz w:val="22"/>
          <w:szCs w:val="22"/>
        </w:rPr>
        <w:t>财税</w:t>
      </w:r>
      <w:r>
        <w:rPr>
          <w:rFonts w:ascii="Times New Roman" w:eastAsia="Times New Roman" w:hAnsi="Times New Roman" w:cs="Times New Roman"/>
          <w:color w:val="000000"/>
          <w:spacing w:val="0"/>
          <w:w w:val="100"/>
          <w:position w:val="0"/>
          <w:sz w:val="24"/>
          <w:szCs w:val="24"/>
        </w:rPr>
        <w:t>[2011]58</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，西部大开发税收优惠政策可继续沿用至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年。该文件规 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自</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 xml:space="preserve">日，对设在西部地区的鼓励类产业企业减按 </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的税率征收企业所得税。上述鼓励类产业企业是指以《西部地区鼓励类产业目录》中 规定的产业项目为主营业务，且其主营业务收入占企业收入总额</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2"/>
          <w:szCs w:val="22"/>
        </w:rPr>
        <w:t>以上的企业。《西部 地区鼓励类产业目录》另行发布。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60" w:line="310" w:lineRule="exact"/>
        <w:ind w:left="740" w:right="0" w:firstLine="0"/>
        <w:jc w:val="both"/>
        <w:rPr>
          <w:sz w:val="24"/>
          <w:szCs w:val="24"/>
        </w:rPr>
      </w:pPr>
      <w:r>
        <w:rPr>
          <w:color w:val="000000"/>
          <w:spacing w:val="0"/>
          <w:w w:val="100"/>
          <w:position w:val="0"/>
          <w:sz w:val="22"/>
          <w:szCs w:val="22"/>
        </w:rPr>
        <w:t xml:space="preserve">根据《财政部、税务总局、国家发展改革委关于延续西部大开发企业所得税政策的公告》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财政部</w:t>
      </w:r>
      <w:r>
        <w:rPr>
          <w:rFonts w:ascii="Times New Roman" w:eastAsia="Times New Roman" w:hAnsi="Times New Roman" w:cs="Times New Roman"/>
          <w:color w:val="000000"/>
          <w:spacing w:val="0"/>
          <w:w w:val="100"/>
          <w:position w:val="0"/>
          <w:sz w:val="24"/>
          <w:szCs w:val="24"/>
        </w:rPr>
        <w:t>[2020]23</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，西部大开发税收优惠政策可继续沿用至</w:t>
      </w:r>
      <w:r>
        <w:rPr>
          <w:rFonts w:ascii="Times New Roman" w:eastAsia="Times New Roman" w:hAnsi="Times New Roman" w:cs="Times New Roman"/>
          <w:color w:val="000000"/>
          <w:spacing w:val="0"/>
          <w:w w:val="100"/>
          <w:position w:val="0"/>
          <w:sz w:val="24"/>
          <w:szCs w:val="24"/>
        </w:rPr>
        <w:t>2030</w:t>
      </w:r>
      <w:r>
        <w:rPr>
          <w:color w:val="000000"/>
          <w:spacing w:val="0"/>
          <w:w w:val="100"/>
          <w:position w:val="0"/>
          <w:sz w:val="22"/>
          <w:szCs w:val="22"/>
        </w:rPr>
        <w:t>年。该文件规定：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自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4"/>
          <w:szCs w:val="24"/>
        </w:rPr>
        <w:t>2030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日，对设在西部地区的鼓励类产业企业减按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的税 率征收企业所得税。上述鼓励类产业企业是指以《西部地区鼓励类产业目录》中规定的产 业项目为主营业务，且其主营业务收入占企业收入总额</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2"/>
          <w:szCs w:val="22"/>
        </w:rPr>
        <w:t>以上的企业。</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60" w:line="310" w:lineRule="exact"/>
        <w:ind w:left="740" w:right="0" w:firstLine="0"/>
        <w:jc w:val="both"/>
        <w:rPr>
          <w:sz w:val="22"/>
          <w:szCs w:val="22"/>
        </w:rPr>
      </w:pPr>
      <w:r>
        <w:rPr>
          <w:color w:val="000000"/>
          <w:spacing w:val="0"/>
          <w:w w:val="100"/>
          <w:position w:val="0"/>
          <w:sz w:val="22"/>
          <w:szCs w:val="22"/>
        </w:rPr>
        <w:t>《西部地区鼓励类产业目录》已经国务院批准，并自</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日起施行。联通运营 公司西藏分公司、青海分公司、宁夏分公司、陕西分公司和新疆分公司设在西部地区，以 国家规定的鼓励类产业项目为主营业务，且满足当年主营业务收入占企业总收入的</w:t>
      </w:r>
      <w:r>
        <w:rPr>
          <w:rFonts w:ascii="Times New Roman" w:eastAsia="Times New Roman" w:hAnsi="Times New Roman" w:cs="Times New Roman"/>
          <w:color w:val="000000"/>
          <w:spacing w:val="0"/>
          <w:w w:val="100"/>
          <w:position w:val="0"/>
          <w:sz w:val="24"/>
          <w:szCs w:val="24"/>
        </w:rPr>
        <w:t>60% （2020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2"/>
          <w:szCs w:val="22"/>
        </w:rPr>
        <w:t>以上的条件，适用西部大开发税收优惠政策。</w:t>
      </w:r>
    </w:p>
    <w:p>
      <w:pPr>
        <w:pStyle w:val="Style5"/>
        <w:keepNext w:val="0"/>
        <w:keepLines w:val="0"/>
        <w:widowControl w:val="0"/>
        <w:shd w:val="clear" w:color="auto" w:fill="auto"/>
        <w:bidi w:val="0"/>
        <w:spacing w:before="0" w:after="260" w:line="310" w:lineRule="exact"/>
        <w:ind w:left="740" w:right="0" w:firstLine="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：海南自由贸易港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海南自贸港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企业所得税优惠政策</w:t>
      </w:r>
    </w:p>
    <w:p>
      <w:pPr>
        <w:pStyle w:val="Style5"/>
        <w:keepNext w:val="0"/>
        <w:keepLines w:val="0"/>
        <w:widowControl w:val="0"/>
        <w:shd w:val="clear" w:color="auto" w:fill="auto"/>
        <w:bidi w:val="0"/>
        <w:spacing w:before="0" w:after="260" w:line="311" w:lineRule="exact"/>
        <w:ind w:left="740" w:right="0" w:firstLine="0"/>
        <w:jc w:val="both"/>
        <w:rPr>
          <w:sz w:val="22"/>
          <w:szCs w:val="22"/>
        </w:rPr>
      </w:pPr>
      <w:r>
        <w:rPr>
          <w:color w:val="000000"/>
          <w:spacing w:val="0"/>
          <w:w w:val="100"/>
          <w:position w:val="0"/>
          <w:sz w:val="22"/>
          <w:szCs w:val="22"/>
        </w:rPr>
        <w:t>根据《财政部税务总局关于海南自由贸易港企业所得税优惠政策的通知》</w:t>
      </w:r>
      <w:r>
        <w:rPr>
          <w:color w:val="000000"/>
          <w:spacing w:val="0"/>
          <w:w w:val="100"/>
          <w:position w:val="0"/>
          <w:sz w:val="24"/>
          <w:szCs w:val="24"/>
        </w:rPr>
        <w:t>（</w:t>
      </w:r>
      <w:r>
        <w:rPr>
          <w:color w:val="000000"/>
          <w:spacing w:val="0"/>
          <w:w w:val="100"/>
          <w:position w:val="0"/>
          <w:sz w:val="22"/>
          <w:szCs w:val="22"/>
        </w:rPr>
        <w:t>财税〔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4"/>
          <w:szCs w:val="24"/>
        </w:rPr>
        <w:t>2024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日，对注册在海南自贸港并实质性运营的鼓 励类产业企业减按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的税率征收企业所得税。上述鼓励类产业企业是指以《产业结构调 整指导目录</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》、《鼓励外商投资产业目录</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》和海南自由贸易港新增 鼓励类产业目录中规定的产业项目为主营业务，且其主营业务收入占企业收入总额 </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2"/>
          <w:szCs w:val="22"/>
        </w:rPr>
        <w:t>以 上的企业。运营公司海南分公司符合于海南自贸港注册并实际运营，以国家规定的鼓励类 产业项目为主营业务，且当年主营业务收入占企业总收入的</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2"/>
          <w:szCs w:val="22"/>
        </w:rPr>
        <w:t>以上的条件，</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年适用 海南自贸港税收优惠政策，适用于</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的所得税税率</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w:t>
      </w:r>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300" w:line="240" w:lineRule="auto"/>
        <w:ind w:left="0" w:right="0" w:firstLine="0"/>
        <w:jc w:val="left"/>
        <w:rPr>
          <w:sz w:val="22"/>
          <w:szCs w:val="22"/>
        </w:rPr>
      </w:pPr>
      <w:bookmarkStart w:id="997" w:name="bookmark997"/>
      <w:r>
        <w:rPr>
          <w:color w:val="000000"/>
          <w:spacing w:val="0"/>
          <w:w w:val="100"/>
          <w:position w:val="0"/>
          <w:sz w:val="22"/>
          <w:szCs w:val="22"/>
        </w:rPr>
        <w:t>四</w:t>
      </w:r>
      <w:bookmarkEnd w:id="997"/>
      <w:r>
        <w:rPr>
          <w:color w:val="000000"/>
          <w:spacing w:val="0"/>
          <w:w w:val="100"/>
          <w:position w:val="0"/>
          <w:sz w:val="22"/>
          <w:szCs w:val="22"/>
        </w:rPr>
        <w:t>、税项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67" w:val="left"/>
        </w:tabs>
        <w:bidi w:val="0"/>
        <w:spacing w:before="0" w:after="300" w:line="240" w:lineRule="auto"/>
        <w:ind w:left="0" w:right="0" w:firstLine="0"/>
        <w:jc w:val="left"/>
        <w:rPr>
          <w:sz w:val="22"/>
          <w:szCs w:val="22"/>
        </w:rPr>
      </w:pPr>
      <w:bookmarkStart w:id="998" w:name="bookmark998"/>
      <w:r>
        <w:rPr>
          <w:rFonts w:ascii="Times New Roman" w:eastAsia="Times New Roman" w:hAnsi="Times New Roman" w:cs="Times New Roman"/>
          <w:color w:val="000000"/>
          <w:spacing w:val="0"/>
          <w:w w:val="100"/>
          <w:position w:val="0"/>
          <w:sz w:val="24"/>
          <w:szCs w:val="24"/>
        </w:rPr>
        <w:t>2</w:t>
      </w:r>
      <w:bookmarkEnd w:id="998"/>
      <w:r>
        <w:rPr>
          <w:color w:val="000000"/>
          <w:spacing w:val="0"/>
          <w:w w:val="100"/>
          <w:position w:val="0"/>
          <w:sz w:val="22"/>
          <w:szCs w:val="22"/>
        </w:rPr>
        <w:t>、</w:t>
        <w:tab/>
        <w:t>企业所得税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20"/>
        <w:jc w:val="left"/>
        <w:rPr>
          <w:sz w:val="22"/>
          <w:szCs w:val="22"/>
        </w:rPr>
      </w:pPr>
      <w:bookmarkStart w:id="999" w:name="bookmark999"/>
      <w:r>
        <w:rPr>
          <w:rFonts w:ascii="Times New Roman" w:eastAsia="Times New Roman" w:hAnsi="Times New Roman" w:cs="Times New Roman"/>
          <w:color w:val="000000"/>
          <w:spacing w:val="0"/>
          <w:w w:val="100"/>
          <w:position w:val="0"/>
          <w:sz w:val="24"/>
          <w:szCs w:val="24"/>
        </w:rPr>
        <w:t>（</w:t>
      </w:r>
      <w:bookmarkEnd w:id="999"/>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2"/>
          <w:szCs w:val="22"/>
        </w:rPr>
        <w:t>联通运营公司所属子公司之企业所得税</w:t>
      </w:r>
    </w:p>
    <w:p>
      <w:pPr>
        <w:pStyle w:val="Style5"/>
        <w:keepNext w:val="0"/>
        <w:keepLines w:val="0"/>
        <w:widowControl w:val="0"/>
        <w:shd w:val="clear" w:color="auto" w:fill="auto"/>
        <w:bidi w:val="0"/>
        <w:spacing w:before="0" w:after="300" w:line="240" w:lineRule="auto"/>
        <w:ind w:left="0" w:right="0" w:firstLine="720"/>
        <w:jc w:val="left"/>
        <w:rPr>
          <w:sz w:val="22"/>
          <w:szCs w:val="22"/>
        </w:rPr>
      </w:pPr>
      <w:r>
        <w:rPr>
          <w:color w:val="000000"/>
          <w:spacing w:val="0"/>
          <w:w w:val="100"/>
          <w:position w:val="0"/>
          <w:sz w:val="22"/>
          <w:szCs w:val="22"/>
        </w:rPr>
        <w:t>联通运营公司部分获得高新技术企业认证的子公司列示如下:</w:t>
      </w:r>
    </w:p>
    <w:p>
      <w:pPr>
        <w:pStyle w:val="Style25"/>
        <w:keepNext w:val="0"/>
        <w:keepLines w:val="0"/>
        <w:widowControl w:val="0"/>
        <w:shd w:val="clear" w:color="auto" w:fill="auto"/>
        <w:tabs>
          <w:tab w:pos="1920" w:val="left"/>
        </w:tabs>
        <w:bidi w:val="0"/>
        <w:spacing w:before="0" w:after="0" w:line="240" w:lineRule="auto"/>
        <w:ind w:left="0" w:right="0" w:firstLine="0"/>
        <w:jc w:val="center"/>
      </w:pPr>
      <w:r>
        <w:rPr>
          <w:color w:val="000000"/>
          <w:spacing w:val="0"/>
          <w:w w:val="100"/>
          <w:position w:val="0"/>
        </w:rPr>
        <w:t>税率</w:t>
        <w:tab/>
        <w:t>高新技术企业证书</w:t>
      </w:r>
    </w:p>
    <w:tbl>
      <w:tblPr>
        <w:tblOverlap w:val="never"/>
        <w:jc w:val="center"/>
        <w:tblLayout w:type="fixed"/>
      </w:tblPr>
      <w:tblGrid>
        <w:gridCol w:w="4363"/>
        <w:gridCol w:w="1373"/>
        <w:gridCol w:w="1277"/>
        <w:gridCol w:w="2189"/>
      </w:tblGrid>
      <w:tr>
        <w:trPr>
          <w:trHeight w:val="36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子公司名称</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u w:val="single"/>
              </w:rPr>
              <w:t xml:space="preserve">2021 </w:t>
            </w:r>
            <w:r>
              <w:rPr>
                <w:color w:val="000000"/>
                <w:spacing w:val="0"/>
                <w:w w:val="100"/>
                <w:position w:val="0"/>
                <w:u w:val="single"/>
              </w:rPr>
              <w:t>年</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u w:val="single"/>
              </w:rPr>
              <w:t xml:space="preserve">2020 </w:t>
            </w:r>
            <w:r>
              <w:rPr>
                <w:color w:val="000000"/>
                <w:spacing w:val="0"/>
                <w:w w:val="100"/>
                <w:position w:val="0"/>
                <w:u w:val="single"/>
              </w:rPr>
              <w:t>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u w:val="single"/>
              </w:rPr>
              <w:t>起始年度及有效期</w:t>
            </w:r>
          </w:p>
        </w:tc>
      </w:tr>
      <w:tr>
        <w:trPr>
          <w:trHeight w:val="37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联通数字科技有限公司</w:t>
            </w:r>
            <w:r>
              <w:rPr>
                <w:rFonts w:ascii="Times New Roman" w:eastAsia="Times New Roman" w:hAnsi="Times New Roman" w:cs="Times New Roman"/>
                <w:color w:val="000000"/>
                <w:spacing w:val="0"/>
                <w:w w:val="100"/>
                <w:position w:val="0"/>
              </w:rPr>
              <w:t>（“</w:t>
            </w:r>
            <w:r>
              <w:rPr>
                <w:color w:val="000000"/>
                <w:spacing w:val="0"/>
                <w:w w:val="100"/>
                <w:position w:val="0"/>
              </w:rPr>
              <w:t>数字科技公司</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联通智慧安全科技有限公司</w:t>
            </w:r>
            <w:r>
              <w:rPr>
                <w:rFonts w:ascii="Times New Roman" w:eastAsia="Times New Roman" w:hAnsi="Times New Roman" w:cs="Times New Roman"/>
                <w:color w:val="000000"/>
                <w:spacing w:val="0"/>
                <w:w w:val="100"/>
                <w:position w:val="0"/>
              </w:rPr>
              <w:t>（“</w:t>
            </w:r>
            <w:r>
              <w:rPr>
                <w:color w:val="000000"/>
                <w:spacing w:val="0"/>
                <w:w w:val="100"/>
                <w:position w:val="0"/>
              </w:rPr>
              <w:t>智慧安全</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联通智网科技有限公司</w:t>
            </w:r>
            <w:r>
              <w:rPr>
                <w:rFonts w:ascii="Times New Roman" w:eastAsia="Times New Roman" w:hAnsi="Times New Roman" w:cs="Times New Roman"/>
                <w:color w:val="000000"/>
                <w:spacing w:val="0"/>
                <w:w w:val="100"/>
                <w:position w:val="0"/>
              </w:rPr>
              <w:t>（“</w:t>
            </w:r>
            <w:r>
              <w:rPr>
                <w:color w:val="000000"/>
                <w:spacing w:val="0"/>
                <w:w w:val="100"/>
                <w:position w:val="0"/>
              </w:rPr>
              <w:t>智网科技</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联通支付有限公司</w:t>
            </w:r>
            <w:r>
              <w:rPr>
                <w:rFonts w:ascii="Times New Roman" w:eastAsia="Times New Roman" w:hAnsi="Times New Roman" w:cs="Times New Roman"/>
                <w:color w:val="000000"/>
                <w:spacing w:val="0"/>
                <w:w w:val="100"/>
                <w:position w:val="0"/>
              </w:rPr>
              <w:t>（“</w:t>
            </w:r>
            <w:r>
              <w:rPr>
                <w:color w:val="000000"/>
                <w:spacing w:val="0"/>
                <w:w w:val="100"/>
                <w:position w:val="0"/>
              </w:rPr>
              <w:t>联通支付</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年，有效期三年</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联通在线信息科技有限公司</w:t>
            </w:r>
            <w:r>
              <w:rPr>
                <w:rFonts w:ascii="Times New Roman" w:eastAsia="Times New Roman" w:hAnsi="Times New Roman" w:cs="Times New Roman"/>
                <w:color w:val="000000"/>
                <w:spacing w:val="0"/>
                <w:w w:val="100"/>
                <w:position w:val="0"/>
              </w:rPr>
              <w:t>（“</w:t>
            </w:r>
            <w:r>
              <w:rPr>
                <w:color w:val="000000"/>
                <w:spacing w:val="0"/>
                <w:w w:val="100"/>
                <w:position w:val="0"/>
              </w:rPr>
              <w:t>联通在线</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小沃科技有限公司</w:t>
            </w:r>
            <w:r>
              <w:rPr>
                <w:rFonts w:ascii="Times New Roman" w:eastAsia="Times New Roman" w:hAnsi="Times New Roman" w:cs="Times New Roman"/>
                <w:color w:val="000000"/>
                <w:spacing w:val="0"/>
                <w:w w:val="100"/>
                <w:position w:val="0"/>
              </w:rPr>
              <w:t>（“</w:t>
            </w:r>
            <w:r>
              <w:rPr>
                <w:color w:val="000000"/>
                <w:spacing w:val="0"/>
                <w:w w:val="100"/>
                <w:position w:val="0"/>
              </w:rPr>
              <w:t>小沃科技</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联通沃悦读科技文化有限公司</w:t>
            </w:r>
            <w:r>
              <w:rPr>
                <w:rFonts w:ascii="Times New Roman" w:eastAsia="Times New Roman" w:hAnsi="Times New Roman" w:cs="Times New Roman"/>
                <w:color w:val="000000"/>
                <w:spacing w:val="0"/>
                <w:w w:val="100"/>
                <w:position w:val="0"/>
              </w:rPr>
              <w:t>（“</w:t>
            </w:r>
            <w:r>
              <w:rPr>
                <w:color w:val="000000"/>
                <w:spacing w:val="0"/>
                <w:w w:val="100"/>
                <w:position w:val="0"/>
              </w:rPr>
              <w:t>沃悦读</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年，有效期三年</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中讯邮电咨询设计院有限公司</w:t>
            </w:r>
            <w:r>
              <w:rPr>
                <w:rFonts w:ascii="Times New Roman" w:eastAsia="Times New Roman" w:hAnsi="Times New Roman" w:cs="Times New Roman"/>
                <w:color w:val="000000"/>
                <w:spacing w:val="0"/>
                <w:w w:val="100"/>
                <w:position w:val="0"/>
              </w:rPr>
              <w:t>（“</w:t>
            </w:r>
            <w:r>
              <w:rPr>
                <w:color w:val="000000"/>
                <w:spacing w:val="0"/>
                <w:w w:val="100"/>
                <w:position w:val="0"/>
              </w:rPr>
              <w:t>中讯设计院</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联通物联网有限责任公司</w:t>
            </w:r>
            <w:r>
              <w:rPr>
                <w:rFonts w:ascii="Times New Roman" w:eastAsia="Times New Roman" w:hAnsi="Times New Roman" w:cs="Times New Roman"/>
                <w:color w:val="000000"/>
                <w:spacing w:val="0"/>
                <w:w w:val="100"/>
                <w:position w:val="0"/>
              </w:rPr>
              <w:t>（“</w:t>
            </w:r>
            <w:r>
              <w:rPr>
                <w:color w:val="000000"/>
                <w:spacing w:val="0"/>
                <w:w w:val="100"/>
                <w:position w:val="0"/>
              </w:rPr>
              <w:t>联通物联网</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联通大数据有限公司</w:t>
            </w:r>
            <w:r>
              <w:rPr>
                <w:rFonts w:ascii="Times New Roman" w:eastAsia="Times New Roman" w:hAnsi="Times New Roman" w:cs="Times New Roman"/>
                <w:color w:val="000000"/>
                <w:spacing w:val="0"/>
                <w:w w:val="100"/>
                <w:position w:val="0"/>
              </w:rPr>
              <w:t>（“</w:t>
            </w:r>
            <w:r>
              <w:rPr>
                <w:color w:val="000000"/>
                <w:spacing w:val="0"/>
                <w:w w:val="100"/>
                <w:position w:val="0"/>
              </w:rPr>
              <w:t>联通大数据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北京电信规划设计院有限公司</w:t>
            </w:r>
            <w:r>
              <w:rPr>
                <w:rFonts w:ascii="Times New Roman" w:eastAsia="Times New Roman" w:hAnsi="Times New Roman" w:cs="Times New Roman"/>
                <w:color w:val="000000"/>
                <w:spacing w:val="0"/>
                <w:w w:val="100"/>
                <w:position w:val="0"/>
              </w:rPr>
              <w:t>（“</w:t>
            </w:r>
            <w:r>
              <w:rPr>
                <w:color w:val="000000"/>
                <w:spacing w:val="0"/>
                <w:w w:val="100"/>
                <w:position w:val="0"/>
              </w:rPr>
              <w:t>规划设计院</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联通云数据有限公司</w:t>
            </w:r>
            <w:r>
              <w:rPr>
                <w:rFonts w:ascii="Times New Roman" w:eastAsia="Times New Roman" w:hAnsi="Times New Roman" w:cs="Times New Roman"/>
                <w:color w:val="000000"/>
                <w:spacing w:val="0"/>
                <w:w w:val="100"/>
                <w:position w:val="0"/>
              </w:rPr>
              <w:t>（“</w:t>
            </w:r>
            <w:r>
              <w:rPr>
                <w:color w:val="000000"/>
                <w:spacing w:val="0"/>
                <w:w w:val="100"/>
                <w:position w:val="0"/>
              </w:rPr>
              <w:t>联通云数据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w:t>
            </w:r>
            <w:r>
              <w:rPr>
                <w:rFonts w:ascii="Times New Roman" w:eastAsia="Times New Roman" w:hAnsi="Times New Roman" w:cs="Times New Roman"/>
                <w:color w:val="000000"/>
                <w:spacing w:val="0"/>
                <w:w w:val="100"/>
                <w:position w:val="0"/>
              </w:rPr>
              <w:t>（</w:t>
            </w:r>
            <w:r>
              <w:rPr>
                <w:color w:val="000000"/>
                <w:spacing w:val="0"/>
                <w:w w:val="100"/>
                <w:position w:val="0"/>
              </w:rPr>
              <w:t>黑龙江</w:t>
            </w:r>
            <w:r>
              <w:rPr>
                <w:rFonts w:ascii="Times New Roman" w:eastAsia="Times New Roman" w:hAnsi="Times New Roman" w:cs="Times New Roman"/>
                <w:color w:val="000000"/>
                <w:spacing w:val="0"/>
                <w:w w:val="100"/>
                <w:position w:val="0"/>
              </w:rPr>
              <w:t>）</w:t>
            </w:r>
            <w:r>
              <w:rPr>
                <w:color w:val="000000"/>
                <w:spacing w:val="0"/>
                <w:w w:val="100"/>
                <w:position w:val="0"/>
              </w:rPr>
              <w:t>产业互联网有限公司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w:t>
            </w:r>
            <w:r>
              <w:rPr>
                <w:rFonts w:ascii="Times New Roman" w:eastAsia="Times New Roman" w:hAnsi="Times New Roman" w:cs="Times New Roman"/>
                <w:color w:val="000000"/>
                <w:spacing w:val="0"/>
                <w:w w:val="100"/>
                <w:position w:val="0"/>
              </w:rPr>
              <w:t>（</w:t>
            </w:r>
            <w:r>
              <w:rPr>
                <w:color w:val="000000"/>
                <w:spacing w:val="0"/>
                <w:w w:val="100"/>
                <w:position w:val="0"/>
              </w:rPr>
              <w:t>广东</w:t>
            </w:r>
            <w:r>
              <w:rPr>
                <w:rFonts w:ascii="Times New Roman" w:eastAsia="Times New Roman" w:hAnsi="Times New Roman" w:cs="Times New Roman"/>
                <w:color w:val="000000"/>
                <w:spacing w:val="0"/>
                <w:w w:val="100"/>
                <w:position w:val="0"/>
              </w:rPr>
              <w:t>）</w:t>
            </w:r>
            <w:r>
              <w:rPr>
                <w:color w:val="000000"/>
                <w:spacing w:val="0"/>
                <w:w w:val="100"/>
                <w:position w:val="0"/>
              </w:rPr>
              <w:t>产业互联网有限公司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w:t>
            </w:r>
            <w:r>
              <w:rPr>
                <w:rFonts w:ascii="Times New Roman" w:eastAsia="Times New Roman" w:hAnsi="Times New Roman" w:cs="Times New Roman"/>
                <w:color w:val="000000"/>
                <w:spacing w:val="0"/>
                <w:w w:val="100"/>
                <w:position w:val="0"/>
              </w:rPr>
              <w:t>（</w:t>
            </w:r>
            <w:r>
              <w:rPr>
                <w:color w:val="000000"/>
                <w:spacing w:val="0"/>
                <w:w w:val="100"/>
                <w:position w:val="0"/>
              </w:rPr>
              <w:t>山西</w:t>
            </w:r>
            <w:r>
              <w:rPr>
                <w:rFonts w:ascii="Times New Roman" w:eastAsia="Times New Roman" w:hAnsi="Times New Roman" w:cs="Times New Roman"/>
                <w:color w:val="000000"/>
                <w:spacing w:val="0"/>
                <w:w w:val="100"/>
                <w:position w:val="0"/>
              </w:rPr>
              <w:t>）</w:t>
            </w:r>
            <w:r>
              <w:rPr>
                <w:color w:val="000000"/>
                <w:spacing w:val="0"/>
                <w:w w:val="100"/>
                <w:position w:val="0"/>
              </w:rPr>
              <w:t>产业互联网有限公司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w:t>
            </w:r>
            <w:r>
              <w:rPr>
                <w:rFonts w:ascii="Times New Roman" w:eastAsia="Times New Roman" w:hAnsi="Times New Roman" w:cs="Times New Roman"/>
                <w:color w:val="000000"/>
                <w:spacing w:val="0"/>
                <w:w w:val="100"/>
                <w:position w:val="0"/>
              </w:rPr>
              <w:t>（</w:t>
            </w:r>
            <w:r>
              <w:rPr>
                <w:color w:val="000000"/>
                <w:spacing w:val="0"/>
                <w:w w:val="100"/>
                <w:position w:val="0"/>
              </w:rPr>
              <w:t>辽宁</w:t>
            </w:r>
            <w:r>
              <w:rPr>
                <w:rFonts w:ascii="Times New Roman" w:eastAsia="Times New Roman" w:hAnsi="Times New Roman" w:cs="Times New Roman"/>
                <w:color w:val="000000"/>
                <w:spacing w:val="0"/>
                <w:w w:val="100"/>
                <w:position w:val="0"/>
              </w:rPr>
              <w:t>）</w:t>
            </w:r>
            <w:r>
              <w:rPr>
                <w:color w:val="000000"/>
                <w:spacing w:val="0"/>
                <w:w w:val="100"/>
                <w:position w:val="0"/>
              </w:rPr>
              <w:t>产业互联网有限公司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年，有效期三年</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产业互联网有限公司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w:t>
            </w:r>
            <w:r>
              <w:rPr>
                <w:rFonts w:ascii="Times New Roman" w:eastAsia="Times New Roman" w:hAnsi="Times New Roman" w:cs="Times New Roman"/>
                <w:color w:val="000000"/>
                <w:spacing w:val="0"/>
                <w:w w:val="100"/>
                <w:position w:val="0"/>
              </w:rPr>
              <w:t>（</w:t>
            </w:r>
            <w:r>
              <w:rPr>
                <w:color w:val="000000"/>
                <w:spacing w:val="0"/>
                <w:w w:val="100"/>
                <w:position w:val="0"/>
              </w:rPr>
              <w:t>江苏</w:t>
            </w:r>
            <w:r>
              <w:rPr>
                <w:rFonts w:ascii="Times New Roman" w:eastAsia="Times New Roman" w:hAnsi="Times New Roman" w:cs="Times New Roman"/>
                <w:color w:val="000000"/>
                <w:spacing w:val="0"/>
                <w:w w:val="100"/>
                <w:position w:val="0"/>
              </w:rPr>
              <w:t>）</w:t>
            </w:r>
            <w:r>
              <w:rPr>
                <w:color w:val="000000"/>
                <w:spacing w:val="0"/>
                <w:w w:val="100"/>
                <w:position w:val="0"/>
              </w:rPr>
              <w:t>产业互联网有限公司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w:t>
            </w:r>
            <w:r>
              <w:rPr>
                <w:rFonts w:ascii="Times New Roman" w:eastAsia="Times New Roman" w:hAnsi="Times New Roman" w:cs="Times New Roman"/>
                <w:color w:val="000000"/>
                <w:spacing w:val="0"/>
                <w:w w:val="100"/>
                <w:position w:val="0"/>
              </w:rPr>
              <w:t>（</w:t>
            </w:r>
            <w:r>
              <w:rPr>
                <w:color w:val="000000"/>
                <w:spacing w:val="0"/>
                <w:w w:val="100"/>
                <w:position w:val="0"/>
              </w:rPr>
              <w:t>福建</w:t>
            </w:r>
            <w:r>
              <w:rPr>
                <w:rFonts w:ascii="Times New Roman" w:eastAsia="Times New Roman" w:hAnsi="Times New Roman" w:cs="Times New Roman"/>
                <w:color w:val="000000"/>
                <w:spacing w:val="0"/>
                <w:w w:val="100"/>
                <w:position w:val="0"/>
              </w:rPr>
              <w:t>）</w:t>
            </w:r>
            <w:r>
              <w:rPr>
                <w:color w:val="000000"/>
                <w:spacing w:val="0"/>
                <w:w w:val="100"/>
                <w:position w:val="0"/>
              </w:rPr>
              <w:t>产业互联网有限公司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r>
        <w:trPr>
          <w:trHeight w:val="2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联通雄安产业互联网有限公司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联通高新大数据人工智能科技</w:t>
            </w:r>
            <w:r>
              <w:rPr>
                <w:rFonts w:ascii="Times New Roman" w:eastAsia="Times New Roman" w:hAnsi="Times New Roman" w:cs="Times New Roman"/>
                <w:color w:val="000000"/>
                <w:spacing w:val="0"/>
                <w:w w:val="100"/>
                <w:position w:val="0"/>
              </w:rPr>
              <w:t>（</w:t>
            </w:r>
            <w:r>
              <w:rPr>
                <w:color w:val="000000"/>
                <w:spacing w:val="0"/>
                <w:w w:val="100"/>
                <w:position w:val="0"/>
              </w:rPr>
              <w:t>成都</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年，有效期三年</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联通智网睿行科技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联通沃音乐文化有限公司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r>
        <w:trPr>
          <w:trHeight w:val="821" w:hRule="exact"/>
        </w:trPr>
        <w:tc>
          <w:tcPr>
            <w:tcBorders/>
            <w:shd w:val="clear" w:color="auto" w:fill="FFFFFF"/>
            <w:vAlign w:val="bottom"/>
          </w:tcPr>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联通视频科技有限公司</w:t>
            </w:r>
          </w:p>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年，有效期三年</w:t>
            </w:r>
          </w:p>
        </w:tc>
      </w:tr>
    </w:tbl>
    <w:p>
      <w:pPr>
        <w:widowControl w:val="0"/>
        <w:spacing w:after="299" w:line="1" w:lineRule="exact"/>
      </w:pPr>
    </w:p>
    <w:p>
      <w:pPr>
        <w:pStyle w:val="Style5"/>
        <w:keepNext w:val="0"/>
        <w:keepLines w:val="0"/>
        <w:widowControl w:val="0"/>
        <w:shd w:val="clear" w:color="auto" w:fill="auto"/>
        <w:bidi w:val="0"/>
        <w:spacing w:before="0" w:after="300" w:line="322" w:lineRule="exact"/>
        <w:ind w:left="720" w:right="0" w:firstLine="20"/>
        <w:jc w:val="both"/>
        <w:rPr>
          <w:sz w:val="22"/>
          <w:szCs w:val="22"/>
        </w:rPr>
      </w:pPr>
      <w:r>
        <w:rPr>
          <w:color w:val="000000"/>
          <w:spacing w:val="0"/>
          <w:w w:val="100"/>
          <w:position w:val="0"/>
          <w:sz w:val="22"/>
          <w:szCs w:val="22"/>
        </w:rPr>
        <w:t>联通运营公司个别子公司符合小型微利企业所得税优惠的条件，按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的税率缴纳企业所 得税。</w:t>
      </w:r>
    </w:p>
    <w:p>
      <w:pPr>
        <w:pStyle w:val="Style5"/>
        <w:keepNext w:val="0"/>
        <w:keepLines w:val="0"/>
        <w:widowControl w:val="0"/>
        <w:shd w:val="clear" w:color="auto" w:fill="auto"/>
        <w:bidi w:val="0"/>
        <w:spacing w:before="0" w:after="300" w:line="322" w:lineRule="exact"/>
        <w:ind w:left="720" w:right="0" w:firstLine="20"/>
        <w:jc w:val="both"/>
        <w:rPr>
          <w:sz w:val="22"/>
          <w:szCs w:val="22"/>
        </w:rPr>
      </w:pPr>
      <w:r>
        <w:rPr>
          <w:color w:val="000000"/>
          <w:spacing w:val="0"/>
          <w:w w:val="100"/>
          <w:position w:val="0"/>
          <w:sz w:val="22"/>
          <w:szCs w:val="22"/>
        </w:rPr>
        <w:t>联通运营公司个别子公司符合西部大开发税收优惠政策的条件，按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的税率缴纳企业所 得税。</w:t>
      </w:r>
    </w:p>
    <w:p>
      <w:pPr>
        <w:pStyle w:val="Style5"/>
        <w:keepNext w:val="0"/>
        <w:keepLines w:val="0"/>
        <w:widowControl w:val="0"/>
        <w:shd w:val="clear" w:color="auto" w:fill="auto"/>
        <w:bidi w:val="0"/>
        <w:spacing w:before="0" w:after="300" w:line="240" w:lineRule="auto"/>
        <w:ind w:left="0" w:right="0" w:firstLine="720"/>
        <w:jc w:val="left"/>
        <w:rPr>
          <w:sz w:val="22"/>
          <w:szCs w:val="22"/>
        </w:rPr>
      </w:pPr>
      <w:r>
        <w:rPr>
          <w:color w:val="000000"/>
          <w:spacing w:val="0"/>
          <w:w w:val="100"/>
          <w:position w:val="0"/>
          <w:sz w:val="22"/>
          <w:szCs w:val="22"/>
        </w:rPr>
        <w:t>联通运营公司所属其余子公司根据所得税法均适用</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的企业所得税率。</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60" w:line="308" w:lineRule="exact"/>
        <w:ind w:left="0" w:right="0" w:firstLine="0"/>
        <w:jc w:val="both"/>
        <w:rPr>
          <w:sz w:val="22"/>
          <w:szCs w:val="22"/>
        </w:rPr>
      </w:pPr>
      <w:bookmarkStart w:id="1000" w:name="bookmark1000"/>
      <w:r>
        <w:rPr>
          <w:color w:val="000000"/>
          <w:spacing w:val="0"/>
          <w:w w:val="100"/>
          <w:position w:val="0"/>
          <w:sz w:val="22"/>
          <w:szCs w:val="22"/>
        </w:rPr>
        <w:t>四</w:t>
      </w:r>
      <w:bookmarkEnd w:id="1000"/>
      <w:r>
        <w:rPr>
          <w:color w:val="000000"/>
          <w:spacing w:val="0"/>
          <w:w w:val="100"/>
          <w:position w:val="0"/>
          <w:sz w:val="22"/>
          <w:szCs w:val="22"/>
        </w:rPr>
        <w:t>、税项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5" w:val="left"/>
        </w:tabs>
        <w:bidi w:val="0"/>
        <w:spacing w:before="0" w:after="260" w:line="308" w:lineRule="exact"/>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企业所得税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08" w:lineRule="exact"/>
        <w:ind w:left="740" w:right="0" w:firstLine="0"/>
        <w:jc w:val="both"/>
        <w:rPr>
          <w:sz w:val="22"/>
          <w:szCs w:val="22"/>
        </w:rPr>
      </w:pPr>
      <w:bookmarkStart w:id="1001" w:name="bookmark1001"/>
      <w:r>
        <w:rPr>
          <w:rFonts w:ascii="Times New Roman" w:eastAsia="Times New Roman" w:hAnsi="Times New Roman" w:cs="Times New Roman"/>
          <w:color w:val="000000"/>
          <w:spacing w:val="0"/>
          <w:w w:val="100"/>
          <w:position w:val="0"/>
          <w:sz w:val="24"/>
          <w:szCs w:val="24"/>
        </w:rPr>
        <w:t>（</w:t>
      </w:r>
      <w:bookmarkEnd w:id="1001"/>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2"/>
          <w:szCs w:val="22"/>
        </w:rPr>
        <w:t>本集团所属境外子公司所得税</w:t>
      </w:r>
    </w:p>
    <w:p>
      <w:pPr>
        <w:pStyle w:val="Style5"/>
        <w:keepNext w:val="0"/>
        <w:keepLines w:val="0"/>
        <w:widowControl w:val="0"/>
        <w:shd w:val="clear" w:color="auto" w:fill="auto"/>
        <w:bidi w:val="0"/>
        <w:spacing w:before="0" w:after="260" w:line="308" w:lineRule="exact"/>
        <w:ind w:left="740" w:right="0" w:firstLine="0"/>
        <w:jc w:val="both"/>
        <w:rPr>
          <w:sz w:val="22"/>
          <w:szCs w:val="22"/>
        </w:rPr>
      </w:pPr>
      <w:r>
        <w:rPr>
          <w:color w:val="000000"/>
          <w:spacing w:val="0"/>
          <w:w w:val="100"/>
          <w:position w:val="0"/>
          <w:sz w:val="22"/>
          <w:szCs w:val="22"/>
        </w:rPr>
        <w:t>根据国务院发布的《中华人民共和国企业所得税法实施条例》</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实施条例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、财政部及国 家税务总局共同发布的《关于企业所得税若干优惠政策的通知》</w:t>
      </w:r>
      <w:r>
        <w:rPr>
          <w:color w:val="000000"/>
          <w:spacing w:val="0"/>
          <w:w w:val="100"/>
          <w:position w:val="0"/>
          <w:sz w:val="24"/>
          <w:szCs w:val="24"/>
        </w:rPr>
        <w:t>（</w:t>
      </w:r>
      <w:r>
        <w:rPr>
          <w:color w:val="000000"/>
          <w:spacing w:val="0"/>
          <w:w w:val="100"/>
          <w:position w:val="0"/>
          <w:sz w:val="22"/>
          <w:szCs w:val="22"/>
        </w:rPr>
        <w:t>财税</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2008]1</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以及根据 国家税务总局</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日发布的《关于境外注册中资控股企业依据实际管理机构标 准认定为居民企业有关问题的通知》等，经主管税务机关批准，本集团的联通红筹公司及 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日起被认定为中国居民企业并适用所得税法的相关规定。</w:t>
      </w:r>
    </w:p>
    <w:p>
      <w:pPr>
        <w:pStyle w:val="Style5"/>
        <w:keepNext w:val="0"/>
        <w:keepLines w:val="0"/>
        <w:widowControl w:val="0"/>
        <w:shd w:val="clear" w:color="auto" w:fill="auto"/>
        <w:bidi w:val="0"/>
        <w:spacing w:before="0" w:after="600" w:line="310" w:lineRule="exact"/>
        <w:ind w:left="740" w:right="0" w:firstLine="0"/>
        <w:jc w:val="both"/>
        <w:rPr>
          <w:sz w:val="22"/>
          <w:szCs w:val="22"/>
        </w:rPr>
      </w:pPr>
      <w:r>
        <w:rPr>
          <w:color w:val="000000"/>
          <w:spacing w:val="0"/>
          <w:w w:val="100"/>
          <w:position w:val="0"/>
          <w:sz w:val="22"/>
          <w:szCs w:val="22"/>
        </w:rPr>
        <w:t>除联通红筹公司及联通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公司外，本集团所属境外子公司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参见附注七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企业所得税按其 在有关期间的应纳税所得额以及各公司所在国家或地区的企业所得税率计算，企业所得税 率一般在</w:t>
      </w:r>
      <w:r>
        <w:rPr>
          <w:rFonts w:ascii="Times New Roman" w:eastAsia="Times New Roman" w:hAnsi="Times New Roman" w:cs="Times New Roman"/>
          <w:color w:val="000000"/>
          <w:spacing w:val="0"/>
          <w:w w:val="100"/>
          <w:position w:val="0"/>
          <w:sz w:val="24"/>
          <w:szCs w:val="24"/>
        </w:rPr>
        <w:t>16.5%</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35.0%</w:t>
      </w:r>
      <w:r>
        <w:rPr>
          <w:color w:val="000000"/>
          <w:spacing w:val="0"/>
          <w:w w:val="100"/>
          <w:position w:val="0"/>
          <w:sz w:val="22"/>
          <w:szCs w:val="22"/>
        </w:rPr>
        <w:t>之间。</w:t>
      </w:r>
    </w:p>
    <w:p>
      <w:pPr>
        <w:pStyle w:val="Style5"/>
        <w:keepNext w:val="0"/>
        <w:keepLines w:val="0"/>
        <w:widowControl w:val="0"/>
        <w:shd w:val="clear" w:color="auto" w:fill="auto"/>
        <w:tabs>
          <w:tab w:pos="685" w:val="left"/>
        </w:tabs>
        <w:bidi w:val="0"/>
        <w:spacing w:before="0" w:after="320" w:line="240" w:lineRule="auto"/>
        <w:ind w:left="0" w:right="0" w:firstLine="0"/>
        <w:jc w:val="both"/>
        <w:rPr>
          <w:sz w:val="22"/>
          <w:szCs w:val="22"/>
        </w:rPr>
      </w:pPr>
      <w:bookmarkStart w:id="1002" w:name="bookmark1002"/>
      <w:r>
        <w:rPr>
          <w:color w:val="000000"/>
          <w:spacing w:val="0"/>
          <w:w w:val="100"/>
          <w:position w:val="0"/>
          <w:sz w:val="22"/>
          <w:szCs w:val="22"/>
        </w:rPr>
        <w:t>五</w:t>
      </w:r>
      <w:bookmarkEnd w:id="1002"/>
      <w:r>
        <w:rPr>
          <w:color w:val="000000"/>
          <w:spacing w:val="0"/>
          <w:w w:val="100"/>
          <w:position w:val="0"/>
          <w:sz w:val="22"/>
          <w:szCs w:val="22"/>
        </w:rPr>
        <w:t>、</w:t>
        <w:tab/>
        <w:t>合并财务报表项目附注</w:t>
      </w:r>
    </w:p>
    <w:p>
      <w:pPr>
        <w:pStyle w:val="Style5"/>
        <w:keepNext w:val="0"/>
        <w:keepLines w:val="0"/>
        <w:widowControl w:val="0"/>
        <w:shd w:val="clear" w:color="auto" w:fill="auto"/>
        <w:tabs>
          <w:tab w:pos="685" w:val="left"/>
        </w:tabs>
        <w:bidi w:val="0"/>
        <w:spacing w:before="0" w:after="260" w:line="240" w:lineRule="auto"/>
        <w:ind w:left="0" w:right="0" w:firstLine="0"/>
        <w:jc w:val="both"/>
        <w:rPr>
          <w:sz w:val="22"/>
          <w:szCs w:val="22"/>
        </w:rPr>
      </w:pPr>
      <w:bookmarkStart w:id="1003" w:name="bookmark1003"/>
      <w:r>
        <w:rPr>
          <w:rFonts w:ascii="Times New Roman" w:eastAsia="Times New Roman" w:hAnsi="Times New Roman" w:cs="Times New Roman"/>
          <w:color w:val="000000"/>
          <w:spacing w:val="0"/>
          <w:w w:val="100"/>
          <w:position w:val="0"/>
          <w:sz w:val="24"/>
          <w:szCs w:val="24"/>
        </w:rPr>
        <w:t>1</w:t>
      </w:r>
      <w:bookmarkEnd w:id="1003"/>
      <w:r>
        <w:rPr>
          <w:color w:val="000000"/>
          <w:spacing w:val="0"/>
          <w:w w:val="100"/>
          <w:position w:val="0"/>
          <w:sz w:val="22"/>
          <w:szCs w:val="22"/>
        </w:rPr>
        <w:t>、</w:t>
        <w:tab/>
        <w:t>货币资金</w:t>
      </w:r>
    </w:p>
    <w:p>
      <w:pPr>
        <w:pStyle w:val="Style25"/>
        <w:keepNext w:val="0"/>
        <w:keepLines w:val="0"/>
        <w:widowControl w:val="0"/>
        <w:shd w:val="clear" w:color="auto" w:fill="auto"/>
        <w:tabs>
          <w:tab w:pos="1978" w:val="left"/>
        </w:tabs>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tab/>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5"/>
        <w:keepNext w:val="0"/>
        <w:keepLines w:val="0"/>
        <w:widowControl w:val="0"/>
        <w:shd w:val="clear" w:color="auto" w:fill="auto"/>
        <w:tabs>
          <w:tab w:pos="1978" w:val="left"/>
        </w:tabs>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tab/>
      </w: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bl>
      <w:tblPr>
        <w:tblOverlap w:val="never"/>
        <w:jc w:val="right"/>
        <w:tblLayout w:type="fixed"/>
      </w:tblPr>
      <w:tblGrid>
        <w:gridCol w:w="4493"/>
        <w:gridCol w:w="3110"/>
        <w:gridCol w:w="1800"/>
      </w:tblGrid>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库存现金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481,269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758,530</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个月以下银行存款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34,160,563,989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22,936,043,059</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其他货币资金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144,635,243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165,555,197</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现金及现金等价物小计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34,305,680,501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23,102,356,786</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个月以上银行存款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rPr>
                <w:sz w:val="24"/>
                <w:szCs w:val="24"/>
              </w:rPr>
            </w:pPr>
            <w:r>
              <w:rPr>
                <w:rFonts w:ascii="Times New Roman" w:eastAsia="Times New Roman" w:hAnsi="Times New Roman" w:cs="Times New Roman"/>
                <w:color w:val="000000"/>
                <w:spacing w:val="0"/>
                <w:w w:val="100"/>
                <w:position w:val="0"/>
                <w:sz w:val="24"/>
                <w:szCs w:val="24"/>
              </w:rPr>
              <w:t>7,403,158,080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7,023,972,510</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受到限制的银行存款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rPr>
                <w:sz w:val="24"/>
                <w:szCs w:val="24"/>
              </w:rPr>
            </w:pPr>
            <w:r>
              <w:rPr>
                <w:rFonts w:ascii="Times New Roman" w:eastAsia="Times New Roman" w:hAnsi="Times New Roman" w:cs="Times New Roman"/>
                <w:color w:val="000000"/>
                <w:spacing w:val="0"/>
                <w:w w:val="100"/>
                <w:position w:val="0"/>
                <w:sz w:val="24"/>
                <w:szCs w:val="24"/>
              </w:rPr>
              <w:t>4,564,393,939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5,089,073,179</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46,273,232,520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35,215,402,475</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其中：存放在境外的款项总额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rPr>
                <w:sz w:val="24"/>
                <w:szCs w:val="24"/>
              </w:rPr>
            </w:pPr>
            <w:r>
              <w:rPr>
                <w:rFonts w:ascii="Times New Roman" w:eastAsia="Times New Roman" w:hAnsi="Times New Roman" w:cs="Times New Roman"/>
                <w:color w:val="000000"/>
                <w:spacing w:val="0"/>
                <w:w w:val="100"/>
                <w:position w:val="0"/>
                <w:sz w:val="24"/>
                <w:szCs w:val="24"/>
              </w:rPr>
              <w:t>3,742,543,791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2,859,776,332</w:t>
            </w:r>
          </w:p>
        </w:tc>
      </w:tr>
    </w:tbl>
    <w:p>
      <w:pPr>
        <w:widowControl w:val="0"/>
        <w:spacing w:after="259" w:line="1" w:lineRule="exact"/>
      </w:pPr>
    </w:p>
    <w:p>
      <w:pPr>
        <w:pStyle w:val="Style5"/>
        <w:keepNext w:val="0"/>
        <w:keepLines w:val="0"/>
        <w:widowControl w:val="0"/>
        <w:shd w:val="clear" w:color="auto" w:fill="auto"/>
        <w:bidi w:val="0"/>
        <w:spacing w:before="0" w:after="320" w:line="314" w:lineRule="exact"/>
        <w:ind w:left="74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日，本集团受限制的银行存款约人民币</w:t>
      </w:r>
      <w:r>
        <w:rPr>
          <w:rFonts w:ascii="Times New Roman" w:eastAsia="Times New Roman" w:hAnsi="Times New Roman" w:cs="Times New Roman"/>
          <w:color w:val="000000"/>
          <w:spacing w:val="0"/>
          <w:w w:val="100"/>
          <w:position w:val="0"/>
          <w:sz w:val="24"/>
          <w:szCs w:val="24"/>
        </w:rPr>
        <w:t>45.64</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50.89</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，主要包括本集团子公司联通集团财务有限公司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财务公司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存 放中央银行法定准备金约人民币</w:t>
      </w:r>
      <w:r>
        <w:rPr>
          <w:rFonts w:ascii="Times New Roman" w:eastAsia="Times New Roman" w:hAnsi="Times New Roman" w:cs="Times New Roman"/>
          <w:color w:val="000000"/>
          <w:spacing w:val="0"/>
          <w:w w:val="100"/>
          <w:position w:val="0"/>
          <w:sz w:val="24"/>
          <w:szCs w:val="24"/>
        </w:rPr>
        <w:t>41.96</w:t>
      </w:r>
      <w:r>
        <w:rPr>
          <w:color w:val="000000"/>
          <w:spacing w:val="0"/>
          <w:w w:val="100"/>
          <w:position w:val="0"/>
          <w:sz w:val="22"/>
          <w:szCs w:val="22"/>
        </w:rPr>
        <w:t>亿元。</w:t>
      </w:r>
    </w:p>
    <w:p>
      <w:pPr>
        <w:pStyle w:val="Style5"/>
        <w:keepNext w:val="0"/>
        <w:keepLines w:val="0"/>
        <w:widowControl w:val="0"/>
        <w:shd w:val="clear" w:color="auto" w:fill="auto"/>
        <w:bidi w:val="0"/>
        <w:spacing w:before="0" w:after="260" w:line="240" w:lineRule="auto"/>
        <w:ind w:left="74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日，本集团存放在境外的资金均无汇回限制。</w:t>
      </w:r>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704" w:val="left"/>
        </w:tabs>
        <w:bidi w:val="0"/>
        <w:spacing w:before="0" w:after="300" w:line="240" w:lineRule="auto"/>
        <w:ind w:left="0" w:right="0" w:firstLine="0"/>
        <w:jc w:val="left"/>
        <w:rPr>
          <w:sz w:val="22"/>
          <w:szCs w:val="22"/>
        </w:rPr>
      </w:pPr>
      <w:bookmarkStart w:id="1004" w:name="bookmark1004"/>
      <w:r>
        <w:rPr>
          <w:color w:val="000000"/>
          <w:spacing w:val="0"/>
          <w:w w:val="100"/>
          <w:position w:val="0"/>
          <w:sz w:val="22"/>
          <w:szCs w:val="22"/>
        </w:rPr>
        <w:t>五</w:t>
      </w:r>
      <w:bookmarkEnd w:id="1004"/>
      <w:r>
        <w:rPr>
          <w:color w:val="000000"/>
          <w:spacing w:val="0"/>
          <w:w w:val="100"/>
          <w:position w:val="0"/>
          <w:sz w:val="22"/>
          <w:szCs w:val="22"/>
        </w:rPr>
        <w:t>、</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04" w:val="left"/>
        </w:tabs>
        <w:bidi w:val="0"/>
        <w:spacing w:before="0" w:after="300" w:line="240" w:lineRule="auto"/>
        <w:ind w:left="0" w:right="0" w:firstLine="0"/>
        <w:jc w:val="left"/>
        <w:rPr>
          <w:sz w:val="22"/>
          <w:szCs w:val="22"/>
        </w:rPr>
      </w:pPr>
      <w:bookmarkStart w:id="1005" w:name="bookmark1005"/>
      <w:r>
        <w:rPr>
          <w:rFonts w:ascii="Times New Roman" w:eastAsia="Times New Roman" w:hAnsi="Times New Roman" w:cs="Times New Roman"/>
          <w:color w:val="000000"/>
          <w:spacing w:val="0"/>
          <w:w w:val="100"/>
          <w:position w:val="0"/>
          <w:sz w:val="24"/>
          <w:szCs w:val="24"/>
        </w:rPr>
        <w:t>2</w:t>
      </w:r>
      <w:bookmarkEnd w:id="1005"/>
      <w:r>
        <w:rPr>
          <w:color w:val="000000"/>
          <w:spacing w:val="0"/>
          <w:w w:val="100"/>
          <w:position w:val="0"/>
          <w:sz w:val="22"/>
          <w:szCs w:val="22"/>
        </w:rPr>
        <w:t>、</w:t>
        <w:tab/>
        <w:t>交易性金融资产</w:t>
      </w:r>
    </w:p>
    <w:tbl>
      <w:tblPr>
        <w:tblOverlap w:val="never"/>
        <w:jc w:val="right"/>
        <w:tblLayout w:type="fixed"/>
      </w:tblPr>
      <w:tblGrid>
        <w:gridCol w:w="5016"/>
        <w:gridCol w:w="2630"/>
        <w:gridCol w:w="1757"/>
      </w:tblGrid>
      <w:tr>
        <w:trPr>
          <w:trHeight w:val="73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以公允价值计量且其变动计入当期损益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的金融资产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其中：权益工具投资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157,160,812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229,266,897</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3,129,665,958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1,330,796,772</w:t>
            </w:r>
          </w:p>
        </w:tc>
      </w:tr>
      <w:tr>
        <w:trPr>
          <w:trHeight w:val="35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left"/>
              <w:rPr>
                <w:sz w:val="24"/>
                <w:szCs w:val="24"/>
              </w:rPr>
            </w:pPr>
            <w:r>
              <w:rPr>
                <w:rFonts w:ascii="Times New Roman" w:eastAsia="Times New Roman" w:hAnsi="Times New Roman" w:cs="Times New Roman"/>
                <w:color w:val="000000"/>
                <w:spacing w:val="0"/>
                <w:w w:val="100"/>
                <w:position w:val="0"/>
                <w:sz w:val="24"/>
                <w:szCs w:val="24"/>
              </w:rPr>
              <w:t>3,286,826,770</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1,560,063,669</w:t>
            </w:r>
          </w:p>
        </w:tc>
      </w:tr>
    </w:tbl>
    <w:p>
      <w:pPr>
        <w:widowControl w:val="0"/>
        <w:spacing w:after="199" w:line="1" w:lineRule="exact"/>
      </w:pPr>
    </w:p>
    <w:p>
      <w:pPr>
        <w:pStyle w:val="Style5"/>
        <w:keepNext w:val="0"/>
        <w:keepLines w:val="0"/>
        <w:widowControl w:val="0"/>
        <w:shd w:val="clear" w:color="auto" w:fill="auto"/>
        <w:bidi w:val="0"/>
        <w:spacing w:before="0" w:after="300" w:line="312" w:lineRule="exact"/>
        <w:ind w:left="720" w:right="0" w:firstLine="0"/>
        <w:jc w:val="both"/>
        <w:rPr>
          <w:sz w:val="22"/>
          <w:szCs w:val="22"/>
        </w:rPr>
      </w:pPr>
      <w:r>
        <w:rPr>
          <w:color w:val="000000"/>
          <w:spacing w:val="0"/>
          <w:w w:val="100"/>
          <w:position w:val="0"/>
          <w:sz w:val="22"/>
          <w:szCs w:val="22"/>
        </w:rPr>
        <w:t>本集团将拟长期持有的以公允价值计量且其变动计入当期损益的金融资产计入其他非流动 金融资产。</w:t>
      </w:r>
    </w:p>
    <w:p>
      <w:pPr>
        <w:pStyle w:val="Style5"/>
        <w:keepNext w:val="0"/>
        <w:keepLines w:val="0"/>
        <w:widowControl w:val="0"/>
        <w:shd w:val="clear" w:color="auto" w:fill="auto"/>
        <w:tabs>
          <w:tab w:pos="704" w:val="left"/>
        </w:tabs>
        <w:bidi w:val="0"/>
        <w:spacing w:before="0" w:after="300" w:line="240" w:lineRule="auto"/>
        <w:ind w:left="0" w:right="0" w:firstLine="0"/>
        <w:jc w:val="left"/>
        <w:rPr>
          <w:sz w:val="22"/>
          <w:szCs w:val="22"/>
        </w:rPr>
      </w:pPr>
      <w:bookmarkStart w:id="1006" w:name="bookmark1006"/>
      <w:r>
        <w:rPr>
          <w:rFonts w:ascii="Times New Roman" w:eastAsia="Times New Roman" w:hAnsi="Times New Roman" w:cs="Times New Roman"/>
          <w:color w:val="000000"/>
          <w:spacing w:val="0"/>
          <w:w w:val="100"/>
          <w:position w:val="0"/>
          <w:sz w:val="24"/>
          <w:szCs w:val="24"/>
        </w:rPr>
        <w:t>3</w:t>
      </w:r>
      <w:bookmarkEnd w:id="1006"/>
      <w:r>
        <w:rPr>
          <w:color w:val="000000"/>
          <w:spacing w:val="0"/>
          <w:w w:val="100"/>
          <w:position w:val="0"/>
          <w:sz w:val="22"/>
          <w:szCs w:val="22"/>
        </w:rPr>
        <w:t>、</w:t>
        <w:tab/>
        <w:t>应收票据</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应收票据分类:</w:t>
      </w:r>
    </w:p>
    <w:tbl>
      <w:tblPr>
        <w:tblOverlap w:val="never"/>
        <w:jc w:val="right"/>
        <w:tblLayout w:type="fixed"/>
      </w:tblPr>
      <w:tblGrid>
        <w:gridCol w:w="3878"/>
        <w:gridCol w:w="5544"/>
      </w:tblGrid>
      <w:tr>
        <w:trPr>
          <w:trHeight w:val="74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tabs>
                <w:tab w:pos="1978" w:val="left"/>
              </w:tabs>
              <w:bidi w:val="0"/>
              <w:spacing w:before="0" w:after="0" w:line="240" w:lineRule="auto"/>
              <w:ind w:left="0" w:right="380" w:firstLine="0"/>
              <w:jc w:val="righ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tab/>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tabs>
                <w:tab w:pos="1978" w:val="left"/>
              </w:tabs>
              <w:bidi w:val="0"/>
              <w:spacing w:before="0" w:after="0" w:line="240" w:lineRule="auto"/>
              <w:ind w:left="0" w:right="380" w:firstLine="0"/>
              <w:jc w:val="righ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tab/>
            </w: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1243" w:hRule="exact"/>
        </w:trPr>
        <w:tc>
          <w:tcPr>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银行承兑汇票</w:t>
            </w:r>
          </w:p>
          <w:p>
            <w:pPr>
              <w:pStyle w:val="Style22"/>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商业承兑汇票 合计</w:t>
            </w:r>
          </w:p>
        </w:tc>
        <w:tc>
          <w:tcPr>
            <w:tcBorders/>
            <w:shd w:val="clear" w:color="auto" w:fill="FFFFFF"/>
            <w:vAlign w:val="center"/>
          </w:tcPr>
          <w:p>
            <w:pPr>
              <w:pStyle w:val="Style22"/>
              <w:keepNext w:val="0"/>
              <w:keepLines w:val="0"/>
              <w:widowControl w:val="0"/>
              <w:shd w:val="clear" w:color="auto" w:fill="auto"/>
              <w:tabs>
                <w:tab w:pos="5430" w:val="right"/>
              </w:tabs>
              <w:bidi w:val="0"/>
              <w:spacing w:before="0" w:after="0" w:line="240" w:lineRule="auto"/>
              <w:ind w:left="2300" w:right="0" w:firstLine="0"/>
              <w:jc w:val="left"/>
              <w:rPr>
                <w:sz w:val="24"/>
                <w:szCs w:val="24"/>
              </w:rPr>
            </w:pPr>
            <w:r>
              <w:rPr>
                <w:rFonts w:ascii="Times New Roman" w:eastAsia="Times New Roman" w:hAnsi="Times New Roman" w:cs="Times New Roman"/>
                <w:color w:val="000000"/>
                <w:spacing w:val="0"/>
                <w:w w:val="100"/>
                <w:position w:val="0"/>
                <w:sz w:val="24"/>
                <w:szCs w:val="24"/>
              </w:rPr>
              <w:t>118,360,482</w:t>
              <w:tab/>
              <w:t>135,599,041</w:t>
            </w:r>
          </w:p>
          <w:p>
            <w:pPr>
              <w:pStyle w:val="Style22"/>
              <w:keepNext w:val="0"/>
              <w:keepLines w:val="0"/>
              <w:widowControl w:val="0"/>
              <w:shd w:val="clear" w:color="auto" w:fill="auto"/>
              <w:tabs>
                <w:tab w:pos="5473" w:val="right"/>
              </w:tabs>
              <w:bidi w:val="0"/>
              <w:spacing w:before="0" w:after="0" w:line="240" w:lineRule="auto"/>
              <w:ind w:left="2300" w:right="0" w:firstLine="0"/>
              <w:jc w:val="left"/>
              <w:rPr>
                <w:sz w:val="24"/>
                <w:szCs w:val="24"/>
              </w:rPr>
            </w:pPr>
            <w:r>
              <w:rPr>
                <w:rFonts w:ascii="Times New Roman" w:eastAsia="Times New Roman" w:hAnsi="Times New Roman" w:cs="Times New Roman"/>
                <w:color w:val="000000"/>
                <w:spacing w:val="0"/>
                <w:w w:val="100"/>
                <w:position w:val="0"/>
                <w:sz w:val="24"/>
                <w:szCs w:val="24"/>
                <w:u w:val="single"/>
              </w:rPr>
              <w:t>400,967,175</w:t>
              <w:tab/>
              <w:t>337,666,749</w:t>
            </w:r>
          </w:p>
          <w:p>
            <w:pPr>
              <w:pStyle w:val="Style22"/>
              <w:keepNext w:val="0"/>
              <w:keepLines w:val="0"/>
              <w:widowControl w:val="0"/>
              <w:shd w:val="clear" w:color="auto" w:fill="auto"/>
              <w:tabs>
                <w:tab w:pos="5463" w:val="right"/>
              </w:tabs>
              <w:bidi w:val="0"/>
              <w:spacing w:before="0" w:after="0" w:line="240" w:lineRule="auto"/>
              <w:ind w:left="2300" w:right="0" w:firstLine="0"/>
              <w:jc w:val="left"/>
              <w:rPr>
                <w:sz w:val="24"/>
                <w:szCs w:val="24"/>
              </w:rPr>
            </w:pPr>
            <w:r>
              <w:rPr>
                <w:rFonts w:ascii="Times New Roman" w:eastAsia="Times New Roman" w:hAnsi="Times New Roman" w:cs="Times New Roman"/>
                <w:color w:val="000000"/>
                <w:spacing w:val="0"/>
                <w:w w:val="100"/>
                <w:position w:val="0"/>
                <w:sz w:val="24"/>
                <w:szCs w:val="24"/>
                <w:u w:val="single"/>
              </w:rPr>
              <w:t>519,327,657</w:t>
              <w:tab/>
              <w:t>473,265,790</w:t>
            </w:r>
          </w:p>
        </w:tc>
      </w:tr>
    </w:tbl>
    <w:p>
      <w:pPr>
        <w:widowControl w:val="0"/>
        <w:spacing w:after="139" w:line="1" w:lineRule="exact"/>
      </w:pPr>
    </w:p>
    <w:p>
      <w:pPr>
        <w:pStyle w:val="Style5"/>
        <w:keepNext w:val="0"/>
        <w:keepLines w:val="0"/>
        <w:widowControl w:val="0"/>
        <w:shd w:val="clear" w:color="auto" w:fill="auto"/>
        <w:bidi w:val="0"/>
        <w:spacing w:before="0" w:after="300" w:line="240" w:lineRule="auto"/>
        <w:ind w:left="720" w:right="0" w:firstLine="0"/>
        <w:jc w:val="left"/>
        <w:rPr>
          <w:sz w:val="22"/>
          <w:szCs w:val="22"/>
        </w:rPr>
      </w:pPr>
      <w:r>
        <w:rPr>
          <w:color w:val="000000"/>
          <w:spacing w:val="0"/>
          <w:w w:val="100"/>
          <w:position w:val="0"/>
          <w:sz w:val="22"/>
          <w:szCs w:val="22"/>
        </w:rPr>
        <w:t>上述应收票据均为一年内到期。</w:t>
      </w:r>
    </w:p>
    <w:p>
      <w:pPr>
        <w:pStyle w:val="Style5"/>
        <w:keepNext w:val="0"/>
        <w:keepLines w:val="0"/>
        <w:widowControl w:val="0"/>
        <w:numPr>
          <w:ilvl w:val="0"/>
          <w:numId w:val="109"/>
        </w:numPr>
        <w:shd w:val="clear" w:color="auto" w:fill="auto"/>
        <w:bidi w:val="0"/>
        <w:spacing w:before="0" w:after="300" w:line="240" w:lineRule="auto"/>
        <w:ind w:left="720" w:right="0" w:firstLine="0"/>
        <w:jc w:val="left"/>
        <w:rPr>
          <w:sz w:val="22"/>
          <w:szCs w:val="22"/>
        </w:rPr>
      </w:pPr>
      <w:bookmarkStart w:id="1007" w:name="bookmark1007"/>
      <w:bookmarkEnd w:id="1007"/>
      <w:r>
        <w:rPr>
          <w:color w:val="000000"/>
          <w:spacing w:val="0"/>
          <w:w w:val="100"/>
          <w:position w:val="0"/>
          <w:sz w:val="22"/>
          <w:szCs w:val="22"/>
        </w:rPr>
        <w:t>年末本集团已背书或贴现且在资产负债表日尚未到期的应收票据:</w:t>
      </w:r>
    </w:p>
    <w:tbl>
      <w:tblPr>
        <w:tblOverlap w:val="never"/>
        <w:jc w:val="right"/>
        <w:tblLayout w:type="fixed"/>
      </w:tblPr>
      <w:tblGrid>
        <w:gridCol w:w="3878"/>
        <w:gridCol w:w="5544"/>
      </w:tblGrid>
      <w:tr>
        <w:trPr>
          <w:trHeight w:val="75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种类</w:t>
            </w:r>
          </w:p>
        </w:tc>
        <w:tc>
          <w:tcPr>
            <w:tcBorders/>
            <w:shd w:val="clear" w:color="auto" w:fill="FFFFFF"/>
            <w:vAlign w:val="top"/>
          </w:tcPr>
          <w:p>
            <w:pPr>
              <w:pStyle w:val="Style22"/>
              <w:keepNext w:val="0"/>
              <w:keepLines w:val="0"/>
              <w:widowControl w:val="0"/>
              <w:shd w:val="clear" w:color="auto" w:fill="auto"/>
              <w:tabs>
                <w:tab w:pos="1978" w:val="left"/>
              </w:tabs>
              <w:bidi w:val="0"/>
              <w:spacing w:before="0" w:after="60" w:line="240" w:lineRule="auto"/>
              <w:ind w:left="0" w:right="700" w:firstLine="0"/>
              <w:jc w:val="right"/>
              <w:rPr>
                <w:sz w:val="22"/>
                <w:szCs w:val="22"/>
              </w:rPr>
            </w:pPr>
            <w:r>
              <w:rPr>
                <w:color w:val="000000"/>
                <w:spacing w:val="0"/>
                <w:w w:val="100"/>
                <w:position w:val="0"/>
                <w:sz w:val="22"/>
                <w:szCs w:val="22"/>
              </w:rPr>
              <w:t>年末</w:t>
              <w:tab/>
              <w:t>年末</w:t>
            </w:r>
          </w:p>
          <w:p>
            <w:pPr>
              <w:pStyle w:val="Style22"/>
              <w:keepNext w:val="0"/>
              <w:keepLines w:val="0"/>
              <w:widowControl w:val="0"/>
              <w:shd w:val="clear" w:color="auto" w:fill="auto"/>
              <w:tabs>
                <w:tab w:pos="1824" w:val="left"/>
              </w:tabs>
              <w:bidi w:val="0"/>
              <w:spacing w:before="0" w:after="0" w:line="240" w:lineRule="auto"/>
              <w:ind w:left="0" w:right="0" w:firstLine="0"/>
              <w:jc w:val="right"/>
              <w:rPr>
                <w:sz w:val="22"/>
                <w:szCs w:val="22"/>
              </w:rPr>
            </w:pPr>
            <w:r>
              <w:rPr>
                <w:color w:val="000000"/>
                <w:spacing w:val="0"/>
                <w:w w:val="100"/>
                <w:position w:val="0"/>
                <w:sz w:val="22"/>
                <w:szCs w:val="22"/>
                <w:u w:val="single"/>
              </w:rPr>
              <w:t>终止确认金额</w:t>
              <w:tab/>
              <w:t>未终止确认金额</w:t>
            </w:r>
          </w:p>
        </w:tc>
      </w:tr>
      <w:tr>
        <w:trPr>
          <w:trHeight w:val="43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银行承兑汇票</w:t>
            </w:r>
          </w:p>
        </w:tc>
        <w:tc>
          <w:tcPr>
            <w:tcBorders>
              <w:bottom w:val="single" w:sz="4"/>
            </w:tcBorders>
            <w:shd w:val="clear" w:color="auto" w:fill="FFFFFF"/>
            <w:vAlign w:val="bottom"/>
          </w:tcPr>
          <w:p>
            <w:pPr>
              <w:pStyle w:val="Style22"/>
              <w:keepNext w:val="0"/>
              <w:keepLines w:val="0"/>
              <w:widowControl w:val="0"/>
              <w:shd w:val="clear" w:color="auto" w:fill="auto"/>
              <w:tabs>
                <w:tab w:pos="5377" w:val="left"/>
              </w:tabs>
              <w:bidi w:val="0"/>
              <w:spacing w:before="0" w:after="0" w:line="240" w:lineRule="auto"/>
              <w:ind w:left="2300" w:right="0" w:firstLine="0"/>
              <w:jc w:val="left"/>
              <w:rPr>
                <w:sz w:val="24"/>
                <w:szCs w:val="24"/>
              </w:rPr>
            </w:pPr>
            <w:r>
              <w:rPr>
                <w:rFonts w:ascii="Times New Roman" w:eastAsia="Times New Roman" w:hAnsi="Times New Roman" w:cs="Times New Roman"/>
                <w:color w:val="000000"/>
                <w:spacing w:val="0"/>
                <w:w w:val="100"/>
                <w:position w:val="0"/>
                <w:sz w:val="24"/>
                <w:szCs w:val="24"/>
              </w:rPr>
              <w:t>137,857,025</w:t>
              <w:tab/>
              <w:t>-</w:t>
            </w:r>
          </w:p>
        </w:tc>
      </w:tr>
    </w:tbl>
    <w:p>
      <w:pPr>
        <w:widowControl w:val="0"/>
        <w:spacing w:after="299" w:line="1" w:lineRule="exact"/>
      </w:pPr>
    </w:p>
    <w:p>
      <w:pPr>
        <w:pStyle w:val="Style5"/>
        <w:keepNext w:val="0"/>
        <w:keepLines w:val="0"/>
        <w:widowControl w:val="0"/>
        <w:shd w:val="clear" w:color="auto" w:fill="auto"/>
        <w:bidi w:val="0"/>
        <w:spacing w:before="0" w:after="300" w:line="326" w:lineRule="exact"/>
        <w:ind w:left="720" w:right="0" w:firstLine="0"/>
        <w:jc w:val="left"/>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日，本集团无已质押且未到期以及因出票人未履 约而转入应收账款的票据。</w:t>
      </w:r>
      <w:r>
        <w:br w:type="page"/>
      </w:r>
    </w:p>
    <w:p>
      <w:pPr>
        <w:pStyle w:val="Style97"/>
        <w:keepNext/>
        <w:keepLines/>
        <w:widowControl w:val="0"/>
        <w:shd w:val="clear" w:color="auto" w:fill="auto"/>
        <w:bidi w:val="0"/>
        <w:spacing w:before="0" w:after="40" w:line="240" w:lineRule="auto"/>
        <w:ind w:left="0" w:right="0" w:firstLine="0"/>
        <w:jc w:val="left"/>
      </w:pPr>
      <w:bookmarkStart w:id="1008" w:name="bookmark1008"/>
      <w:bookmarkStart w:id="1009" w:name="bookmark1009"/>
      <w:bookmarkStart w:id="1010" w:name="bookmark1010"/>
      <w:r>
        <w:rPr>
          <w:color w:val="000000"/>
          <w:spacing w:val="0"/>
          <w:w w:val="100"/>
          <w:position w:val="0"/>
        </w:rPr>
        <w:t>财务报表附注</w:t>
      </w:r>
      <w:bookmarkEnd w:id="1008"/>
      <w:bookmarkEnd w:id="1009"/>
      <w:bookmarkEnd w:id="1010"/>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011"/>
      <w:bookmarkEnd w:id="1012"/>
      <w:bookmarkEnd w:id="1013"/>
    </w:p>
    <w:p>
      <w:pPr>
        <w:pStyle w:val="Style97"/>
        <w:keepNext/>
        <w:keepLines/>
        <w:widowControl w:val="0"/>
        <w:shd w:val="clear" w:color="auto" w:fill="auto"/>
        <w:tabs>
          <w:tab w:pos="696" w:val="left"/>
        </w:tabs>
        <w:bidi w:val="0"/>
        <w:spacing w:before="0" w:after="30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五</w:t>
      </w:r>
      <w:bookmarkEnd w:id="1016"/>
      <w:r>
        <w:rPr>
          <w:color w:val="000000"/>
          <w:spacing w:val="0"/>
          <w:w w:val="100"/>
          <w:position w:val="0"/>
        </w:rPr>
        <w:t>、</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014"/>
      <w:bookmarkEnd w:id="1015"/>
      <w:bookmarkEnd w:id="1017"/>
    </w:p>
    <w:p>
      <w:pPr>
        <w:pStyle w:val="Style97"/>
        <w:keepNext/>
        <w:keepLines/>
        <w:widowControl w:val="0"/>
        <w:shd w:val="clear" w:color="auto" w:fill="auto"/>
        <w:tabs>
          <w:tab w:pos="696" w:val="left"/>
        </w:tabs>
        <w:bidi w:val="0"/>
        <w:spacing w:before="0" w:after="30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sz w:val="24"/>
          <w:szCs w:val="24"/>
        </w:rPr>
        <w:t>4</w:t>
      </w:r>
      <w:bookmarkEnd w:id="1020"/>
      <w:r>
        <w:rPr>
          <w:color w:val="000000"/>
          <w:spacing w:val="0"/>
          <w:w w:val="100"/>
          <w:position w:val="0"/>
        </w:rPr>
        <w:t>、</w:t>
        <w:tab/>
        <w:t>应收账款</w:t>
      </w:r>
      <w:bookmarkEnd w:id="1018"/>
      <w:bookmarkEnd w:id="1019"/>
      <w:bookmarkEnd w:id="1021"/>
    </w:p>
    <w:p>
      <w:pPr>
        <w:pStyle w:val="Style89"/>
        <w:keepNext w:val="0"/>
        <w:keepLines w:val="0"/>
        <w:widowControl w:val="0"/>
        <w:shd w:val="clear" w:color="auto" w:fill="auto"/>
        <w:tabs>
          <w:tab w:pos="1978" w:val="left"/>
        </w:tabs>
        <w:bidi w:val="0"/>
        <w:spacing w:before="0" w:line="240" w:lineRule="auto"/>
        <w:ind w:left="0" w:right="0" w:firstLine="0"/>
        <w:jc w:val="center"/>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tab/>
      </w: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tabs>
          <w:tab w:pos="1978" w:val="left"/>
        </w:tabs>
        <w:bidi w:val="0"/>
        <w:spacing w:before="0" w:after="30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tab/>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bl>
      <w:tblPr>
        <w:tblOverlap w:val="never"/>
        <w:jc w:val="right"/>
        <w:tblLayout w:type="fixed"/>
      </w:tblPr>
      <w:tblGrid>
        <w:gridCol w:w="4670"/>
        <w:gridCol w:w="2957"/>
        <w:gridCol w:w="1795"/>
      </w:tblGrid>
      <w:tr>
        <w:trPr>
          <w:trHeight w:val="1066" w:hRule="exact"/>
        </w:trPr>
        <w:tc>
          <w:tcPr>
            <w:tcBorders/>
            <w:shd w:val="clear" w:color="auto" w:fill="FFFFFF"/>
            <w:vAlign w:val="top"/>
          </w:tcPr>
          <w:p>
            <w:pPr>
              <w:pStyle w:val="Style2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应收账款</w:t>
            </w:r>
          </w:p>
          <w:p>
            <w:pPr>
              <w:pStyle w:val="Style2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减：信用损失准备</w:t>
            </w:r>
          </w:p>
          <w:p>
            <w:pPr>
              <w:pStyle w:val="Style2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应收账款净额合计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29,573,867,829</w:t>
            </w:r>
          </w:p>
          <w:p>
            <w:pPr>
              <w:pStyle w:val="Style2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u w:val="single"/>
              </w:rPr>
              <w:t>10,222,044,902</w:t>
            </w:r>
          </w:p>
          <w:p>
            <w:pPr>
              <w:pStyle w:val="Style2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19,351,822,927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29,176,582,416</w:t>
            </w:r>
          </w:p>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9,715,714,607</w:t>
            </w:r>
          </w:p>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19,460,867,809</w:t>
            </w:r>
          </w:p>
        </w:tc>
      </w:tr>
      <w:tr>
        <w:trPr>
          <w:trHeight w:val="1042" w:hRule="exact"/>
        </w:trPr>
        <w:tc>
          <w:tcPr>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本集团应收账款账龄分析如下：</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6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个月以内</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11,589,186,789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11,003,614,502</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2"/>
                <w:szCs w:val="22"/>
              </w:rPr>
              <w:t>个月</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rPr>
                <w:sz w:val="24"/>
                <w:szCs w:val="24"/>
              </w:rPr>
            </w:pPr>
            <w:r>
              <w:rPr>
                <w:rFonts w:ascii="Times New Roman" w:eastAsia="Times New Roman" w:hAnsi="Times New Roman" w:cs="Times New Roman"/>
                <w:color w:val="000000"/>
                <w:spacing w:val="0"/>
                <w:w w:val="100"/>
                <w:position w:val="0"/>
                <w:sz w:val="24"/>
                <w:szCs w:val="24"/>
              </w:rPr>
              <w:t>4,018,753,756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4,012,009,795</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3-12</w:t>
            </w:r>
            <w:r>
              <w:rPr>
                <w:color w:val="000000"/>
                <w:spacing w:val="0"/>
                <w:w w:val="100"/>
                <w:position w:val="0"/>
                <w:sz w:val="22"/>
                <w:szCs w:val="22"/>
              </w:rPr>
              <w:t>个月</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both"/>
              <w:rPr>
                <w:sz w:val="24"/>
                <w:szCs w:val="24"/>
              </w:rPr>
            </w:pPr>
            <w:r>
              <w:rPr>
                <w:rFonts w:ascii="Times New Roman" w:eastAsia="Times New Roman" w:hAnsi="Times New Roman" w:cs="Times New Roman"/>
                <w:color w:val="000000"/>
                <w:spacing w:val="0"/>
                <w:w w:val="100"/>
                <w:position w:val="0"/>
                <w:sz w:val="24"/>
                <w:szCs w:val="24"/>
              </w:rPr>
              <w:t>7,395,464,770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7,346,848,116</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2"/>
                <w:szCs w:val="22"/>
              </w:rPr>
              <w:t>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both"/>
              <w:rPr>
                <w:sz w:val="24"/>
                <w:szCs w:val="24"/>
              </w:rPr>
            </w:pPr>
            <w:r>
              <w:rPr>
                <w:rFonts w:ascii="Times New Roman" w:eastAsia="Times New Roman" w:hAnsi="Times New Roman" w:cs="Times New Roman"/>
                <w:color w:val="000000"/>
                <w:spacing w:val="0"/>
                <w:w w:val="100"/>
                <w:position w:val="0"/>
                <w:sz w:val="24"/>
                <w:szCs w:val="24"/>
              </w:rPr>
              <w:t>2,679,567,478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2,979,191,251</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2-3 </w:t>
            </w:r>
            <w:r>
              <w:rPr>
                <w:color w:val="000000"/>
                <w:spacing w:val="0"/>
                <w:w w:val="100"/>
                <w:position w:val="0"/>
                <w:sz w:val="22"/>
                <w:szCs w:val="22"/>
              </w:rPr>
              <w:t>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both"/>
              <w:rPr>
                <w:sz w:val="24"/>
                <w:szCs w:val="24"/>
              </w:rPr>
            </w:pPr>
            <w:r>
              <w:rPr>
                <w:rFonts w:ascii="Times New Roman" w:eastAsia="Times New Roman" w:hAnsi="Times New Roman" w:cs="Times New Roman"/>
                <w:color w:val="000000"/>
                <w:spacing w:val="0"/>
                <w:w w:val="100"/>
                <w:position w:val="0"/>
                <w:sz w:val="24"/>
                <w:szCs w:val="24"/>
              </w:rPr>
              <w:t>1,405,441,127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1,221,367,985</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3-4 </w:t>
            </w:r>
            <w:r>
              <w:rPr>
                <w:color w:val="000000"/>
                <w:spacing w:val="0"/>
                <w:w w:val="100"/>
                <w:position w:val="0"/>
                <w:sz w:val="22"/>
                <w:szCs w:val="22"/>
              </w:rPr>
              <w:t>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753,505,381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818,579,315</w:t>
            </w:r>
          </w:p>
        </w:tc>
      </w:tr>
      <w:tr>
        <w:trPr>
          <w:trHeight w:val="28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364,002,553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508,952,825</w:t>
            </w:r>
          </w:p>
        </w:tc>
      </w:tr>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年以上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both"/>
              <w:rPr>
                <w:sz w:val="24"/>
                <w:szCs w:val="24"/>
              </w:rPr>
            </w:pPr>
            <w:r>
              <w:rPr>
                <w:rFonts w:ascii="Times New Roman" w:eastAsia="Times New Roman" w:hAnsi="Times New Roman" w:cs="Times New Roman"/>
                <w:color w:val="000000"/>
                <w:spacing w:val="0"/>
                <w:w w:val="100"/>
                <w:position w:val="0"/>
                <w:sz w:val="24"/>
                <w:szCs w:val="24"/>
              </w:rPr>
              <w:t>1,367,945,975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1,286,018,627</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29,573,867,829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29,176,582,416</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减：信用损失准备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10,222,044,902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9,715,714,607</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both"/>
              <w:rPr>
                <w:sz w:val="24"/>
                <w:szCs w:val="24"/>
              </w:rPr>
            </w:pPr>
            <w:r>
              <w:rPr>
                <w:rFonts w:ascii="Times New Roman" w:eastAsia="Times New Roman" w:hAnsi="Times New Roman" w:cs="Times New Roman"/>
                <w:color w:val="000000"/>
                <w:spacing w:val="0"/>
                <w:w w:val="100"/>
                <w:position w:val="0"/>
                <w:sz w:val="24"/>
                <w:szCs w:val="24"/>
              </w:rPr>
              <w:t>19,351,822,927</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19,460,867,809</w:t>
            </w:r>
          </w:p>
        </w:tc>
      </w:tr>
    </w:tbl>
    <w:p>
      <w:pPr>
        <w:pStyle w:val="Style25"/>
        <w:keepNext w:val="0"/>
        <w:keepLines w:val="0"/>
        <w:widowControl w:val="0"/>
        <w:shd w:val="clear" w:color="auto" w:fill="auto"/>
        <w:bidi w:val="0"/>
        <w:spacing w:before="0" w:after="0" w:line="240" w:lineRule="auto"/>
        <w:ind w:left="0" w:right="0" w:firstLine="0"/>
        <w:jc w:val="center"/>
        <w:rPr>
          <w:sz w:val="22"/>
          <w:szCs w:val="22"/>
        </w:rPr>
        <w:sectPr>
          <w:footnotePr>
            <w:pos w:val="pageBottom"/>
            <w:numFmt w:val="decimal"/>
            <w:numRestart w:val="continuous"/>
          </w:footnotePr>
          <w:pgSz w:w="11900" w:h="16840"/>
          <w:pgMar w:top="1599" w:right="594" w:bottom="970" w:left="847" w:header="0" w:footer="3" w:gutter="0"/>
          <w:cols w:space="720"/>
          <w:noEndnote/>
          <w:rtlGutter w:val="0"/>
          <w:docGrid w:linePitch="360"/>
        </w:sectPr>
      </w:pPr>
      <w:r>
        <w:rPr>
          <w:color w:val="000000"/>
          <w:spacing w:val="0"/>
          <w:w w:val="100"/>
          <w:position w:val="0"/>
          <w:sz w:val="22"/>
          <w:szCs w:val="22"/>
        </w:rPr>
        <w:t>账龄自应收账款确认日起开始计算。</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6840" w:h="11900" w:orient="landscape"/>
          <w:pgMar w:top="1082" w:right="543" w:bottom="785" w:left="841" w:header="0" w:footer="3" w:gutter="0"/>
          <w:cols w:space="720"/>
          <w:noEndnote/>
          <w:rtlGutter w:val="0"/>
          <w:docGrid w:linePitch="360"/>
        </w:sectPr>
      </w:pPr>
    </w:p>
    <w:p>
      <w:pPr>
        <w:pStyle w:val="Style97"/>
        <w:keepNext/>
        <w:keepLines/>
        <w:framePr w:w="4046" w:h="936" w:wrap="none" w:vAnchor="text" w:hAnchor="page" w:x="842" w:y="21"/>
        <w:widowControl w:val="0"/>
        <w:shd w:val="clear" w:color="auto" w:fill="auto"/>
        <w:bidi w:val="0"/>
        <w:spacing w:before="0" w:after="40" w:line="240" w:lineRule="auto"/>
        <w:ind w:left="0" w:right="0" w:firstLine="0"/>
        <w:jc w:val="left"/>
      </w:pPr>
      <w:bookmarkStart w:id="1022" w:name="bookmark1022"/>
      <w:bookmarkStart w:id="1023" w:name="bookmark1023"/>
      <w:bookmarkStart w:id="1024" w:name="bookmark1024"/>
      <w:r>
        <w:rPr>
          <w:color w:val="000000"/>
          <w:spacing w:val="0"/>
          <w:w w:val="100"/>
          <w:position w:val="0"/>
        </w:rPr>
        <w:t>财务报表附注</w:t>
      </w:r>
      <w:bookmarkEnd w:id="1022"/>
      <w:bookmarkEnd w:id="1023"/>
      <w:bookmarkEnd w:id="1024"/>
    </w:p>
    <w:p>
      <w:pPr>
        <w:pStyle w:val="Style89"/>
        <w:keepNext w:val="0"/>
        <w:keepLines w:val="0"/>
        <w:framePr w:w="4046" w:h="936" w:wrap="none" w:vAnchor="text" w:hAnchor="page" w:x="842" w:y="21"/>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framePr w:w="4046" w:h="936" w:wrap="none" w:vAnchor="text" w:hAnchor="page" w:x="842" w:y="21"/>
        <w:widowControl w:val="0"/>
        <w:shd w:val="clear" w:color="auto" w:fill="auto"/>
        <w:bidi w:val="0"/>
        <w:spacing w:before="0" w:after="40" w:line="240" w:lineRule="auto"/>
        <w:ind w:left="0" w:right="0" w:firstLine="0"/>
        <w:jc w:val="left"/>
        <w:rPr>
          <w:sz w:val="24"/>
          <w:szCs w:val="24"/>
        </w:rPr>
      </w:pPr>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025"/>
      <w:bookmarkEnd w:id="1026"/>
      <w:bookmarkEnd w:id="1027"/>
    </w:p>
    <w:p>
      <w:pPr>
        <w:pStyle w:val="Style97"/>
        <w:keepNext/>
        <w:keepLines/>
        <w:framePr w:w="3600" w:h="317" w:wrap="none" w:vAnchor="text" w:hAnchor="page" w:x="851" w:y="1484"/>
        <w:widowControl w:val="0"/>
        <w:shd w:val="clear" w:color="auto" w:fill="auto"/>
        <w:tabs>
          <w:tab w:pos="672" w:val="left"/>
        </w:tabs>
        <w:bidi w:val="0"/>
        <w:spacing w:before="0" w:after="0" w:line="240" w:lineRule="auto"/>
        <w:ind w:left="0" w:right="0" w:firstLine="0"/>
        <w:jc w:val="left"/>
      </w:pPr>
      <w:bookmarkStart w:id="1028" w:name="bookmark1028"/>
      <w:bookmarkStart w:id="1029" w:name="bookmark1029"/>
      <w:bookmarkStart w:id="1030" w:name="bookmark1030"/>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028"/>
      <w:bookmarkEnd w:id="1029"/>
      <w:bookmarkEnd w:id="1030"/>
    </w:p>
    <w:p>
      <w:pPr>
        <w:pStyle w:val="Style97"/>
        <w:keepNext/>
        <w:keepLines/>
        <w:framePr w:w="2170" w:h="302" w:wrap="none" w:vAnchor="text" w:hAnchor="page" w:x="842" w:y="2075"/>
        <w:widowControl w:val="0"/>
        <w:shd w:val="clear" w:color="auto" w:fill="auto"/>
        <w:tabs>
          <w:tab w:pos="701" w:val="left"/>
        </w:tabs>
        <w:bidi w:val="0"/>
        <w:spacing w:before="0" w:after="0" w:line="240" w:lineRule="auto"/>
        <w:ind w:left="0" w:right="0" w:firstLine="0"/>
        <w:jc w:val="left"/>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应收账款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031"/>
      <w:bookmarkEnd w:id="1032"/>
      <w:bookmarkEnd w:id="1033"/>
    </w:p>
    <w:p>
      <w:pPr>
        <w:pStyle w:val="Style97"/>
        <w:keepNext/>
        <w:keepLines/>
        <w:framePr w:w="5179" w:h="307" w:wrap="none" w:vAnchor="text" w:hAnchor="page" w:x="1567" w:y="2660"/>
        <w:widowControl w:val="0"/>
        <w:shd w:val="clear" w:color="auto" w:fill="auto"/>
        <w:bidi w:val="0"/>
        <w:spacing w:before="0" w:after="0" w:line="240"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应收账款按信用损失准备计提方法分类披露:</w:t>
      </w:r>
      <w:bookmarkEnd w:id="1034"/>
      <w:bookmarkEnd w:id="1035"/>
      <w:bookmarkEnd w:id="1036"/>
    </w:p>
    <w:p>
      <w:pPr>
        <w:pStyle w:val="Style22"/>
        <w:keepNext w:val="0"/>
        <w:keepLines w:val="0"/>
        <w:framePr w:w="1795" w:h="701" w:wrap="none" w:vAnchor="text" w:hAnchor="page" w:x="1586" w:y="4249"/>
        <w:widowControl w:val="0"/>
        <w:shd w:val="clear" w:color="auto" w:fill="auto"/>
        <w:bidi w:val="0"/>
        <w:spacing w:before="0" w:after="0" w:line="228" w:lineRule="exact"/>
        <w:ind w:left="0" w:right="0" w:firstLine="0"/>
        <w:jc w:val="both"/>
        <w:rPr>
          <w:sz w:val="15"/>
          <w:szCs w:val="15"/>
        </w:rPr>
      </w:pPr>
      <w:r>
        <w:rPr>
          <w:color w:val="000000"/>
          <w:spacing w:val="0"/>
          <w:w w:val="100"/>
          <w:position w:val="0"/>
          <w:sz w:val="15"/>
          <w:szCs w:val="15"/>
        </w:rPr>
        <w:t>按单项计提信用损失准备 按组合计提信用损失准备 合计</w:t>
      </w:r>
    </w:p>
    <w:tbl>
      <w:tblPr>
        <w:tblOverlap w:val="never"/>
        <w:jc w:val="left"/>
        <w:tblLayout w:type="fixed"/>
      </w:tblPr>
      <w:tblGrid>
        <w:gridCol w:w="1411"/>
        <w:gridCol w:w="907"/>
        <w:gridCol w:w="1339"/>
        <w:gridCol w:w="917"/>
        <w:gridCol w:w="1186"/>
      </w:tblGrid>
      <w:tr>
        <w:trPr>
          <w:trHeight w:val="230" w:hRule="exact"/>
        </w:trPr>
        <w:tc>
          <w:tcPr>
            <w:gridSpan w:val="2"/>
            <w:tcBorders>
              <w:top w:val="single" w:sz="4"/>
            </w:tcBorders>
            <w:shd w:val="clear" w:color="auto" w:fill="FFFFFF"/>
            <w:vAlign w:val="top"/>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tcBorders>
            <w:shd w:val="clear" w:color="auto" w:fill="FFFFFF"/>
            <w:vAlign w:val="top"/>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信用损失准备</w:t>
            </w:r>
          </w:p>
        </w:tc>
        <w:tc>
          <w:tcPr>
            <w:vMerge w:val="restart"/>
            <w:tcBorders>
              <w:top w:val="single" w:sz="4"/>
            </w:tcBorders>
            <w:shd w:val="clear" w:color="auto" w:fill="FFFFFF"/>
            <w:vAlign w:val="bottom"/>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u w:val="single"/>
              </w:rPr>
              <w:t>账面价值</w:t>
            </w:r>
          </w:p>
        </w:tc>
      </w:tr>
      <w:tr>
        <w:trPr>
          <w:trHeight w:val="509" w:hRule="exact"/>
        </w:trPr>
        <w:tc>
          <w:tcPr>
            <w:tcBorders>
              <w:top w:val="single" w:sz="4"/>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u w:val="single"/>
              </w:rPr>
              <w:t>金额</w:t>
            </w:r>
          </w:p>
        </w:tc>
        <w:tc>
          <w:tcPr>
            <w:tcBorders>
              <w:top w:val="single" w:sz="4"/>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u w:val="single"/>
              </w:rPr>
              <w:t>比例</w:t>
            </w:r>
            <w:r>
              <w:rPr>
                <w:rFonts w:ascii="Times New Roman" w:eastAsia="Times New Roman" w:hAnsi="Times New Roman" w:cs="Times New Roman"/>
                <w:color w:val="000000"/>
                <w:spacing w:val="0"/>
                <w:w w:val="100"/>
                <w:position w:val="0"/>
                <w:sz w:val="16"/>
                <w:szCs w:val="16"/>
                <w:u w:val="single"/>
              </w:rPr>
              <w:t>(</w:t>
            </w:r>
            <w:r>
              <w:rPr>
                <w:color w:val="000000"/>
                <w:spacing w:val="0"/>
                <w:w w:val="100"/>
                <w:position w:val="0"/>
                <w:sz w:val="16"/>
                <w:szCs w:val="16"/>
                <w:u w:val="single"/>
              </w:rPr>
              <w:t>％</w:t>
            </w:r>
            <w:r>
              <w:rPr>
                <w:rFonts w:ascii="Times New Roman" w:eastAsia="Times New Roman" w:hAnsi="Times New Roman" w:cs="Times New Roman"/>
                <w:color w:val="000000"/>
                <w:spacing w:val="0"/>
                <w:w w:val="100"/>
                <w:position w:val="0"/>
                <w:sz w:val="16"/>
                <w:szCs w:val="16"/>
                <w:u w:val="single"/>
              </w:rPr>
              <w:t>)</w:t>
            </w:r>
          </w:p>
        </w:tc>
        <w:tc>
          <w:tcPr>
            <w:tcBorders>
              <w:top w:val="single" w:sz="4"/>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u w:val="single"/>
              </w:rPr>
              <w:t>金额</w:t>
            </w:r>
          </w:p>
        </w:tc>
        <w:tc>
          <w:tcPr>
            <w:tcBorders>
              <w:top w:val="single" w:sz="4"/>
            </w:tcBorders>
            <w:shd w:val="clear" w:color="auto" w:fill="FFFFFF"/>
            <w:vAlign w:val="top"/>
          </w:tcPr>
          <w:p>
            <w:pPr>
              <w:pStyle w:val="Style22"/>
              <w:keepNext w:val="0"/>
              <w:keepLines w:val="0"/>
              <w:framePr w:w="5760" w:h="1502" w:vSpace="240" w:wrap="none" w:vAnchor="text" w:hAnchor="page" w:x="4696" w:y="3471"/>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计提比例</w:t>
            </w:r>
          </w:p>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36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vMerge/>
            <w:tcBorders/>
            <w:shd w:val="clear" w:color="auto" w:fill="FFFFFF"/>
            <w:vAlign w:val="bottom"/>
          </w:tcPr>
          <w:p>
            <w:pPr>
              <w:framePr w:w="5760" w:h="1502" w:vSpace="240" w:wrap="none" w:vAnchor="text" w:hAnchor="page" w:x="4696" w:y="3471"/>
            </w:pPr>
          </w:p>
        </w:tc>
      </w:tr>
      <w:tr>
        <w:trPr>
          <w:trHeight w:val="293" w:hRule="exact"/>
        </w:trPr>
        <w:tc>
          <w:tcPr>
            <w:tcBorders/>
            <w:shd w:val="clear" w:color="auto" w:fill="FFFFFF"/>
            <w:vAlign w:val="bottom"/>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86,003,005</w:t>
            </w:r>
          </w:p>
        </w:tc>
        <w:tc>
          <w:tcPr>
            <w:tcBorders/>
            <w:shd w:val="clear" w:color="auto" w:fill="FFFFFF"/>
            <w:vAlign w:val="bottom"/>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0.29</w:t>
            </w:r>
          </w:p>
        </w:tc>
        <w:tc>
          <w:tcPr>
            <w:tcBorders/>
            <w:shd w:val="clear" w:color="auto" w:fill="FFFFFF"/>
            <w:vAlign w:val="bottom"/>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86,003,005</w:t>
            </w:r>
          </w:p>
        </w:tc>
        <w:tc>
          <w:tcPr>
            <w:tcBorders/>
            <w:shd w:val="clear" w:color="auto" w:fill="FFFFFF"/>
            <w:vAlign w:val="bottom"/>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c>
          <w:tcPr>
            <w:tcBorders/>
            <w:shd w:val="clear" w:color="auto" w:fill="FFFFFF"/>
            <w:vAlign w:val="bottom"/>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06" w:hRule="exact"/>
        </w:trPr>
        <w:tc>
          <w:tcPr>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29,487,864,824</w:t>
            </w:r>
          </w:p>
        </w:tc>
        <w:tc>
          <w:tcPr>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99.71</w:t>
            </w:r>
          </w:p>
        </w:tc>
        <w:tc>
          <w:tcPr>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10,136,041,897</w:t>
            </w:r>
          </w:p>
        </w:tc>
        <w:tc>
          <w:tcPr>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34.37</w:t>
            </w:r>
          </w:p>
        </w:tc>
        <w:tc>
          <w:tcPr>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19,351,822,927</w:t>
            </w:r>
          </w:p>
        </w:tc>
      </w:tr>
      <w:tr>
        <w:trPr>
          <w:trHeight w:val="264" w:hRule="exact"/>
        </w:trPr>
        <w:tc>
          <w:tcPr>
            <w:tcBorders>
              <w:top w:val="single" w:sz="4"/>
              <w:bottom w:val="single" w:sz="4"/>
            </w:tcBorders>
            <w:shd w:val="clear" w:color="auto" w:fill="FFFFFF"/>
            <w:vAlign w:val="center"/>
          </w:tcPr>
          <w:p>
            <w:pPr>
              <w:pStyle w:val="Style22"/>
              <w:keepNext w:val="0"/>
              <w:keepLines w:val="0"/>
              <w:framePr w:w="5760" w:h="1502" w:vSpace="240" w:wrap="none" w:vAnchor="text" w:hAnchor="page" w:x="4696" w:y="3471"/>
              <w:widowControl w:val="0"/>
              <w:shd w:val="clear" w:color="auto" w:fill="auto"/>
              <w:tabs>
                <w:tab w:pos="1176"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u w:val="single"/>
              </w:rPr>
              <w:t>29,573,867,829</w:t>
            </w:r>
            <w:r>
              <w:rPr>
                <w:rFonts w:ascii="Times New Roman" w:eastAsia="Times New Roman" w:hAnsi="Times New Roman" w:cs="Times New Roman"/>
                <w:color w:val="000000"/>
                <w:spacing w:val="0"/>
                <w:w w:val="100"/>
                <w:position w:val="0"/>
                <w:sz w:val="16"/>
                <w:szCs w:val="16"/>
              </w:rPr>
              <w:tab/>
              <w:t>_</w:t>
            </w:r>
          </w:p>
        </w:tc>
        <w:tc>
          <w:tcPr>
            <w:tcBorders>
              <w:top w:val="single" w:sz="4"/>
              <w:bottom w:val="single" w:sz="4"/>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bottom w:val="single" w:sz="4"/>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10,222,044,902</w:t>
            </w:r>
          </w:p>
        </w:tc>
        <w:tc>
          <w:tcPr>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34.56</w:t>
            </w:r>
          </w:p>
        </w:tc>
        <w:tc>
          <w:tcPr>
            <w:tcBorders>
              <w:top w:val="single" w:sz="4"/>
              <w:bottom w:val="single" w:sz="4"/>
            </w:tcBorders>
            <w:shd w:val="clear" w:color="auto" w:fill="FFFFFF"/>
            <w:vAlign w:val="center"/>
          </w:tcPr>
          <w:p>
            <w:pPr>
              <w:pStyle w:val="Style22"/>
              <w:keepNext w:val="0"/>
              <w:keepLines w:val="0"/>
              <w:framePr w:w="5760" w:h="1502" w:vSpace="240" w:wrap="none" w:vAnchor="text" w:hAnchor="page" w:x="4696"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19,351,822,927</w:t>
            </w:r>
          </w:p>
        </w:tc>
      </w:tr>
    </w:tbl>
    <w:p>
      <w:pPr>
        <w:framePr w:w="5760" w:h="1502" w:vSpace="240" w:wrap="none" w:vAnchor="text" w:hAnchor="page" w:x="4696" w:y="3471"/>
        <w:widowControl w:val="0"/>
        <w:spacing w:line="1" w:lineRule="exact"/>
      </w:pPr>
    </w:p>
    <w:p>
      <w:pPr>
        <w:pStyle w:val="Style25"/>
        <w:keepNext w:val="0"/>
        <w:keepLines w:val="0"/>
        <w:framePr w:w="1349" w:h="216" w:wrap="none" w:vAnchor="text" w:hAnchor="page" w:x="6904" w:y="323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tbl>
      <w:tblPr>
        <w:tblOverlap w:val="never"/>
        <w:jc w:val="left"/>
        <w:tblLayout w:type="fixed"/>
      </w:tblPr>
      <w:tblGrid>
        <w:gridCol w:w="1536"/>
        <w:gridCol w:w="898"/>
        <w:gridCol w:w="1214"/>
        <w:gridCol w:w="912"/>
        <w:gridCol w:w="1181"/>
      </w:tblGrid>
      <w:tr>
        <w:trPr>
          <w:trHeight w:val="230" w:hRule="exact"/>
        </w:trPr>
        <w:tc>
          <w:tcPr>
            <w:gridSpan w:val="2"/>
            <w:tcBorders>
              <w:top w:val="single" w:sz="4"/>
            </w:tcBorders>
            <w:shd w:val="clear" w:color="auto" w:fill="FFFFFF"/>
            <w:vAlign w:val="top"/>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tcBorders>
            <w:shd w:val="clear" w:color="auto" w:fill="FFFFFF"/>
            <w:vAlign w:val="top"/>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信用损失准备</w:t>
            </w:r>
          </w:p>
        </w:tc>
        <w:tc>
          <w:tcPr>
            <w:vMerge w:val="restart"/>
            <w:tcBorders>
              <w:top w:val="single" w:sz="4"/>
            </w:tcBorders>
            <w:shd w:val="clear" w:color="auto" w:fill="FFFFFF"/>
            <w:vAlign w:val="bottom"/>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509" w:hRule="exact"/>
        </w:trPr>
        <w:tc>
          <w:tcPr>
            <w:tcBorders>
              <w:top w:val="single" w:sz="4"/>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u w:val="single"/>
              </w:rPr>
              <w:t>金额</w:t>
            </w:r>
          </w:p>
        </w:tc>
        <w:tc>
          <w:tcPr>
            <w:tcBorders>
              <w:top w:val="single" w:sz="4"/>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u w:val="single"/>
              </w:rPr>
              <w:t>比例</w:t>
            </w:r>
            <w:r>
              <w:rPr>
                <w:rFonts w:ascii="Times New Roman" w:eastAsia="Times New Roman" w:hAnsi="Times New Roman" w:cs="Times New Roman"/>
                <w:color w:val="000000"/>
                <w:spacing w:val="0"/>
                <w:w w:val="100"/>
                <w:position w:val="0"/>
                <w:sz w:val="16"/>
                <w:szCs w:val="16"/>
                <w:u w:val="single"/>
              </w:rPr>
              <w:t>(</w:t>
            </w:r>
            <w:r>
              <w:rPr>
                <w:color w:val="000000"/>
                <w:spacing w:val="0"/>
                <w:w w:val="100"/>
                <w:position w:val="0"/>
                <w:sz w:val="16"/>
                <w:szCs w:val="16"/>
                <w:u w:val="single"/>
              </w:rPr>
              <w:t>％</w:t>
            </w:r>
            <w:r>
              <w:rPr>
                <w:rFonts w:ascii="Times New Roman" w:eastAsia="Times New Roman" w:hAnsi="Times New Roman" w:cs="Times New Roman"/>
                <w:color w:val="000000"/>
                <w:spacing w:val="0"/>
                <w:w w:val="100"/>
                <w:position w:val="0"/>
                <w:sz w:val="16"/>
                <w:szCs w:val="16"/>
                <w:u w:val="single"/>
              </w:rPr>
              <w:t>)</w:t>
            </w:r>
          </w:p>
        </w:tc>
        <w:tc>
          <w:tcPr>
            <w:tcBorders>
              <w:top w:val="single" w:sz="4"/>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金额</w:t>
            </w:r>
          </w:p>
        </w:tc>
        <w:tc>
          <w:tcPr>
            <w:tcBorders>
              <w:top w:val="single" w:sz="4"/>
            </w:tcBorders>
            <w:shd w:val="clear" w:color="auto" w:fill="FFFFFF"/>
            <w:vAlign w:val="top"/>
          </w:tcPr>
          <w:p>
            <w:pPr>
              <w:pStyle w:val="Style22"/>
              <w:keepNext w:val="0"/>
              <w:keepLines w:val="0"/>
              <w:framePr w:w="5741" w:h="1502" w:vSpace="240" w:wrap="none" w:vAnchor="text" w:hAnchor="page" w:x="10557" w:y="3471"/>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计提比例</w:t>
            </w:r>
          </w:p>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36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vMerge/>
            <w:tcBorders/>
            <w:shd w:val="clear" w:color="auto" w:fill="FFFFFF"/>
            <w:vAlign w:val="bottom"/>
          </w:tcPr>
          <w:p>
            <w:pPr>
              <w:framePr w:w="5741" w:h="1502" w:vSpace="240" w:wrap="none" w:vAnchor="text" w:hAnchor="page" w:x="10557" w:y="3471"/>
            </w:pPr>
          </w:p>
        </w:tc>
      </w:tr>
      <w:tr>
        <w:trPr>
          <w:trHeight w:val="293" w:hRule="exact"/>
        </w:trPr>
        <w:tc>
          <w:tcPr>
            <w:tcBorders/>
            <w:shd w:val="clear" w:color="auto" w:fill="FFFFFF"/>
            <w:vAlign w:val="bottom"/>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41,350,286</w:t>
            </w:r>
          </w:p>
        </w:tc>
        <w:tc>
          <w:tcPr>
            <w:tcBorders/>
            <w:shd w:val="clear" w:color="auto" w:fill="FFFFFF"/>
            <w:vAlign w:val="bottom"/>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160" w:firstLine="0"/>
              <w:jc w:val="right"/>
              <w:rPr>
                <w:sz w:val="16"/>
                <w:szCs w:val="16"/>
              </w:rPr>
            </w:pPr>
            <w:r>
              <w:rPr>
                <w:rFonts w:ascii="Times New Roman" w:eastAsia="Times New Roman" w:hAnsi="Times New Roman" w:cs="Times New Roman"/>
                <w:color w:val="000000"/>
                <w:spacing w:val="0"/>
                <w:w w:val="100"/>
                <w:position w:val="0"/>
                <w:sz w:val="16"/>
                <w:szCs w:val="16"/>
              </w:rPr>
              <w:t>0.14</w:t>
            </w:r>
          </w:p>
        </w:tc>
        <w:tc>
          <w:tcPr>
            <w:tcBorders/>
            <w:shd w:val="clear" w:color="auto" w:fill="FFFFFF"/>
            <w:vAlign w:val="bottom"/>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40,062,185</w:t>
            </w:r>
          </w:p>
        </w:tc>
        <w:tc>
          <w:tcPr>
            <w:tcBorders/>
            <w:shd w:val="clear" w:color="auto" w:fill="FFFFFF"/>
            <w:vAlign w:val="bottom"/>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96.88</w:t>
            </w:r>
          </w:p>
        </w:tc>
        <w:tc>
          <w:tcPr>
            <w:tcBorders/>
            <w:shd w:val="clear" w:color="auto" w:fill="FFFFFF"/>
            <w:vAlign w:val="bottom"/>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1,288,101</w:t>
            </w:r>
          </w:p>
        </w:tc>
      </w:tr>
      <w:tr>
        <w:trPr>
          <w:trHeight w:val="206" w:hRule="exact"/>
        </w:trPr>
        <w:tc>
          <w:tcPr>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29,135,232,130</w:t>
            </w:r>
          </w:p>
        </w:tc>
        <w:tc>
          <w:tcPr>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160" w:firstLine="0"/>
              <w:jc w:val="right"/>
              <w:rPr>
                <w:sz w:val="16"/>
                <w:szCs w:val="16"/>
              </w:rPr>
            </w:pPr>
            <w:r>
              <w:rPr>
                <w:rFonts w:ascii="Times New Roman" w:eastAsia="Times New Roman" w:hAnsi="Times New Roman" w:cs="Times New Roman"/>
                <w:color w:val="000000"/>
                <w:spacing w:val="0"/>
                <w:w w:val="100"/>
                <w:position w:val="0"/>
                <w:sz w:val="16"/>
                <w:szCs w:val="16"/>
              </w:rPr>
              <w:t>99.86</w:t>
            </w:r>
          </w:p>
        </w:tc>
        <w:tc>
          <w:tcPr>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9,675,652,422</w:t>
            </w:r>
          </w:p>
        </w:tc>
        <w:tc>
          <w:tcPr>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33.21</w:t>
            </w:r>
          </w:p>
        </w:tc>
        <w:tc>
          <w:tcPr>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19,459,579,708</w:t>
            </w:r>
          </w:p>
        </w:tc>
      </w:tr>
      <w:tr>
        <w:trPr>
          <w:trHeight w:val="264" w:hRule="exact"/>
        </w:trPr>
        <w:tc>
          <w:tcPr>
            <w:tcBorders>
              <w:top w:val="single" w:sz="4"/>
              <w:bottom w:val="single" w:sz="4"/>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29,176,582,416</w:t>
            </w:r>
          </w:p>
        </w:tc>
        <w:tc>
          <w:tcPr>
            <w:tcBorders>
              <w:top w:val="single" w:sz="4"/>
              <w:bottom w:val="single" w:sz="4"/>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16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bottom w:val="single" w:sz="4"/>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9,715,714,607</w:t>
            </w:r>
          </w:p>
        </w:tc>
        <w:tc>
          <w:tcPr>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33.30</w:t>
            </w:r>
          </w:p>
        </w:tc>
        <w:tc>
          <w:tcPr>
            <w:tcBorders>
              <w:top w:val="single" w:sz="4"/>
              <w:bottom w:val="single" w:sz="4"/>
            </w:tcBorders>
            <w:shd w:val="clear" w:color="auto" w:fill="FFFFFF"/>
            <w:vAlign w:val="center"/>
          </w:tcPr>
          <w:p>
            <w:pPr>
              <w:pStyle w:val="Style22"/>
              <w:keepNext w:val="0"/>
              <w:keepLines w:val="0"/>
              <w:framePr w:w="5741" w:h="1502" w:vSpace="240" w:wrap="none" w:vAnchor="text" w:hAnchor="page" w:x="10557" w:y="34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19,460,867,809</w:t>
            </w:r>
          </w:p>
        </w:tc>
      </w:tr>
    </w:tbl>
    <w:p>
      <w:pPr>
        <w:framePr w:w="5741" w:h="1502" w:vSpace="240" w:wrap="none" w:vAnchor="text" w:hAnchor="page" w:x="10557" w:y="3471"/>
        <w:widowControl w:val="0"/>
        <w:spacing w:line="1" w:lineRule="exact"/>
      </w:pPr>
    </w:p>
    <w:p>
      <w:pPr>
        <w:pStyle w:val="Style25"/>
        <w:keepNext w:val="0"/>
        <w:keepLines w:val="0"/>
        <w:framePr w:w="1344" w:h="216" w:wrap="none" w:vAnchor="text" w:hAnchor="page" w:x="12760" w:y="323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notePr>
            <w:pos w:val="pageBottom"/>
            <w:numFmt w:val="decimal"/>
            <w:numRestart w:val="continuous"/>
          </w:footnotePr>
          <w:type w:val="continuous"/>
          <w:pgSz w:w="16840" w:h="11900" w:orient="landscape"/>
          <w:pgMar w:top="1082" w:right="543" w:bottom="785" w:left="841"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2" w:val="left"/>
        </w:tabs>
        <w:bidi w:val="0"/>
        <w:spacing w:before="0" w:after="260" w:line="312" w:lineRule="exact"/>
        <w:ind w:left="0" w:right="0" w:firstLine="0"/>
        <w:jc w:val="both"/>
        <w:rPr>
          <w:sz w:val="22"/>
          <w:szCs w:val="22"/>
        </w:rPr>
      </w:pPr>
      <w:bookmarkStart w:id="1037" w:name="bookmark1037"/>
      <w:r>
        <w:rPr>
          <w:color w:val="000000"/>
          <w:spacing w:val="0"/>
          <w:w w:val="100"/>
          <w:position w:val="0"/>
          <w:sz w:val="22"/>
          <w:szCs w:val="22"/>
        </w:rPr>
        <w:t>五</w:t>
      </w:r>
      <w:bookmarkEnd w:id="1037"/>
      <w:r>
        <w:rPr>
          <w:color w:val="000000"/>
          <w:spacing w:val="0"/>
          <w:w w:val="100"/>
          <w:position w:val="0"/>
          <w:sz w:val="22"/>
          <w:szCs w:val="22"/>
        </w:rPr>
        <w:t>、</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2" w:val="left"/>
        </w:tabs>
        <w:bidi w:val="0"/>
        <w:spacing w:before="0" w:after="260" w:line="271" w:lineRule="auto"/>
        <w:ind w:left="0" w:right="0" w:firstLine="0"/>
        <w:jc w:val="both"/>
        <w:rPr>
          <w:sz w:val="22"/>
          <w:szCs w:val="22"/>
        </w:rPr>
      </w:pPr>
      <w:bookmarkStart w:id="1038" w:name="bookmark1038"/>
      <w:r>
        <w:rPr>
          <w:rFonts w:ascii="Times New Roman" w:eastAsia="Times New Roman" w:hAnsi="Times New Roman" w:cs="Times New Roman"/>
          <w:color w:val="000000"/>
          <w:spacing w:val="0"/>
          <w:w w:val="100"/>
          <w:position w:val="0"/>
          <w:sz w:val="24"/>
          <w:szCs w:val="24"/>
        </w:rPr>
        <w:t>4</w:t>
      </w:r>
      <w:bookmarkEnd w:id="1038"/>
      <w:r>
        <w:rPr>
          <w:color w:val="000000"/>
          <w:spacing w:val="0"/>
          <w:w w:val="100"/>
          <w:position w:val="0"/>
          <w:sz w:val="22"/>
          <w:szCs w:val="22"/>
        </w:rPr>
        <w:t>、</w:t>
        <w:tab/>
        <w:t>应收账款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09"/>
        </w:numPr>
        <w:shd w:val="clear" w:color="auto" w:fill="auto"/>
        <w:bidi w:val="0"/>
        <w:spacing w:before="0" w:after="260" w:line="312" w:lineRule="exact"/>
        <w:ind w:left="0" w:right="0" w:firstLine="720"/>
        <w:jc w:val="both"/>
        <w:rPr>
          <w:sz w:val="22"/>
          <w:szCs w:val="22"/>
        </w:rPr>
      </w:pPr>
      <w:bookmarkStart w:id="1039" w:name="bookmark1039"/>
      <w:bookmarkEnd w:id="1039"/>
      <w:r>
        <w:rPr>
          <w:color w:val="000000"/>
          <w:spacing w:val="0"/>
          <w:w w:val="100"/>
          <w:position w:val="0"/>
          <w:sz w:val="22"/>
          <w:szCs w:val="22"/>
        </w:rPr>
        <w:t>应收账款预期信用损失的评估</w:t>
      </w:r>
    </w:p>
    <w:p>
      <w:pPr>
        <w:pStyle w:val="Style5"/>
        <w:keepNext w:val="0"/>
        <w:keepLines w:val="0"/>
        <w:widowControl w:val="0"/>
        <w:shd w:val="clear" w:color="auto" w:fill="auto"/>
        <w:bidi w:val="0"/>
        <w:spacing w:before="0" w:after="260" w:line="312" w:lineRule="exact"/>
        <w:ind w:left="720" w:right="0" w:firstLine="20"/>
        <w:jc w:val="both"/>
        <w:rPr>
          <w:sz w:val="22"/>
          <w:szCs w:val="22"/>
        </w:rPr>
      </w:pPr>
      <w:r>
        <w:rPr>
          <w:color w:val="000000"/>
          <w:spacing w:val="0"/>
          <w:w w:val="100"/>
          <w:position w:val="0"/>
          <w:sz w:val="22"/>
          <w:szCs w:val="22"/>
        </w:rPr>
        <w:t>本集团按照相当于整个存续期内预期信用损失的金额计量应收账款的减值准备，并以逾期 天数与预期信用损失率对照表为基础计算其预期信用损失。根据本集团的历史经验，不同 细分客户群体发生损失的情况存在较大差异，本集团对客户群体进行恰当的分组。</w:t>
      </w:r>
    </w:p>
    <w:p>
      <w:pPr>
        <w:pStyle w:val="Style5"/>
        <w:keepNext w:val="0"/>
        <w:keepLines w:val="0"/>
        <w:widowControl w:val="0"/>
        <w:shd w:val="clear" w:color="auto" w:fill="auto"/>
        <w:bidi w:val="0"/>
        <w:spacing w:before="0" w:after="0" w:line="310" w:lineRule="exact"/>
        <w:ind w:left="720" w:right="0" w:firstLine="20"/>
        <w:jc w:val="both"/>
        <w:rPr>
          <w:sz w:val="22"/>
          <w:szCs w:val="22"/>
        </w:rPr>
      </w:pPr>
      <w:r>
        <w:rPr>
          <w:color w:val="000000"/>
          <w:spacing w:val="0"/>
          <w:w w:val="100"/>
          <w:position w:val="0"/>
          <w:sz w:val="22"/>
          <w:szCs w:val="22"/>
        </w:rPr>
        <w:t>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年初开始的新型冠状病毒疫情给本集团客户的经营及财务状况带来更多不确定</w:t>
      </w:r>
    </w:p>
    <w:p>
      <w:pPr>
        <w:pStyle w:val="Style5"/>
        <w:keepNext w:val="0"/>
        <w:keepLines w:val="0"/>
        <w:widowControl w:val="0"/>
        <w:shd w:val="clear" w:color="auto" w:fill="auto"/>
        <w:bidi w:val="0"/>
        <w:spacing w:before="0" w:after="260" w:line="310" w:lineRule="exact"/>
        <w:ind w:left="720" w:right="0" w:firstLine="20"/>
        <w:jc w:val="both"/>
        <w:rPr>
          <w:sz w:val="22"/>
          <w:szCs w:val="22"/>
        </w:rPr>
      </w:pPr>
      <w:r>
        <w:rPr>
          <w:color w:val="000000"/>
          <w:spacing w:val="0"/>
          <w:w w:val="100"/>
          <w:position w:val="0"/>
          <w:sz w:val="22"/>
          <w:szCs w:val="22"/>
        </w:rPr>
        <w:t>性，本集团在重新评估预期信用损失时考虑了新型冠状病毒疫情对预期信用损失模型中前 瞻性信息的影响。由于新冠肺炎疫情引发的更大的财务不确定性，持续的疫情可能导致信 用违约率上升的风险更高，本集团增加了政企大客户预期信用损失的风险权重。</w:t>
      </w:r>
    </w:p>
    <w:p>
      <w:pPr>
        <w:pStyle w:val="Style5"/>
        <w:keepNext w:val="0"/>
        <w:keepLines w:val="0"/>
        <w:widowControl w:val="0"/>
        <w:shd w:val="clear" w:color="auto" w:fill="auto"/>
        <w:bidi w:val="0"/>
        <w:spacing w:before="0" w:after="260" w:line="322" w:lineRule="exact"/>
        <w:ind w:left="720" w:right="0" w:firstLine="20"/>
        <w:jc w:val="both"/>
        <w:rPr>
          <w:sz w:val="22"/>
          <w:szCs w:val="22"/>
        </w:rPr>
      </w:pPr>
      <w:r>
        <w:rPr>
          <w:color w:val="000000"/>
          <w:spacing w:val="0"/>
          <w:w w:val="100"/>
          <w:position w:val="0"/>
          <w:sz w:val="22"/>
          <w:szCs w:val="22"/>
        </w:rPr>
        <w:t>下表列示了在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日，本集团除应收境内运营商款、应 收最终控股公司款、以及应收联通集团内其他关联公司款以外的应收账款的信用风险敞口 及预期信用损失的相关信息。</w:t>
      </w:r>
    </w:p>
    <w:p>
      <w:pPr>
        <w:pStyle w:val="Style89"/>
        <w:keepNext w:val="0"/>
        <w:keepLines w:val="0"/>
        <w:widowControl w:val="0"/>
        <w:shd w:val="clear" w:color="auto" w:fill="auto"/>
        <w:bidi w:val="0"/>
        <w:spacing w:before="0" w:after="260" w:line="240" w:lineRule="auto"/>
        <w:ind w:left="0" w:right="0" w:firstLine="720"/>
        <w:jc w:val="both"/>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⑴公众和一般商务用户</w:t>
      </w:r>
    </w:p>
    <w:tbl>
      <w:tblPr>
        <w:tblOverlap w:val="never"/>
        <w:jc w:val="right"/>
        <w:tblLayout w:type="fixed"/>
      </w:tblPr>
      <w:tblGrid>
        <w:gridCol w:w="3053"/>
        <w:gridCol w:w="2736"/>
        <w:gridCol w:w="1982"/>
        <w:gridCol w:w="1632"/>
      </w:tblGrid>
      <w:tr>
        <w:trPr>
          <w:trHeight w:val="76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22"/>
                <w:szCs w:val="22"/>
              </w:rPr>
            </w:pPr>
            <w:r>
              <w:rPr>
                <w:color w:val="000000"/>
                <w:spacing w:val="0"/>
                <w:w w:val="100"/>
                <w:position w:val="0"/>
                <w:sz w:val="22"/>
                <w:szCs w:val="22"/>
                <w:u w:val="single"/>
              </w:rPr>
              <w:t>违约损失率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rPr>
              <w:t>年末账面余额</w:t>
            </w:r>
          </w:p>
        </w:tc>
        <w:tc>
          <w:tcPr>
            <w:tcBorders/>
            <w:shd w:val="clear" w:color="auto" w:fill="FFFFFF"/>
            <w:vAlign w:val="top"/>
          </w:tcPr>
          <w:p>
            <w:pPr>
              <w:pStyle w:val="Style22"/>
              <w:keepNext w:val="0"/>
              <w:keepLines w:val="0"/>
              <w:widowControl w:val="0"/>
              <w:shd w:val="clear" w:color="auto" w:fill="auto"/>
              <w:bidi w:val="0"/>
              <w:spacing w:before="0" w:after="60" w:line="240" w:lineRule="auto"/>
              <w:ind w:left="0" w:right="0" w:firstLine="300"/>
              <w:jc w:val="left"/>
              <w:rPr>
                <w:sz w:val="22"/>
                <w:szCs w:val="22"/>
              </w:rPr>
            </w:pPr>
            <w:r>
              <w:rPr>
                <w:color w:val="000000"/>
                <w:spacing w:val="0"/>
                <w:w w:val="100"/>
                <w:position w:val="0"/>
                <w:sz w:val="22"/>
                <w:szCs w:val="22"/>
              </w:rPr>
              <w:t>年末信用</w:t>
            </w:r>
          </w:p>
          <w:p>
            <w:pPr>
              <w:pStyle w:val="Style2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损失准备</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未逾期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2,718,510,242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162,099,686</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2"/>
                <w:szCs w:val="22"/>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49%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1,154,099,821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563,352,250</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w:t>
            </w:r>
            <w:r>
              <w:rPr>
                <w:rFonts w:ascii="Times New Roman" w:eastAsia="Times New Roman" w:hAnsi="Times New Roman" w:cs="Times New Roman"/>
                <w:color w:val="000000"/>
                <w:spacing w:val="0"/>
                <w:w w:val="100"/>
                <w:position w:val="0"/>
                <w:sz w:val="24"/>
                <w:szCs w:val="24"/>
              </w:rPr>
              <w:t>91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180</w:t>
            </w:r>
            <w:r>
              <w:rPr>
                <w:color w:val="000000"/>
                <w:spacing w:val="0"/>
                <w:w w:val="100"/>
                <w:position w:val="0"/>
                <w:sz w:val="22"/>
                <w:szCs w:val="22"/>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611,291,751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521,716,027</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逾期超过</w:t>
            </w:r>
            <w:r>
              <w:rPr>
                <w:rFonts w:ascii="Times New Roman" w:eastAsia="Times New Roman" w:hAnsi="Times New Roman" w:cs="Times New Roman"/>
                <w:color w:val="000000"/>
                <w:spacing w:val="0"/>
                <w:w w:val="100"/>
                <w:position w:val="0"/>
                <w:sz w:val="24"/>
                <w:szCs w:val="24"/>
              </w:rPr>
              <w:t>180</w:t>
            </w:r>
            <w:r>
              <w:rPr>
                <w:color w:val="000000"/>
                <w:spacing w:val="0"/>
                <w:w w:val="100"/>
                <w:position w:val="0"/>
                <w:sz w:val="22"/>
                <w:szCs w:val="22"/>
              </w:rPr>
              <w:t>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1,984,733,727</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1,984,733,727</w:t>
            </w:r>
          </w:p>
        </w:tc>
      </w:tr>
    </w:tbl>
    <w:p>
      <w:pPr>
        <w:widowControl w:val="0"/>
        <w:spacing w:line="1" w:lineRule="exact"/>
      </w:pPr>
    </w:p>
    <w:tbl>
      <w:tblPr>
        <w:tblOverlap w:val="never"/>
        <w:jc w:val="right"/>
        <w:tblLayout w:type="fixed"/>
      </w:tblPr>
      <w:tblGrid>
        <w:gridCol w:w="2957"/>
        <w:gridCol w:w="2846"/>
        <w:gridCol w:w="1973"/>
        <w:gridCol w:w="1646"/>
      </w:tblGrid>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24"/>
                <w:szCs w:val="24"/>
              </w:rPr>
            </w:pPr>
            <w:r>
              <w:rPr>
                <w:rFonts w:ascii="Times New Roman" w:eastAsia="Times New Roman" w:hAnsi="Times New Roman" w:cs="Times New Roman"/>
                <w:color w:val="000000"/>
                <w:spacing w:val="0"/>
                <w:w w:val="100"/>
                <w:position w:val="0"/>
                <w:sz w:val="24"/>
                <w:szCs w:val="24"/>
                <w:u w:val="single"/>
              </w:rPr>
              <w:t>6,468,635,541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3,231,901,690</w:t>
            </w:r>
          </w:p>
        </w:tc>
      </w:tr>
      <w:tr>
        <w:trPr>
          <w:trHeight w:val="1507" w:hRule="exact"/>
        </w:trPr>
        <w:tc>
          <w:tcPr>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(ii)</w:t>
            </w:r>
            <w:r>
              <w:rPr>
                <w:color w:val="000000"/>
                <w:spacing w:val="0"/>
                <w:w w:val="100"/>
                <w:position w:val="0"/>
                <w:sz w:val="22"/>
                <w:szCs w:val="22"/>
              </w:rPr>
              <w:t>政企大客户</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u w:val="single"/>
              </w:rPr>
              <w:t>违约损失率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年末账面余额</w:t>
            </w:r>
          </w:p>
        </w:tc>
        <w:tc>
          <w:tcPr>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300"/>
              <w:jc w:val="left"/>
              <w:rPr>
                <w:sz w:val="22"/>
                <w:szCs w:val="22"/>
              </w:rPr>
            </w:pPr>
            <w:r>
              <w:rPr>
                <w:color w:val="000000"/>
                <w:spacing w:val="0"/>
                <w:w w:val="100"/>
                <w:position w:val="0"/>
                <w:sz w:val="22"/>
                <w:szCs w:val="22"/>
              </w:rPr>
              <w:t>年末信用</w:t>
            </w:r>
          </w:p>
          <w:p>
            <w:pPr>
              <w:pStyle w:val="Style2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损失准备</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未逾期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8,019,213,486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304,197,428</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28%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7,953,924,390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2,206,543,309</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71%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2,106,806,664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1,500,321,027</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88%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1,132,735,599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1,000,807,324</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1,926,713,307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1,926,713,307</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21,139,393,446</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6,938,582,395</w:t>
            </w:r>
          </w:p>
        </w:tc>
      </w:tr>
    </w:tbl>
    <w:p>
      <w:pPr>
        <w:pStyle w:val="Style97"/>
        <w:keepNext/>
        <w:keepLines/>
        <w:widowControl w:val="0"/>
        <w:shd w:val="clear" w:color="auto" w:fill="auto"/>
        <w:bidi w:val="0"/>
        <w:spacing w:before="0" w:after="40" w:line="240" w:lineRule="auto"/>
        <w:ind w:left="0" w:right="0" w:firstLine="0"/>
        <w:jc w:val="left"/>
      </w:pPr>
      <w:bookmarkStart w:id="1040" w:name="bookmark1040"/>
      <w:bookmarkStart w:id="1041" w:name="bookmark1041"/>
      <w:bookmarkStart w:id="1042" w:name="bookmark1042"/>
      <w:r>
        <w:rPr>
          <w:color w:val="000000"/>
          <w:spacing w:val="0"/>
          <w:w w:val="100"/>
          <w:position w:val="0"/>
        </w:rPr>
        <w:t>财务报表附注</w:t>
      </w:r>
      <w:bookmarkEnd w:id="1040"/>
      <w:bookmarkEnd w:id="1041"/>
      <w:bookmarkEnd w:id="1042"/>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043"/>
      <w:bookmarkEnd w:id="1044"/>
      <w:bookmarkEnd w:id="1045"/>
    </w:p>
    <w:p>
      <w:pPr>
        <w:pStyle w:val="Style97"/>
        <w:keepNext/>
        <w:keepLines/>
        <w:widowControl w:val="0"/>
        <w:shd w:val="clear" w:color="auto" w:fill="auto"/>
        <w:tabs>
          <w:tab w:pos="682" w:val="left"/>
        </w:tabs>
        <w:bidi w:val="0"/>
        <w:spacing w:before="0" w:after="30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五</w:t>
      </w:r>
      <w:bookmarkEnd w:id="1048"/>
      <w:r>
        <w:rPr>
          <w:color w:val="000000"/>
          <w:spacing w:val="0"/>
          <w:w w:val="100"/>
          <w:position w:val="0"/>
        </w:rPr>
        <w:t>、</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046"/>
      <w:bookmarkEnd w:id="1047"/>
      <w:bookmarkEnd w:id="1049"/>
    </w:p>
    <w:p>
      <w:pPr>
        <w:pStyle w:val="Style97"/>
        <w:keepNext/>
        <w:keepLines/>
        <w:widowControl w:val="0"/>
        <w:shd w:val="clear" w:color="auto" w:fill="auto"/>
        <w:tabs>
          <w:tab w:pos="682" w:val="left"/>
        </w:tabs>
        <w:bidi w:val="0"/>
        <w:spacing w:before="0" w:after="30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sz w:val="24"/>
          <w:szCs w:val="24"/>
        </w:rPr>
        <w:t>4</w:t>
      </w:r>
      <w:bookmarkEnd w:id="1052"/>
      <w:r>
        <w:rPr>
          <w:color w:val="000000"/>
          <w:spacing w:val="0"/>
          <w:w w:val="100"/>
          <w:position w:val="0"/>
        </w:rPr>
        <w:t>、</w:t>
        <w:tab/>
        <w:t>应收账款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050"/>
      <w:bookmarkEnd w:id="1051"/>
      <w:bookmarkEnd w:id="1053"/>
    </w:p>
    <w:p>
      <w:pPr>
        <w:pStyle w:val="Style97"/>
        <w:keepNext/>
        <w:keepLines/>
        <w:widowControl w:val="0"/>
        <w:numPr>
          <w:ilvl w:val="0"/>
          <w:numId w:val="111"/>
        </w:numPr>
        <w:shd w:val="clear" w:color="auto" w:fill="auto"/>
        <w:bidi w:val="0"/>
        <w:spacing w:before="0" w:after="300" w:line="240" w:lineRule="auto"/>
        <w:ind w:left="0" w:right="0" w:firstLine="72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应收账款预期信用损失的评估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054"/>
      <w:bookmarkEnd w:id="1055"/>
      <w:bookmarkEnd w:id="1057"/>
    </w:p>
    <w:p>
      <w:pPr>
        <w:pStyle w:val="Style89"/>
        <w:keepNext w:val="0"/>
        <w:keepLines w:val="0"/>
        <w:widowControl w:val="0"/>
        <w:shd w:val="clear" w:color="auto" w:fill="auto"/>
        <w:bidi w:val="0"/>
        <w:spacing w:before="0" w:after="300" w:line="240" w:lineRule="auto"/>
        <w:ind w:left="0" w:right="0" w:firstLine="720"/>
        <w:jc w:val="left"/>
        <w:rPr>
          <w:sz w:val="22"/>
          <w:szCs w:val="22"/>
        </w:rPr>
      </w:pP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97"/>
        <w:keepNext/>
        <w:keepLines/>
        <w:widowControl w:val="0"/>
        <w:shd w:val="clear" w:color="auto" w:fill="auto"/>
        <w:bidi w:val="0"/>
        <w:spacing w:before="0" w:after="300" w:line="240" w:lineRule="auto"/>
        <w:ind w:left="0" w:right="0" w:firstLine="720"/>
        <w:jc w:val="left"/>
      </w:pPr>
      <w:bookmarkStart w:id="1058" w:name="bookmark1058"/>
      <w:bookmarkStart w:id="1059" w:name="bookmark1059"/>
      <w:bookmarkStart w:id="1060" w:name="bookmark1060"/>
      <w:r>
        <w:rPr>
          <w:color w:val="000000"/>
          <w:spacing w:val="0"/>
          <w:w w:val="100"/>
          <w:position w:val="0"/>
        </w:rPr>
        <w:t>⑴公众和一般商务用户</w:t>
      </w:r>
      <w:bookmarkEnd w:id="1058"/>
      <w:bookmarkEnd w:id="1059"/>
      <w:bookmarkEnd w:id="1060"/>
    </w:p>
    <w:p>
      <w:pPr>
        <w:pStyle w:val="Style97"/>
        <w:keepNext/>
        <w:keepLines/>
        <w:widowControl w:val="0"/>
        <w:shd w:val="clear" w:color="auto" w:fill="auto"/>
        <w:bidi w:val="0"/>
        <w:spacing w:before="0" w:after="40" w:line="240" w:lineRule="auto"/>
        <w:ind w:left="0" w:right="0" w:firstLine="0"/>
        <w:jc w:val="center"/>
      </w:pPr>
      <w:bookmarkStart w:id="1061" w:name="bookmark1061"/>
      <w:bookmarkStart w:id="1062" w:name="bookmark1062"/>
      <w:bookmarkStart w:id="1063" w:name="bookmark1063"/>
      <w:r>
        <w:rPr>
          <w:color w:val="000000"/>
          <w:spacing w:val="0"/>
          <w:w w:val="100"/>
          <w:position w:val="0"/>
        </w:rPr>
        <w:t>年末信用</w:t>
      </w:r>
      <w:bookmarkEnd w:id="1061"/>
      <w:bookmarkEnd w:id="1062"/>
      <w:bookmarkEnd w:id="1063"/>
    </w:p>
    <w:p>
      <w:pPr>
        <w:pStyle w:val="Style97"/>
        <w:keepNext/>
        <w:keepLines/>
        <w:widowControl w:val="0"/>
        <w:shd w:val="clear" w:color="auto" w:fill="auto"/>
        <w:tabs>
          <w:tab w:pos="1776" w:val="left"/>
          <w:tab w:pos="3898" w:val="left"/>
        </w:tabs>
        <w:bidi w:val="0"/>
        <w:spacing w:before="0" w:after="300" w:line="240" w:lineRule="auto"/>
        <w:ind w:left="0" w:right="0" w:firstLine="0"/>
        <w:jc w:val="center"/>
      </w:pPr>
      <w:bookmarkStart w:id="1064" w:name="bookmark1064"/>
      <w:bookmarkStart w:id="1065" w:name="bookmark1065"/>
      <w:bookmarkStart w:id="1066" w:name="bookmark1066"/>
      <w:r>
        <w:rPr>
          <w:color w:val="000000"/>
          <w:spacing w:val="0"/>
          <w:w w:val="100"/>
          <w:position w:val="0"/>
          <w:u w:val="single"/>
        </w:rPr>
        <w:t>违约损失率</w:t>
        <w:tab/>
        <w:t>年末账面余额</w:t>
        <w:tab/>
        <w:t>损失准备</w:t>
      </w:r>
      <w:bookmarkEnd w:id="1064"/>
      <w:bookmarkEnd w:id="1065"/>
      <w:bookmarkEnd w:id="1066"/>
    </w:p>
    <w:tbl>
      <w:tblPr>
        <w:tblOverlap w:val="never"/>
        <w:jc w:val="right"/>
        <w:tblLayout w:type="fixed"/>
      </w:tblPr>
      <w:tblGrid>
        <w:gridCol w:w="2957"/>
        <w:gridCol w:w="2674"/>
        <w:gridCol w:w="2102"/>
        <w:gridCol w:w="1690"/>
      </w:tblGrid>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未逾期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2,696,400,122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161,310,814</w:t>
            </w: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2"/>
                <w:szCs w:val="22"/>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50%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1,195,590,210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599,053,139</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w:t>
            </w:r>
            <w:r>
              <w:rPr>
                <w:rFonts w:ascii="Times New Roman" w:eastAsia="Times New Roman" w:hAnsi="Times New Roman" w:cs="Times New Roman"/>
                <w:color w:val="000000"/>
                <w:spacing w:val="0"/>
                <w:w w:val="100"/>
                <w:position w:val="0"/>
                <w:sz w:val="24"/>
                <w:szCs w:val="24"/>
              </w:rPr>
              <w:t>91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180</w:t>
            </w:r>
            <w:r>
              <w:rPr>
                <w:color w:val="000000"/>
                <w:spacing w:val="0"/>
                <w:w w:val="100"/>
                <w:position w:val="0"/>
                <w:sz w:val="22"/>
                <w:szCs w:val="22"/>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90%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710,592,171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636,578,649</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逾期超过</w:t>
            </w:r>
            <w:r>
              <w:rPr>
                <w:rFonts w:ascii="Times New Roman" w:eastAsia="Times New Roman" w:hAnsi="Times New Roman" w:cs="Times New Roman"/>
                <w:color w:val="000000"/>
                <w:spacing w:val="0"/>
                <w:w w:val="100"/>
                <w:position w:val="0"/>
                <w:sz w:val="24"/>
                <w:szCs w:val="24"/>
              </w:rPr>
              <w:t>180</w:t>
            </w:r>
            <w:r>
              <w:rPr>
                <w:color w:val="000000"/>
                <w:spacing w:val="0"/>
                <w:w w:val="100"/>
                <w:position w:val="0"/>
                <w:sz w:val="22"/>
                <w:szCs w:val="22"/>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2,146,665,841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2,146,665,841</w:t>
            </w:r>
          </w:p>
        </w:tc>
      </w:tr>
      <w:tr>
        <w:trPr>
          <w:trHeight w:val="45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6,749,248,344</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3,543,608,443</w:t>
            </w:r>
          </w:p>
        </w:tc>
      </w:tr>
      <w:tr>
        <w:trPr>
          <w:trHeight w:val="1507" w:hRule="exact"/>
        </w:trPr>
        <w:tc>
          <w:tcPr>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(ii)</w:t>
            </w:r>
            <w:r>
              <w:rPr>
                <w:color w:val="000000"/>
                <w:spacing w:val="0"/>
                <w:w w:val="100"/>
                <w:position w:val="0"/>
                <w:sz w:val="22"/>
                <w:szCs w:val="22"/>
              </w:rPr>
              <w:t>政企大客户</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u w:val="single"/>
              </w:rPr>
              <w:t>违约损失率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年末账面余额</w:t>
            </w:r>
          </w:p>
        </w:tc>
        <w:tc>
          <w:tcPr>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300"/>
              <w:jc w:val="left"/>
              <w:rPr>
                <w:sz w:val="22"/>
                <w:szCs w:val="22"/>
              </w:rPr>
            </w:pPr>
            <w:r>
              <w:rPr>
                <w:color w:val="000000"/>
                <w:spacing w:val="0"/>
                <w:w w:val="100"/>
                <w:position w:val="0"/>
                <w:sz w:val="22"/>
                <w:szCs w:val="22"/>
              </w:rPr>
              <w:t>年末信用</w:t>
            </w:r>
          </w:p>
          <w:p>
            <w:pPr>
              <w:pStyle w:val="Style2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损失准备</w:t>
            </w:r>
          </w:p>
        </w:tc>
      </w:tr>
      <w:tr>
        <w:trPr>
          <w:trHeight w:val="4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未逾期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6,147,501,001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311,990,242</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24%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7,898,912,561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1,866,975,258</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68%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2,019,649,952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1,382,411,644</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941,657,822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838,586,609</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逾期超过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1,758,384,318</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1,758,384,318</w:t>
            </w:r>
          </w:p>
        </w:tc>
      </w:tr>
    </w:tbl>
    <w:p>
      <w:pPr>
        <w:pStyle w:val="Style25"/>
        <w:keepNext w:val="0"/>
        <w:keepLines w:val="0"/>
        <w:widowControl w:val="0"/>
        <w:shd w:val="clear" w:color="auto" w:fill="auto"/>
        <w:tabs>
          <w:tab w:pos="5957" w:val="left"/>
          <w:tab w:pos="7944" w:val="left"/>
        </w:tabs>
        <w:bidi w:val="0"/>
        <w:spacing w:before="0" w:after="0" w:line="240" w:lineRule="auto"/>
        <w:ind w:left="0" w:right="0" w:firstLine="0"/>
        <w:jc w:val="left"/>
        <w:rPr>
          <w:sz w:val="24"/>
          <w:szCs w:val="24"/>
        </w:rPr>
      </w:pPr>
      <w:r>
        <w:rPr>
          <w:color w:val="000000"/>
          <w:spacing w:val="0"/>
          <w:w w:val="100"/>
          <w:position w:val="0"/>
          <w:sz w:val="22"/>
          <w:szCs w:val="22"/>
        </w:rPr>
        <w:t>合计</w:t>
        <w:tab/>
      </w:r>
      <w:r>
        <w:rPr>
          <w:rFonts w:ascii="Times New Roman" w:eastAsia="Times New Roman" w:hAnsi="Times New Roman" w:cs="Times New Roman"/>
          <w:color w:val="000000"/>
          <w:spacing w:val="0"/>
          <w:w w:val="100"/>
          <w:position w:val="0"/>
          <w:sz w:val="24"/>
          <w:szCs w:val="24"/>
          <w:u w:val="single"/>
        </w:rPr>
        <w:t>18,766,105,654</w:t>
        <w:tab/>
        <w:t>6,158,348,071</w:t>
      </w:r>
    </w:p>
    <w:p>
      <w:pPr>
        <w:widowControl w:val="0"/>
        <w:spacing w:after="359" w:line="1" w:lineRule="exact"/>
      </w:pPr>
    </w:p>
    <w:p>
      <w:pPr>
        <w:widowControl w:val="0"/>
        <w:spacing w:line="1" w:lineRule="exact"/>
      </w:pPr>
    </w:p>
    <w:p>
      <w:pPr>
        <w:pStyle w:val="Style25"/>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违约损失率基于过去年度的实际信用损失经验计算，并根据历史数据收集期间的经济状 况、当前的经济状况与本集团所认为的预计存续期内的经济状况三者之间的差异进行调</w:t>
      </w:r>
    </w:p>
    <w:tbl>
      <w:tblPr>
        <w:tblOverlap w:val="never"/>
        <w:jc w:val="right"/>
        <w:tblLayout w:type="fixed"/>
      </w:tblPr>
      <w:tblGrid>
        <w:gridCol w:w="5467"/>
        <w:gridCol w:w="2194"/>
        <w:gridCol w:w="1762"/>
      </w:tblGrid>
      <w:tr>
        <w:trPr>
          <w:trHeight w:val="42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86" w:hRule="exact"/>
        </w:trPr>
        <w:tc>
          <w:tcPr>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本年计提、收回或转回的信用损失准备情况：</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6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9,715,714,607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7,375,200,276</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本年计提和转回</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2,564,055,191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5,077,646,310</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本年核销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(2,057,724,896)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(2,737,131,979)</w:t>
            </w:r>
          </w:p>
        </w:tc>
      </w:tr>
      <w:tr>
        <w:trPr>
          <w:trHeight w:val="34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年末余额</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10,222,044,902</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9,715,714,607</w:t>
            </w:r>
          </w:p>
        </w:tc>
      </w:tr>
    </w:tbl>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0" w:val="left"/>
        </w:tabs>
        <w:bidi w:val="0"/>
        <w:spacing w:before="0" w:after="300" w:line="312" w:lineRule="exact"/>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0" w:val="left"/>
        </w:tabs>
        <w:bidi w:val="0"/>
        <w:spacing w:before="0" w:after="240" w:line="271" w:lineRule="auto"/>
        <w:ind w:left="0" w:right="0" w:firstLine="0"/>
        <w:jc w:val="both"/>
        <w:rPr>
          <w:sz w:val="22"/>
          <w:szCs w:val="22"/>
        </w:rPr>
      </w:pPr>
      <w:bookmarkStart w:id="1067" w:name="bookmark1067"/>
      <w:r>
        <w:rPr>
          <w:rFonts w:ascii="Times New Roman" w:eastAsia="Times New Roman" w:hAnsi="Times New Roman" w:cs="Times New Roman"/>
          <w:color w:val="000000"/>
          <w:spacing w:val="0"/>
          <w:w w:val="100"/>
          <w:position w:val="0"/>
          <w:sz w:val="24"/>
          <w:szCs w:val="24"/>
        </w:rPr>
        <w:t>4</w:t>
      </w:r>
      <w:bookmarkEnd w:id="1067"/>
      <w:r>
        <w:rPr>
          <w:color w:val="000000"/>
          <w:spacing w:val="0"/>
          <w:w w:val="100"/>
          <w:position w:val="0"/>
          <w:sz w:val="22"/>
          <w:szCs w:val="22"/>
        </w:rPr>
        <w:t>、</w:t>
        <w:tab/>
        <w:t>应收账款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11"/>
        </w:numPr>
        <w:shd w:val="clear" w:color="auto" w:fill="auto"/>
        <w:tabs>
          <w:tab w:pos="1184" w:val="left"/>
        </w:tabs>
        <w:bidi w:val="0"/>
        <w:spacing w:before="0" w:after="240" w:line="312" w:lineRule="exact"/>
        <w:ind w:left="0" w:right="0" w:firstLine="720"/>
        <w:jc w:val="left"/>
        <w:rPr>
          <w:sz w:val="22"/>
          <w:szCs w:val="22"/>
        </w:rPr>
      </w:pPr>
      <w:bookmarkStart w:id="1068" w:name="bookmark1068"/>
      <w:bookmarkEnd w:id="1068"/>
      <w:r>
        <w:rPr>
          <w:color w:val="000000"/>
          <w:spacing w:val="0"/>
          <w:w w:val="100"/>
          <w:position w:val="0"/>
          <w:sz w:val="22"/>
          <w:szCs w:val="22"/>
        </w:rPr>
        <w:t>本年计提、收回或转回的信用损失准备情况：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40" w:line="307" w:lineRule="exact"/>
        <w:ind w:left="720" w:right="0" w:firstLine="20"/>
        <w:jc w:val="both"/>
        <w:rPr>
          <w:sz w:val="22"/>
          <w:szCs w:val="22"/>
        </w:rPr>
      </w:pPr>
      <w:r>
        <w:rPr>
          <w:color w:val="000000"/>
          <w:spacing w:val="0"/>
          <w:w w:val="100"/>
          <w:position w:val="0"/>
          <w:sz w:val="22"/>
          <w:szCs w:val="22"/>
        </w:rPr>
        <w:t>本集团核销的应收账款主要为应收一般商务及公众用户款项，其个别欠款金额对本集团并 不重大，且预期无法收回。此外，本集团本年核销的应收账款中无应收关联方款项。</w:t>
      </w:r>
    </w:p>
    <w:p>
      <w:pPr>
        <w:pStyle w:val="Style5"/>
        <w:keepNext w:val="0"/>
        <w:keepLines w:val="0"/>
        <w:widowControl w:val="0"/>
        <w:numPr>
          <w:ilvl w:val="0"/>
          <w:numId w:val="111"/>
        </w:numPr>
        <w:shd w:val="clear" w:color="auto" w:fill="auto"/>
        <w:tabs>
          <w:tab w:pos="1184" w:val="left"/>
        </w:tabs>
        <w:bidi w:val="0"/>
        <w:spacing w:before="0" w:after="300" w:line="317" w:lineRule="exact"/>
        <w:ind w:left="720" w:right="0" w:firstLine="20"/>
        <w:jc w:val="both"/>
        <w:rPr>
          <w:sz w:val="22"/>
          <w:szCs w:val="22"/>
        </w:rPr>
      </w:pPr>
      <w:bookmarkStart w:id="1069" w:name="bookmark1069"/>
      <w:bookmarkEnd w:id="1069"/>
      <w:r>
        <w:rPr>
          <w:color w:val="000000"/>
          <w:spacing w:val="0"/>
          <w:w w:val="100"/>
          <w:position w:val="0"/>
          <w:sz w:val="22"/>
          <w:szCs w:val="22"/>
        </w:rPr>
        <w:t>本集团年末余额前五名的应收账款账面余额合计约人民币</w:t>
      </w:r>
      <w:r>
        <w:rPr>
          <w:rFonts w:ascii="Times New Roman" w:eastAsia="Times New Roman" w:hAnsi="Times New Roman" w:cs="Times New Roman"/>
          <w:color w:val="000000"/>
          <w:spacing w:val="0"/>
          <w:w w:val="100"/>
          <w:position w:val="0"/>
          <w:sz w:val="24"/>
          <w:szCs w:val="24"/>
        </w:rPr>
        <w:t>20.81</w:t>
      </w:r>
      <w:r>
        <w:rPr>
          <w:color w:val="000000"/>
          <w:spacing w:val="0"/>
          <w:w w:val="100"/>
          <w:position w:val="0"/>
          <w:sz w:val="22"/>
          <w:szCs w:val="22"/>
        </w:rPr>
        <w:t>亿元，占应收账款年末 账面余额合计数的</w:t>
      </w:r>
      <w:r>
        <w:rPr>
          <w:rFonts w:ascii="Times New Roman" w:eastAsia="Times New Roman" w:hAnsi="Times New Roman" w:cs="Times New Roman"/>
          <w:color w:val="000000"/>
          <w:spacing w:val="0"/>
          <w:w w:val="100"/>
          <w:position w:val="0"/>
          <w:sz w:val="24"/>
          <w:szCs w:val="24"/>
        </w:rPr>
        <w:t>7.04%</w:t>
      </w:r>
      <w:r>
        <w:rPr>
          <w:color w:val="000000"/>
          <w:spacing w:val="0"/>
          <w:w w:val="100"/>
          <w:position w:val="0"/>
          <w:sz w:val="22"/>
          <w:szCs w:val="22"/>
        </w:rPr>
        <w:t>，相应计提的信用损失准备年末余额合计约人民币</w:t>
      </w:r>
      <w:r>
        <w:rPr>
          <w:rFonts w:ascii="Times New Roman" w:eastAsia="Times New Roman" w:hAnsi="Times New Roman" w:cs="Times New Roman"/>
          <w:color w:val="000000"/>
          <w:spacing w:val="0"/>
          <w:w w:val="100"/>
          <w:position w:val="0"/>
          <w:sz w:val="24"/>
          <w:szCs w:val="24"/>
        </w:rPr>
        <w:t>0.55</w:t>
      </w:r>
      <w:r>
        <w:rPr>
          <w:color w:val="000000"/>
          <w:spacing w:val="0"/>
          <w:w w:val="100"/>
          <w:position w:val="0"/>
          <w:sz w:val="22"/>
          <w:szCs w:val="22"/>
        </w:rPr>
        <w:t>亿元。</w:t>
      </w:r>
    </w:p>
    <w:p>
      <w:pPr>
        <w:pStyle w:val="Style5"/>
        <w:keepNext w:val="0"/>
        <w:keepLines w:val="0"/>
        <w:widowControl w:val="0"/>
        <w:shd w:val="clear" w:color="auto" w:fill="auto"/>
        <w:tabs>
          <w:tab w:pos="680" w:val="left"/>
        </w:tabs>
        <w:bidi w:val="0"/>
        <w:spacing w:before="0" w:after="240" w:line="271" w:lineRule="auto"/>
        <w:ind w:left="0" w:right="0" w:firstLine="0"/>
        <w:jc w:val="both"/>
        <w:rPr>
          <w:sz w:val="22"/>
          <w:szCs w:val="22"/>
        </w:rPr>
      </w:pPr>
      <w:bookmarkStart w:id="1070" w:name="bookmark1070"/>
      <w:r>
        <w:rPr>
          <w:rFonts w:ascii="Times New Roman" w:eastAsia="Times New Roman" w:hAnsi="Times New Roman" w:cs="Times New Roman"/>
          <w:color w:val="000000"/>
          <w:spacing w:val="0"/>
          <w:w w:val="100"/>
          <w:position w:val="0"/>
          <w:sz w:val="24"/>
          <w:szCs w:val="24"/>
        </w:rPr>
        <w:t>5</w:t>
      </w:r>
      <w:bookmarkEnd w:id="1070"/>
      <w:r>
        <w:rPr>
          <w:color w:val="000000"/>
          <w:spacing w:val="0"/>
          <w:w w:val="100"/>
          <w:position w:val="0"/>
          <w:sz w:val="22"/>
          <w:szCs w:val="22"/>
        </w:rPr>
        <w:t>、</w:t>
        <w:tab/>
        <w:t>预付款项</w:t>
      </w:r>
    </w:p>
    <w:p>
      <w:pPr>
        <w:pStyle w:val="Style5"/>
        <w:keepNext w:val="0"/>
        <w:keepLines w:val="0"/>
        <w:widowControl w:val="0"/>
        <w:numPr>
          <w:ilvl w:val="0"/>
          <w:numId w:val="113"/>
        </w:numPr>
        <w:shd w:val="clear" w:color="auto" w:fill="auto"/>
        <w:bidi w:val="0"/>
        <w:spacing w:before="0" w:after="300" w:line="312" w:lineRule="exact"/>
        <w:ind w:left="0" w:right="0" w:firstLine="720"/>
        <w:jc w:val="left"/>
        <w:rPr>
          <w:sz w:val="22"/>
          <w:szCs w:val="22"/>
        </w:rPr>
      </w:pPr>
      <w:bookmarkStart w:id="1071" w:name="bookmark1071"/>
      <w:bookmarkEnd w:id="1071"/>
      <w:r>
        <w:rPr>
          <w:color w:val="000000"/>
          <w:spacing w:val="0"/>
          <w:w w:val="100"/>
          <w:position w:val="0"/>
          <w:sz w:val="22"/>
          <w:szCs w:val="22"/>
        </w:rPr>
        <w:t>本集团预付款项账龄分析如下：</w:t>
      </w:r>
    </w:p>
    <w:p>
      <w:pPr>
        <w:pStyle w:val="Style25"/>
        <w:keepNext w:val="0"/>
        <w:keepLines w:val="0"/>
        <w:widowControl w:val="0"/>
        <w:shd w:val="clear" w:color="auto" w:fill="auto"/>
        <w:tabs>
          <w:tab w:pos="3014" w:val="left"/>
        </w:tabs>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bl>
      <w:tblPr>
        <w:tblOverlap w:val="never"/>
        <w:jc w:val="right"/>
        <w:tblLayout w:type="fixed"/>
      </w:tblPr>
      <w:tblGrid>
        <w:gridCol w:w="2731"/>
        <w:gridCol w:w="2525"/>
        <w:gridCol w:w="1267"/>
        <w:gridCol w:w="1752"/>
        <w:gridCol w:w="1133"/>
      </w:tblGrid>
      <w:tr>
        <w:trPr>
          <w:trHeight w:val="46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left"/>
              <w:rPr>
                <w:sz w:val="22"/>
                <w:szCs w:val="22"/>
              </w:rPr>
            </w:pPr>
            <w:r>
              <w:rPr>
                <w:color w:val="000000"/>
                <w:spacing w:val="0"/>
                <w:w w:val="100"/>
                <w:position w:val="0"/>
                <w:sz w:val="22"/>
                <w:szCs w:val="22"/>
                <w:u w:val="single"/>
              </w:rPr>
              <w:t>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20" w:right="0" w:firstLine="0"/>
              <w:jc w:val="center"/>
              <w:rPr>
                <w:sz w:val="24"/>
                <w:szCs w:val="24"/>
              </w:rPr>
            </w:pPr>
            <w:r>
              <w:rPr>
                <w:color w:val="000000"/>
                <w:spacing w:val="0"/>
                <w:w w:val="100"/>
                <w:position w:val="0"/>
                <w:sz w:val="22"/>
                <w:szCs w:val="22"/>
                <w:u w:val="single"/>
              </w:rPr>
              <w:t>比例</w:t>
            </w:r>
            <w:r>
              <w:rPr>
                <w:rFonts w:ascii="Times New Roman" w:eastAsia="Times New Roman" w:hAnsi="Times New Roman" w:cs="Times New Roman"/>
                <w:color w:val="000000"/>
                <w:spacing w:val="0"/>
                <w:w w:val="100"/>
                <w:position w:val="0"/>
                <w:sz w:val="24"/>
                <w:szCs w:val="24"/>
                <w:u w:val="single"/>
              </w:rPr>
              <w:t>(</w:t>
            </w:r>
            <w:r>
              <w:rPr>
                <w:color w:val="000000"/>
                <w:spacing w:val="0"/>
                <w:w w:val="100"/>
                <w:position w:val="0"/>
                <w:sz w:val="24"/>
                <w:szCs w:val="24"/>
                <w:u w:val="single"/>
              </w:rPr>
              <w:t>％</w:t>
            </w:r>
            <w:r>
              <w:rPr>
                <w:rFonts w:ascii="Times New Roman" w:eastAsia="Times New Roman" w:hAnsi="Times New Roman" w:cs="Times New Roman"/>
                <w:color w:val="000000"/>
                <w:spacing w:val="0"/>
                <w:w w:val="100"/>
                <w:position w:val="0"/>
                <w:sz w:val="24"/>
                <w:szCs w:val="24"/>
                <w:u w:val="single"/>
              </w:rPr>
              <w:t>)</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u w:val="single"/>
              </w:rPr>
              <w:t>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比例</w:t>
            </w:r>
            <w:r>
              <w:rPr>
                <w:rFonts w:ascii="Times New Roman" w:eastAsia="Times New Roman" w:hAnsi="Times New Roman" w:cs="Times New Roman"/>
                <w:color w:val="000000"/>
                <w:spacing w:val="0"/>
                <w:w w:val="100"/>
                <w:position w:val="0"/>
                <w:sz w:val="24"/>
                <w:szCs w:val="24"/>
              </w:rPr>
              <w:t>(%)</w:t>
            </w:r>
          </w:p>
        </w:tc>
      </w:tr>
      <w:tr>
        <w:trPr>
          <w:trHeight w:val="4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w:t>
            </w:r>
            <w:r>
              <w:rPr>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24"/>
                <w:szCs w:val="24"/>
              </w:rPr>
            </w:pPr>
            <w:r>
              <w:rPr>
                <w:rFonts w:ascii="Times New Roman" w:eastAsia="Times New Roman" w:hAnsi="Times New Roman" w:cs="Times New Roman"/>
                <w:color w:val="000000"/>
                <w:spacing w:val="0"/>
                <w:w w:val="100"/>
                <w:position w:val="0"/>
                <w:sz w:val="24"/>
                <w:szCs w:val="24"/>
              </w:rPr>
              <w:t>7,054,259,088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93.93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6,291,188,529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93.08</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年</w:t>
            </w:r>
            <w:r>
              <w:rPr>
                <w:color w:val="000000"/>
                <w:spacing w:val="0"/>
                <w:w w:val="100"/>
                <w:position w:val="0"/>
                <w:sz w:val="24"/>
                <w:szCs w:val="24"/>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342,313,077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4.56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364,203,024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5.39</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w:t>
            </w:r>
            <w:r>
              <w:rPr>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71,297,100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60,040,158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0.89</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年以上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42,291,235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43,477,963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0.64</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4"/>
                <w:szCs w:val="24"/>
              </w:rPr>
            </w:pPr>
            <w:r>
              <w:rPr>
                <w:rFonts w:ascii="Times New Roman" w:eastAsia="Times New Roman" w:hAnsi="Times New Roman" w:cs="Times New Roman"/>
                <w:color w:val="000000"/>
                <w:spacing w:val="0"/>
                <w:w w:val="100"/>
                <w:position w:val="0"/>
                <w:sz w:val="24"/>
                <w:szCs w:val="24"/>
              </w:rPr>
              <w:t>7,510,160,500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100.00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6,758,909,674</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100.00</w:t>
            </w:r>
          </w:p>
        </w:tc>
      </w:tr>
    </w:tbl>
    <w:p>
      <w:pPr>
        <w:widowControl w:val="0"/>
        <w:spacing w:after="239" w:line="1" w:lineRule="exact"/>
      </w:pPr>
    </w:p>
    <w:p>
      <w:pPr>
        <w:pStyle w:val="Style5"/>
        <w:keepNext w:val="0"/>
        <w:keepLines w:val="0"/>
        <w:widowControl w:val="0"/>
        <w:shd w:val="clear" w:color="auto" w:fill="auto"/>
        <w:bidi w:val="0"/>
        <w:spacing w:before="0" w:after="240" w:line="317" w:lineRule="exact"/>
        <w:ind w:left="720" w:right="0" w:firstLine="2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年的预付款项约人民币</w:t>
      </w:r>
      <w:r>
        <w:rPr>
          <w:rFonts w:ascii="Times New Roman" w:eastAsia="Times New Roman" w:hAnsi="Times New Roman" w:cs="Times New Roman"/>
          <w:color w:val="000000"/>
          <w:spacing w:val="0"/>
          <w:w w:val="100"/>
          <w:position w:val="0"/>
          <w:sz w:val="24"/>
          <w:szCs w:val="24"/>
        </w:rPr>
        <w:t>4.56</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 约人民币</w:t>
      </w:r>
      <w:r>
        <w:rPr>
          <w:rFonts w:ascii="Times New Roman" w:eastAsia="Times New Roman" w:hAnsi="Times New Roman" w:cs="Times New Roman"/>
          <w:color w:val="000000"/>
          <w:spacing w:val="0"/>
          <w:w w:val="100"/>
          <w:position w:val="0"/>
          <w:sz w:val="24"/>
          <w:szCs w:val="24"/>
        </w:rPr>
        <w:t>4.68</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，主要为合同执行期限超过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年的预付采购款等。</w:t>
      </w:r>
    </w:p>
    <w:p>
      <w:pPr>
        <w:pStyle w:val="Style5"/>
        <w:keepNext w:val="0"/>
        <w:keepLines w:val="0"/>
        <w:widowControl w:val="0"/>
        <w:numPr>
          <w:ilvl w:val="0"/>
          <w:numId w:val="113"/>
        </w:numPr>
        <w:shd w:val="clear" w:color="auto" w:fill="auto"/>
        <w:bidi w:val="0"/>
        <w:spacing w:before="0" w:after="240" w:line="322" w:lineRule="exact"/>
        <w:ind w:left="720" w:right="0" w:firstLine="20"/>
        <w:jc w:val="both"/>
        <w:rPr>
          <w:sz w:val="22"/>
          <w:szCs w:val="22"/>
        </w:rPr>
        <w:sectPr>
          <w:footnotePr>
            <w:pos w:val="pageBottom"/>
            <w:numFmt w:val="decimal"/>
            <w:numRestart w:val="continuous"/>
          </w:footnotePr>
          <w:pgSz w:w="11900" w:h="16840"/>
          <w:pgMar w:top="1571" w:right="765" w:bottom="773" w:left="979" w:header="0" w:footer="3" w:gutter="0"/>
          <w:cols w:space="720"/>
          <w:noEndnote/>
          <w:rtlGutter w:val="0"/>
          <w:docGrid w:linePitch="360"/>
        </w:sectPr>
      </w:pPr>
      <w:bookmarkStart w:id="1072" w:name="bookmark1072"/>
      <w:bookmarkEnd w:id="1072"/>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日，本集团年末余额前五名的预付款项合计约人民币</w:t>
      </w:r>
      <w:r>
        <w:rPr>
          <w:rFonts w:ascii="Times New Roman" w:eastAsia="Times New Roman" w:hAnsi="Times New Roman" w:cs="Times New Roman"/>
          <w:color w:val="000000"/>
          <w:spacing w:val="0"/>
          <w:w w:val="100"/>
          <w:position w:val="0"/>
          <w:sz w:val="24"/>
          <w:szCs w:val="24"/>
        </w:rPr>
        <w:t>5.19</w:t>
      </w:r>
      <w:r>
        <w:rPr>
          <w:color w:val="000000"/>
          <w:spacing w:val="0"/>
          <w:w w:val="100"/>
          <w:position w:val="0"/>
          <w:sz w:val="22"/>
          <w:szCs w:val="22"/>
        </w:rPr>
        <w:t>亿元，占 预付款项年末余额合计数的</w:t>
      </w:r>
      <w:r>
        <w:rPr>
          <w:rFonts w:ascii="Times New Roman" w:eastAsia="Times New Roman" w:hAnsi="Times New Roman" w:cs="Times New Roman"/>
          <w:color w:val="000000"/>
          <w:spacing w:val="0"/>
          <w:w w:val="100"/>
          <w:position w:val="0"/>
          <w:sz w:val="24"/>
          <w:szCs w:val="24"/>
        </w:rPr>
        <w:t>6.91%</w:t>
      </w:r>
      <w:r>
        <w:rPr>
          <w:color w:val="000000"/>
          <w:spacing w:val="0"/>
          <w:w w:val="100"/>
          <w:position w:val="0"/>
          <w:sz w:val="22"/>
          <w:szCs w:val="22"/>
        </w:rPr>
        <w:t>。</w:t>
      </w:r>
    </w:p>
    <w:p>
      <w:pPr>
        <w:pStyle w:val="Style97"/>
        <w:keepNext/>
        <w:keepLines/>
        <w:widowControl w:val="0"/>
        <w:shd w:val="clear" w:color="auto" w:fill="auto"/>
        <w:bidi w:val="0"/>
        <w:spacing w:before="0" w:after="40" w:line="240" w:lineRule="auto"/>
        <w:ind w:left="0" w:right="0" w:hanging="720"/>
        <w:jc w:val="left"/>
      </w:pPr>
      <w:bookmarkStart w:id="1073" w:name="bookmark1073"/>
      <w:bookmarkStart w:id="1074" w:name="bookmark1074"/>
      <w:bookmarkStart w:id="1075" w:name="bookmark1075"/>
      <w:r>
        <w:rPr>
          <w:color w:val="000000"/>
          <w:spacing w:val="0"/>
          <w:w w:val="100"/>
          <w:position w:val="0"/>
        </w:rPr>
        <w:t>财务报表附注</w:t>
      </w:r>
      <w:bookmarkEnd w:id="1073"/>
      <w:bookmarkEnd w:id="1074"/>
      <w:bookmarkEnd w:id="1075"/>
    </w:p>
    <w:p>
      <w:pPr>
        <w:pStyle w:val="Style89"/>
        <w:keepNext w:val="0"/>
        <w:keepLines w:val="0"/>
        <w:widowControl w:val="0"/>
        <w:pBdr>
          <w:bottom w:val="single" w:sz="4" w:space="0" w:color="auto"/>
        </w:pBdr>
        <w:shd w:val="clear" w:color="auto" w:fill="auto"/>
        <w:bidi w:val="0"/>
        <w:spacing w:before="0" w:line="240" w:lineRule="auto"/>
        <w:ind w:left="0" w:right="0" w:hanging="72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hanging="720"/>
        <w:jc w:val="left"/>
        <w:rPr>
          <w:sz w:val="24"/>
          <w:szCs w:val="24"/>
        </w:rPr>
      </w:pPr>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076"/>
      <w:bookmarkEnd w:id="1077"/>
      <w:bookmarkEnd w:id="1078"/>
    </w:p>
    <w:p>
      <w:pPr>
        <w:pStyle w:val="Style97"/>
        <w:keepNext/>
        <w:keepLines/>
        <w:widowControl w:val="0"/>
        <w:shd w:val="clear" w:color="auto" w:fill="auto"/>
        <w:tabs>
          <w:tab w:pos="-22" w:val="left"/>
        </w:tabs>
        <w:bidi w:val="0"/>
        <w:spacing w:before="0" w:after="300" w:line="240" w:lineRule="auto"/>
        <w:ind w:left="0" w:right="0" w:hanging="720"/>
        <w:jc w:val="left"/>
      </w:pPr>
      <w:bookmarkStart w:id="1079" w:name="bookmark1079"/>
      <w:bookmarkStart w:id="1080" w:name="bookmark1080"/>
      <w:bookmarkStart w:id="1081" w:name="bookmark1081"/>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079"/>
      <w:bookmarkEnd w:id="1080"/>
      <w:bookmarkEnd w:id="1081"/>
    </w:p>
    <w:p>
      <w:pPr>
        <w:pStyle w:val="Style97"/>
        <w:keepNext/>
        <w:keepLines/>
        <w:widowControl w:val="0"/>
        <w:shd w:val="clear" w:color="auto" w:fill="auto"/>
        <w:tabs>
          <w:tab w:pos="-22" w:val="left"/>
        </w:tabs>
        <w:bidi w:val="0"/>
        <w:spacing w:before="0" w:after="300" w:line="240" w:lineRule="auto"/>
        <w:ind w:left="0" w:right="0" w:hanging="72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sz w:val="24"/>
          <w:szCs w:val="24"/>
        </w:rPr>
        <w:t>6</w:t>
      </w:r>
      <w:bookmarkEnd w:id="1084"/>
      <w:r>
        <w:rPr>
          <w:color w:val="000000"/>
          <w:spacing w:val="0"/>
          <w:w w:val="100"/>
          <w:position w:val="0"/>
        </w:rPr>
        <w:t>、</w:t>
        <w:tab/>
        <w:t>其他应收款</w:t>
      </w:r>
      <w:bookmarkEnd w:id="1082"/>
      <w:bookmarkEnd w:id="1083"/>
      <w:bookmarkEnd w:id="1085"/>
    </w:p>
    <w:p>
      <w:pPr>
        <w:pStyle w:val="Style97"/>
        <w:keepNext/>
        <w:keepLines/>
        <w:widowControl w:val="0"/>
        <w:numPr>
          <w:ilvl w:val="0"/>
          <w:numId w:val="115"/>
        </w:numPr>
        <w:shd w:val="clear" w:color="auto" w:fill="auto"/>
        <w:bidi w:val="0"/>
        <w:spacing w:before="0" w:after="30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按类别分析如下:</w:t>
      </w:r>
      <w:bookmarkEnd w:id="1086"/>
      <w:bookmarkEnd w:id="1087"/>
      <w:bookmarkEnd w:id="1089"/>
    </w:p>
    <w:p>
      <w:pPr>
        <w:pStyle w:val="Style89"/>
        <w:keepNext w:val="0"/>
        <w:keepLines w:val="0"/>
        <w:widowControl w:val="0"/>
        <w:shd w:val="clear" w:color="auto" w:fill="auto"/>
        <w:tabs>
          <w:tab w:pos="1915" w:val="left"/>
        </w:tabs>
        <w:bidi w:val="0"/>
        <w:spacing w:before="0" w:line="240" w:lineRule="auto"/>
        <w:ind w:left="0" w:right="520" w:firstLine="0"/>
        <w:jc w:val="right"/>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tab/>
      </w: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25"/>
        <w:keepNext w:val="0"/>
        <w:keepLines w:val="0"/>
        <w:widowControl w:val="0"/>
        <w:shd w:val="clear" w:color="auto" w:fill="auto"/>
        <w:tabs>
          <w:tab w:pos="1915" w:val="left"/>
        </w:tabs>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tab/>
      </w: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bl>
      <w:tblPr>
        <w:tblOverlap w:val="never"/>
        <w:jc w:val="center"/>
        <w:tblLayout w:type="fixed"/>
      </w:tblPr>
      <w:tblGrid>
        <w:gridCol w:w="5611"/>
        <w:gridCol w:w="2088"/>
        <w:gridCol w:w="1704"/>
      </w:tblGrid>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备用金及垫付款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757,915,104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593,882,617</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暂付押金、保证金等</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1,700,828,017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1,923,256,463</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应收中国铁塔股份有限公司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铁塔公司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相关款项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30,903,612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45,087,242</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1,423,372,394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1,513,177,168</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3,913,019,127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4,075,403,490</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减:信用损失准备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668,560,282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671,911,142</w:t>
            </w:r>
          </w:p>
        </w:tc>
      </w:tr>
      <w:tr>
        <w:trPr>
          <w:trHeight w:val="35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其他应收款净额合计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3,244,458,845</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3,403,492,348</w:t>
            </w:r>
          </w:p>
        </w:tc>
      </w:tr>
    </w:tbl>
    <w:p>
      <w:pPr>
        <w:pStyle w:val="Style25"/>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1900" w:h="16840"/>
          <w:pgMar w:top="1599" w:right="771" w:bottom="3749" w:left="17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按账龄分析如下:</w:t>
      </w:r>
    </w:p>
    <w:p>
      <w:pPr>
        <w:widowControl w:val="0"/>
        <w:spacing w:line="214" w:lineRule="exact"/>
        <w:rPr>
          <w:sz w:val="17"/>
          <w:szCs w:val="17"/>
        </w:rPr>
      </w:pPr>
    </w:p>
    <w:p>
      <w:pPr>
        <w:widowControl w:val="0"/>
        <w:spacing w:line="1" w:lineRule="exact"/>
        <w:sectPr>
          <w:footnotePr>
            <w:pos w:val="pageBottom"/>
            <w:numFmt w:val="decimal"/>
            <w:numRestart w:val="continuous"/>
          </w:footnotePr>
          <w:type w:val="continuous"/>
          <w:pgSz w:w="11900" w:h="16840"/>
          <w:pgMar w:top="1599" w:right="0" w:bottom="1599" w:left="0" w:header="0" w:footer="3" w:gutter="0"/>
          <w:cols w:space="720"/>
          <w:noEndnote/>
          <w:rtlGutter w:val="0"/>
          <w:docGrid w:linePitch="360"/>
        </w:sectPr>
      </w:pPr>
    </w:p>
    <w:p>
      <w:pPr>
        <w:pStyle w:val="Style97"/>
        <w:keepNext/>
        <w:keepLines/>
        <w:widowControl w:val="0"/>
        <w:shd w:val="clear" w:color="auto" w:fill="auto"/>
        <w:bidi w:val="0"/>
        <w:spacing w:before="0" w:after="40" w:line="240" w:lineRule="auto"/>
        <w:ind w:left="0" w:right="0" w:firstLine="0"/>
        <w:jc w:val="left"/>
      </w:pPr>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年以内</w:t>
      </w:r>
      <w:bookmarkEnd w:id="1090"/>
      <w:bookmarkEnd w:id="1091"/>
      <w:bookmarkEnd w:id="1092"/>
    </w:p>
    <w:p>
      <w:pPr>
        <w:pStyle w:val="Style19"/>
        <w:keepNext w:val="0"/>
        <w:keepLines w:val="0"/>
        <w:widowControl w:val="0"/>
        <w:numPr>
          <w:ilvl w:val="0"/>
          <w:numId w:val="117"/>
        </w:numPr>
        <w:shd w:val="clear" w:color="auto" w:fill="auto"/>
        <w:tabs>
          <w:tab w:pos="363" w:val="left"/>
        </w:tabs>
        <w:bidi w:val="0"/>
        <w:spacing w:before="0" w:after="40" w:line="240" w:lineRule="auto"/>
        <w:ind w:left="0" w:right="0" w:firstLine="0"/>
        <w:jc w:val="left"/>
        <w:rPr>
          <w:sz w:val="22"/>
          <w:szCs w:val="22"/>
        </w:rPr>
      </w:pPr>
      <w:r>
        <w:fldChar w:fldCharType="begin"/>
        <w:instrText xml:space="preserve"> TOC \o "1-5" \h \z </w:instrText>
        <w:fldChar w:fldCharType="separate"/>
      </w:r>
      <w:bookmarkStart w:id="1093" w:name="bookmark1093"/>
      <w:bookmarkEnd w:id="1093"/>
      <w:r>
        <w:rPr>
          <w:rFonts w:ascii="Times New Roman" w:eastAsia="Times New Roman" w:hAnsi="Times New Roman" w:cs="Times New Roman"/>
          <w:b w:val="0"/>
          <w:bCs w:val="0"/>
          <w:color w:val="000000"/>
          <w:spacing w:val="0"/>
          <w:w w:val="100"/>
          <w:position w:val="0"/>
          <w:sz w:val="24"/>
          <w:szCs w:val="24"/>
        </w:rPr>
        <w:t xml:space="preserve">2 </w:t>
      </w:r>
      <w:r>
        <w:rPr>
          <w:b w:val="0"/>
          <w:bCs w:val="0"/>
          <w:color w:val="000000"/>
          <w:spacing w:val="0"/>
          <w:w w:val="100"/>
          <w:position w:val="0"/>
          <w:sz w:val="22"/>
          <w:szCs w:val="22"/>
        </w:rPr>
        <w:t>年</w:t>
      </w:r>
    </w:p>
    <w:p>
      <w:pPr>
        <w:pStyle w:val="Style19"/>
        <w:keepNext w:val="0"/>
        <w:keepLines w:val="0"/>
        <w:widowControl w:val="0"/>
        <w:numPr>
          <w:ilvl w:val="0"/>
          <w:numId w:val="117"/>
        </w:numPr>
        <w:shd w:val="clear" w:color="auto" w:fill="auto"/>
        <w:tabs>
          <w:tab w:pos="387" w:val="left"/>
        </w:tabs>
        <w:bidi w:val="0"/>
        <w:spacing w:before="0" w:after="40" w:line="240" w:lineRule="auto"/>
        <w:ind w:left="0" w:right="0" w:firstLine="0"/>
        <w:jc w:val="left"/>
        <w:rPr>
          <w:sz w:val="22"/>
          <w:szCs w:val="22"/>
        </w:rPr>
      </w:pPr>
      <w:bookmarkStart w:id="1094" w:name="bookmark1094"/>
      <w:bookmarkEnd w:id="1094"/>
      <w:r>
        <w:rPr>
          <w:rFonts w:ascii="Times New Roman" w:eastAsia="Times New Roman" w:hAnsi="Times New Roman" w:cs="Times New Roman"/>
          <w:b w:val="0"/>
          <w:bCs w:val="0"/>
          <w:color w:val="000000"/>
          <w:spacing w:val="0"/>
          <w:w w:val="100"/>
          <w:position w:val="0"/>
          <w:sz w:val="24"/>
          <w:szCs w:val="24"/>
        </w:rPr>
        <w:t xml:space="preserve">3 </w:t>
      </w:r>
      <w:r>
        <w:rPr>
          <w:b w:val="0"/>
          <w:bCs w:val="0"/>
          <w:color w:val="000000"/>
          <w:spacing w:val="0"/>
          <w:w w:val="100"/>
          <w:position w:val="0"/>
          <w:sz w:val="22"/>
          <w:szCs w:val="22"/>
        </w:rPr>
        <w:t>年</w:t>
      </w:r>
    </w:p>
    <w:p>
      <w:pPr>
        <w:pStyle w:val="Style19"/>
        <w:keepNext w:val="0"/>
        <w:keepLines w:val="0"/>
        <w:widowControl w:val="0"/>
        <w:numPr>
          <w:ilvl w:val="0"/>
          <w:numId w:val="117"/>
        </w:numPr>
        <w:shd w:val="clear" w:color="auto" w:fill="auto"/>
        <w:tabs>
          <w:tab w:pos="387" w:val="left"/>
        </w:tabs>
        <w:bidi w:val="0"/>
        <w:spacing w:before="0" w:after="40" w:line="240" w:lineRule="auto"/>
        <w:ind w:left="0" w:right="0" w:firstLine="0"/>
        <w:jc w:val="left"/>
        <w:rPr>
          <w:sz w:val="22"/>
          <w:szCs w:val="22"/>
        </w:rPr>
      </w:pPr>
      <w:bookmarkStart w:id="1095" w:name="bookmark1095"/>
      <w:bookmarkEnd w:id="1095"/>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2"/>
          <w:szCs w:val="22"/>
        </w:rPr>
        <w:t>年</w:t>
      </w:r>
    </w:p>
    <w:p>
      <w:pPr>
        <w:pStyle w:val="Style19"/>
        <w:keepNext w:val="0"/>
        <w:keepLines w:val="0"/>
        <w:widowControl w:val="0"/>
        <w:numPr>
          <w:ilvl w:val="0"/>
          <w:numId w:val="117"/>
        </w:numPr>
        <w:shd w:val="clear" w:color="auto" w:fill="auto"/>
        <w:tabs>
          <w:tab w:pos="387" w:val="left"/>
        </w:tabs>
        <w:bidi w:val="0"/>
        <w:spacing w:before="0" w:after="40" w:line="240" w:lineRule="auto"/>
        <w:ind w:left="0" w:right="0" w:firstLine="0"/>
        <w:jc w:val="left"/>
        <w:rPr>
          <w:sz w:val="22"/>
          <w:szCs w:val="22"/>
        </w:rPr>
      </w:pPr>
      <w:bookmarkStart w:id="1096" w:name="bookmark1096"/>
      <w:bookmarkEnd w:id="1096"/>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2"/>
          <w:szCs w:val="22"/>
        </w:rPr>
        <w:t>年</w:t>
      </w:r>
      <w:r>
        <w:fldChar w:fldCharType="end"/>
      </w:r>
    </w:p>
    <w:p>
      <w:pPr>
        <w:pStyle w:val="Style97"/>
        <w:keepNext/>
        <w:keepLines/>
        <w:widowControl w:val="0"/>
        <w:shd w:val="clear" w:color="auto" w:fill="auto"/>
        <w:bidi w:val="0"/>
        <w:spacing w:before="0" w:after="40" w:line="240" w:lineRule="auto"/>
        <w:ind w:left="0" w:right="0" w:firstLine="0"/>
        <w:jc w:val="left"/>
      </w:pPr>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年以上</w:t>
      </w:r>
      <w:bookmarkEnd w:id="1097"/>
      <w:bookmarkEnd w:id="1098"/>
      <w:bookmarkEnd w:id="1099"/>
    </w:p>
    <w:p>
      <w:pPr>
        <w:pStyle w:val="Style97"/>
        <w:keepNext/>
        <w:keepLines/>
        <w:widowControl w:val="0"/>
        <w:shd w:val="clear" w:color="auto" w:fill="auto"/>
        <w:bidi w:val="0"/>
        <w:spacing w:before="0" w:after="40" w:line="240" w:lineRule="auto"/>
        <w:ind w:left="0" w:right="0" w:firstLine="0"/>
        <w:jc w:val="left"/>
      </w:pPr>
      <w:bookmarkStart w:id="1100" w:name="bookmark1100"/>
      <w:bookmarkStart w:id="1101" w:name="bookmark1101"/>
      <w:bookmarkStart w:id="1102" w:name="bookmark1102"/>
      <w:r>
        <w:rPr>
          <w:color w:val="000000"/>
          <w:spacing w:val="0"/>
          <w:w w:val="100"/>
          <w:position w:val="0"/>
        </w:rPr>
        <w:t>小计</w:t>
      </w:r>
      <w:bookmarkEnd w:id="1100"/>
      <w:bookmarkEnd w:id="1101"/>
      <w:bookmarkEnd w:id="1102"/>
    </w:p>
    <w:p>
      <w:pPr>
        <w:pStyle w:val="Style97"/>
        <w:keepNext/>
        <w:keepLines/>
        <w:widowControl w:val="0"/>
        <w:shd w:val="clear" w:color="auto" w:fill="auto"/>
        <w:bidi w:val="0"/>
        <w:spacing w:before="0" w:after="40" w:line="240" w:lineRule="auto"/>
        <w:ind w:left="0" w:right="0" w:firstLine="0"/>
        <w:jc w:val="left"/>
      </w:pPr>
      <w:bookmarkStart w:id="1103" w:name="bookmark1103"/>
      <w:bookmarkStart w:id="1104" w:name="bookmark1104"/>
      <w:bookmarkStart w:id="1105" w:name="bookmark1105"/>
      <w:r>
        <w:rPr>
          <w:color w:val="000000"/>
          <w:spacing w:val="0"/>
          <w:w w:val="100"/>
          <w:position w:val="0"/>
        </w:rPr>
        <w:t>减：信用损失准备</w:t>
      </w:r>
      <w:bookmarkEnd w:id="1103"/>
      <w:bookmarkEnd w:id="1104"/>
      <w:bookmarkEnd w:id="1105"/>
    </w:p>
    <w:p>
      <w:pPr>
        <w:pStyle w:val="Style97"/>
        <w:keepNext/>
        <w:keepLines/>
        <w:widowControl w:val="0"/>
        <w:shd w:val="clear" w:color="auto" w:fill="auto"/>
        <w:bidi w:val="0"/>
        <w:spacing w:before="0" w:after="320" w:line="240" w:lineRule="auto"/>
        <w:ind w:left="0" w:right="0" w:firstLine="0"/>
        <w:jc w:val="left"/>
      </w:pPr>
      <w:bookmarkStart w:id="1106" w:name="bookmark1106"/>
      <w:bookmarkStart w:id="1107" w:name="bookmark1107"/>
      <w:bookmarkStart w:id="1108" w:name="bookmark1108"/>
      <w:r>
        <w:rPr>
          <w:color w:val="000000"/>
          <w:spacing w:val="0"/>
          <w:w w:val="100"/>
          <w:position w:val="0"/>
        </w:rPr>
        <w:t>合计</w:t>
      </w:r>
      <w:bookmarkEnd w:id="1106"/>
      <w:bookmarkEnd w:id="1107"/>
      <w:bookmarkEnd w:id="1108"/>
    </w:p>
    <w:p>
      <w:pPr>
        <w:pStyle w:val="Style97"/>
        <w:keepNext/>
        <w:keepLines/>
        <w:widowControl w:val="0"/>
        <w:shd w:val="clear" w:color="auto" w:fill="auto"/>
        <w:bidi w:val="0"/>
        <w:spacing w:before="0" w:after="40" w:line="240" w:lineRule="auto"/>
        <w:ind w:left="0" w:right="0" w:firstLine="0"/>
        <w:jc w:val="left"/>
      </w:pPr>
      <w:bookmarkStart w:id="1109" w:name="bookmark1109"/>
      <w:bookmarkStart w:id="1110" w:name="bookmark1110"/>
      <w:bookmarkStart w:id="1111" w:name="bookmark1111"/>
      <w:r>
        <w:rPr>
          <w:color w:val="000000"/>
          <w:spacing w:val="0"/>
          <w:w w:val="100"/>
          <w:position w:val="0"/>
        </w:rPr>
        <w:t>账龄自其他应收款确认日起开始计算。</w:t>
      </w:r>
      <w:bookmarkEnd w:id="1109"/>
      <w:bookmarkEnd w:id="1110"/>
      <w:bookmarkEnd w:id="1111"/>
    </w:p>
    <w:tbl>
      <w:tblPr>
        <w:tblOverlap w:val="never"/>
        <w:jc w:val="center"/>
        <w:tblLayout w:type="fixed"/>
      </w:tblPr>
      <w:tblGrid>
        <w:gridCol w:w="2035"/>
        <w:gridCol w:w="1709"/>
      </w:tblGrid>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6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6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3,380,345,113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3,476,861,760</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205,620,716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240,965,063</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60,958,285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58,930,361</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51,917,894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6,817,613</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5,326,838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28,842,268</w:t>
            </w:r>
          </w:p>
        </w:tc>
      </w:tr>
      <w:tr>
        <w:trPr>
          <w:trHeight w:val="322"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208,850,281</w:t>
            </w:r>
          </w:p>
        </w:tc>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262,986,425</w:t>
            </w:r>
          </w:p>
        </w:tc>
      </w:tr>
    </w:tbl>
    <w:p>
      <w:pPr>
        <w:pStyle w:val="Style25"/>
        <w:keepNext w:val="0"/>
        <w:keepLines w:val="0"/>
        <w:widowControl w:val="0"/>
        <w:shd w:val="clear" w:color="auto" w:fill="auto"/>
        <w:tabs>
          <w:tab w:pos="3600" w:val="right"/>
        </w:tabs>
        <w:bidi w:val="0"/>
        <w:spacing w:before="0" w:after="0" w:line="240" w:lineRule="auto"/>
        <w:ind w:left="317" w:right="0" w:firstLine="0"/>
        <w:jc w:val="left"/>
        <w:rPr>
          <w:sz w:val="24"/>
          <w:szCs w:val="24"/>
        </w:rPr>
      </w:pPr>
      <w:r>
        <w:rPr>
          <w:rFonts w:ascii="Times New Roman" w:eastAsia="Times New Roman" w:hAnsi="Times New Roman" w:cs="Times New Roman"/>
          <w:color w:val="000000"/>
          <w:spacing w:val="0"/>
          <w:w w:val="100"/>
          <w:position w:val="0"/>
          <w:sz w:val="24"/>
          <w:szCs w:val="24"/>
        </w:rPr>
        <w:t>3,913,019,127</w:t>
        <w:tab/>
        <w:t>4,075,403,490</w:t>
      </w:r>
    </w:p>
    <w:p>
      <w:pPr>
        <w:pStyle w:val="Style25"/>
        <w:keepNext w:val="0"/>
        <w:keepLines w:val="0"/>
        <w:widowControl w:val="0"/>
        <w:shd w:val="clear" w:color="auto" w:fill="auto"/>
        <w:tabs>
          <w:tab w:pos="3106" w:val="right"/>
        </w:tabs>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u w:val="single"/>
        </w:rPr>
        <w:t>668,560,282</w:t>
        <w:tab/>
        <w:t>671,911,142</w:t>
      </w:r>
    </w:p>
    <w:p>
      <w:pPr>
        <w:pStyle w:val="Style25"/>
        <w:keepNext w:val="0"/>
        <w:keepLines w:val="0"/>
        <w:widowControl w:val="0"/>
        <w:shd w:val="clear" w:color="auto" w:fill="auto"/>
        <w:tabs>
          <w:tab w:pos="3595" w:val="right"/>
        </w:tabs>
        <w:bidi w:val="0"/>
        <w:spacing w:before="0" w:after="0" w:line="240" w:lineRule="auto"/>
        <w:ind w:left="317" w:right="0" w:firstLine="0"/>
        <w:jc w:val="left"/>
        <w:rPr>
          <w:sz w:val="24"/>
          <w:szCs w:val="24"/>
        </w:rPr>
        <w:sectPr>
          <w:footnotePr>
            <w:pos w:val="pageBottom"/>
            <w:numFmt w:val="decimal"/>
            <w:numRestart w:val="continuous"/>
          </w:footnotePr>
          <w:type w:val="continuous"/>
          <w:pgSz w:w="11900" w:h="16840"/>
          <w:pgMar w:top="1599" w:right="771" w:bottom="1599" w:left="1711" w:header="0" w:footer="3" w:gutter="0"/>
          <w:cols w:num="2" w:space="1501"/>
          <w:noEndnote/>
          <w:rtlGutter w:val="0"/>
          <w:docGrid w:linePitch="360"/>
        </w:sectPr>
      </w:pPr>
      <w:r>
        <w:rPr>
          <w:rFonts w:ascii="Times New Roman" w:eastAsia="Times New Roman" w:hAnsi="Times New Roman" w:cs="Times New Roman"/>
          <w:color w:val="000000"/>
          <w:spacing w:val="0"/>
          <w:w w:val="100"/>
          <w:position w:val="0"/>
          <w:sz w:val="24"/>
          <w:szCs w:val="24"/>
          <w:u w:val="single"/>
        </w:rPr>
        <w:t>3,244,458,845</w:t>
        <w:tab/>
        <w:t>3,403,492,348</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6840" w:h="11900" w:orient="landscape"/>
          <w:pgMar w:top="1082" w:right="572" w:bottom="785" w:left="841" w:header="0" w:footer="3" w:gutter="0"/>
          <w:cols w:space="720"/>
          <w:noEndnote/>
          <w:rtlGutter w:val="0"/>
          <w:docGrid w:linePitch="360"/>
        </w:sectPr>
      </w:pPr>
    </w:p>
    <w:p>
      <w:pPr>
        <w:pStyle w:val="Style97"/>
        <w:keepNext/>
        <w:keepLines/>
        <w:framePr w:w="4046" w:h="936" w:wrap="none" w:vAnchor="text" w:hAnchor="page" w:x="842" w:y="21"/>
        <w:widowControl w:val="0"/>
        <w:shd w:val="clear" w:color="auto" w:fill="auto"/>
        <w:bidi w:val="0"/>
        <w:spacing w:before="0" w:after="40" w:line="240" w:lineRule="auto"/>
        <w:ind w:left="0" w:right="0" w:firstLine="0"/>
        <w:jc w:val="left"/>
      </w:pPr>
      <w:bookmarkStart w:id="1112" w:name="bookmark1112"/>
      <w:bookmarkStart w:id="1113" w:name="bookmark1113"/>
      <w:bookmarkStart w:id="1114" w:name="bookmark1114"/>
      <w:r>
        <w:rPr>
          <w:color w:val="000000"/>
          <w:spacing w:val="0"/>
          <w:w w:val="100"/>
          <w:position w:val="0"/>
        </w:rPr>
        <w:t>财务报表附注</w:t>
      </w:r>
      <w:bookmarkEnd w:id="1112"/>
      <w:bookmarkEnd w:id="1113"/>
      <w:bookmarkEnd w:id="1114"/>
    </w:p>
    <w:p>
      <w:pPr>
        <w:pStyle w:val="Style89"/>
        <w:keepNext w:val="0"/>
        <w:keepLines w:val="0"/>
        <w:framePr w:w="4046" w:h="936" w:wrap="none" w:vAnchor="text" w:hAnchor="page" w:x="842" w:y="21"/>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framePr w:w="4046" w:h="936" w:wrap="none" w:vAnchor="text" w:hAnchor="page" w:x="842" w:y="21"/>
        <w:widowControl w:val="0"/>
        <w:shd w:val="clear" w:color="auto" w:fill="auto"/>
        <w:bidi w:val="0"/>
        <w:spacing w:before="0" w:after="40" w:line="240" w:lineRule="auto"/>
        <w:ind w:left="0" w:right="0" w:firstLine="0"/>
        <w:jc w:val="left"/>
        <w:rPr>
          <w:sz w:val="24"/>
          <w:szCs w:val="24"/>
        </w:rPr>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115"/>
      <w:bookmarkEnd w:id="1116"/>
      <w:bookmarkEnd w:id="1117"/>
    </w:p>
    <w:p>
      <w:pPr>
        <w:pStyle w:val="Style97"/>
        <w:keepNext/>
        <w:keepLines/>
        <w:framePr w:w="3600" w:h="317" w:wrap="none" w:vAnchor="text" w:hAnchor="page" w:x="851" w:y="1484"/>
        <w:widowControl w:val="0"/>
        <w:shd w:val="clear" w:color="auto" w:fill="auto"/>
        <w:tabs>
          <w:tab w:pos="672" w:val="left"/>
        </w:tabs>
        <w:bidi w:val="0"/>
        <w:spacing w:before="0" w:after="0" w:line="240" w:lineRule="auto"/>
        <w:ind w:left="0" w:right="0" w:firstLine="0"/>
        <w:jc w:val="left"/>
      </w:pPr>
      <w:bookmarkStart w:id="1118" w:name="bookmark1118"/>
      <w:bookmarkStart w:id="1119" w:name="bookmark1119"/>
      <w:bookmarkStart w:id="1120" w:name="bookmark1120"/>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118"/>
      <w:bookmarkEnd w:id="1119"/>
      <w:bookmarkEnd w:id="1120"/>
    </w:p>
    <w:p>
      <w:pPr>
        <w:pStyle w:val="Style97"/>
        <w:keepNext/>
        <w:keepLines/>
        <w:framePr w:w="2405" w:h="302" w:wrap="none" w:vAnchor="text" w:hAnchor="page" w:x="847" w:y="2075"/>
        <w:widowControl w:val="0"/>
        <w:shd w:val="clear" w:color="auto" w:fill="auto"/>
        <w:tabs>
          <w:tab w:pos="720" w:val="left"/>
        </w:tabs>
        <w:bidi w:val="0"/>
        <w:spacing w:before="0" w:after="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其他应收款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121"/>
      <w:bookmarkEnd w:id="1122"/>
      <w:bookmarkEnd w:id="1123"/>
    </w:p>
    <w:p>
      <w:pPr>
        <w:pStyle w:val="Style97"/>
        <w:keepNext/>
        <w:keepLines/>
        <w:framePr w:w="4224" w:h="307" w:wrap="none" w:vAnchor="text" w:hAnchor="page" w:x="1567" w:y="2660"/>
        <w:widowControl w:val="0"/>
        <w:shd w:val="clear" w:color="auto" w:fill="auto"/>
        <w:bidi w:val="0"/>
        <w:spacing w:before="0" w:after="0" w:line="240" w:lineRule="auto"/>
        <w:ind w:left="0" w:right="0" w:firstLine="0"/>
        <w:jc w:val="left"/>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sz w:val="24"/>
          <w:szCs w:val="24"/>
        </w:rPr>
        <w:t>(3)</w:t>
      </w:r>
      <w:r>
        <w:rPr>
          <w:color w:val="000000"/>
          <w:spacing w:val="0"/>
          <w:w w:val="100"/>
          <w:position w:val="0"/>
        </w:rPr>
        <w:t>按信用损失准备计提方法分析如下:</w:t>
      </w:r>
      <w:bookmarkEnd w:id="1124"/>
      <w:bookmarkEnd w:id="1125"/>
      <w:bookmarkEnd w:id="1126"/>
    </w:p>
    <w:p>
      <w:pPr>
        <w:pStyle w:val="Style39"/>
        <w:keepNext w:val="0"/>
        <w:keepLines w:val="0"/>
        <w:framePr w:w="2021" w:h="730" w:wrap="none" w:vAnchor="text" w:hAnchor="page" w:x="1586" w:y="441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按单项计提信用损失准备</w:t>
      </w:r>
    </w:p>
    <w:p>
      <w:pPr>
        <w:pStyle w:val="Style39"/>
        <w:keepNext w:val="0"/>
        <w:keepLines w:val="0"/>
        <w:framePr w:w="2021" w:h="730" w:wrap="none" w:vAnchor="text" w:hAnchor="page" w:x="1586" w:y="441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按组合计提信用损失准备</w:t>
      </w:r>
    </w:p>
    <w:p>
      <w:pPr>
        <w:pStyle w:val="Style39"/>
        <w:keepNext w:val="0"/>
        <w:keepLines w:val="0"/>
        <w:framePr w:w="2021" w:h="730" w:wrap="none" w:vAnchor="text" w:hAnchor="page" w:x="1586" w:y="441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bl>
      <w:tblPr>
        <w:tblOverlap w:val="never"/>
        <w:jc w:val="left"/>
        <w:tblLayout w:type="fixed"/>
      </w:tblPr>
      <w:tblGrid>
        <w:gridCol w:w="1315"/>
        <w:gridCol w:w="821"/>
        <w:gridCol w:w="1210"/>
        <w:gridCol w:w="1027"/>
        <w:gridCol w:w="1349"/>
        <w:gridCol w:w="1450"/>
        <w:gridCol w:w="869"/>
        <w:gridCol w:w="1253"/>
        <w:gridCol w:w="1022"/>
        <w:gridCol w:w="1219"/>
      </w:tblGrid>
      <w:tr>
        <w:trPr>
          <w:trHeight w:val="254" w:hRule="exact"/>
        </w:trPr>
        <w:tc>
          <w:tcPr>
            <w:gridSpan w:val="2"/>
            <w:tcBorders>
              <w:top w:val="single" w:sz="4"/>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账面余额</w:t>
            </w:r>
          </w:p>
        </w:tc>
        <w:tc>
          <w:tcPr>
            <w:gridSpan w:val="2"/>
            <w:tcBorders>
              <w:top w:val="single" w:sz="4"/>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信用损失准备</w:t>
            </w:r>
          </w:p>
        </w:tc>
        <w:tc>
          <w:tcPr>
            <w:vMerge w:val="restart"/>
            <w:tcBorders>
              <w:top w:val="single" w:sz="4"/>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u w:val="single"/>
              </w:rPr>
              <w:t>账面价值</w:t>
            </w:r>
          </w:p>
        </w:tc>
        <w:tc>
          <w:tcPr>
            <w:gridSpan w:val="2"/>
            <w:tcBorders>
              <w:top w:val="single" w:sz="4"/>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账面余额</w:t>
            </w:r>
          </w:p>
        </w:tc>
        <w:tc>
          <w:tcPr>
            <w:gridSpan w:val="2"/>
            <w:tcBorders>
              <w:top w:val="single" w:sz="4"/>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信用损失准备</w:t>
            </w:r>
          </w:p>
        </w:tc>
        <w:tc>
          <w:tcPr>
            <w:vMerge w:val="restart"/>
            <w:tcBorders>
              <w:top w:val="single" w:sz="4"/>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账面价值</w:t>
            </w:r>
          </w:p>
        </w:tc>
      </w:tr>
      <w:tr>
        <w:trPr>
          <w:trHeight w:val="571" w:hRule="exact"/>
        </w:trPr>
        <w:tc>
          <w:tcPr>
            <w:tcBorders>
              <w:top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tabs>
                <w:tab w:pos="974" w:val="left"/>
              </w:tabs>
              <w:bidi w:val="0"/>
              <w:spacing w:before="0" w:after="0" w:line="240" w:lineRule="auto"/>
              <w:ind w:left="0" w:right="0" w:firstLine="0"/>
              <w:jc w:val="center"/>
              <w:rPr>
                <w:sz w:val="18"/>
                <w:szCs w:val="18"/>
              </w:rPr>
            </w:pPr>
            <w:r>
              <w:rPr>
                <w:color w:val="000000"/>
                <w:spacing w:val="0"/>
                <w:w w:val="100"/>
                <w:position w:val="0"/>
                <w:sz w:val="18"/>
                <w:szCs w:val="18"/>
                <w:u w:val="single"/>
              </w:rPr>
              <w:t>金额</w:t>
            </w:r>
            <w:r>
              <w:rPr>
                <w:color w:val="000000"/>
                <w:spacing w:val="0"/>
                <w:w w:val="100"/>
                <w:position w:val="0"/>
                <w:sz w:val="18"/>
                <w:szCs w:val="18"/>
              </w:rPr>
              <w:tab/>
            </w: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比例</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w:t>
            </w:r>
          </w:p>
        </w:tc>
        <w:tc>
          <w:tcPr>
            <w:tcBorders>
              <w:top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金额</w:t>
            </w:r>
          </w:p>
        </w:tc>
        <w:tc>
          <w:tcPr>
            <w:tcBorders>
              <w:top w:val="single" w:sz="4"/>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计提比例</w:t>
            </w:r>
          </w:p>
        </w:tc>
        <w:tc>
          <w:tcPr>
            <w:vMerge/>
            <w:tcBorders/>
            <w:shd w:val="clear" w:color="auto" w:fill="FFFFFF"/>
            <w:vAlign w:val="bottom"/>
          </w:tcPr>
          <w:p>
            <w:pPr>
              <w:framePr w:w="11534" w:h="1670" w:vSpace="269" w:wrap="none" w:vAnchor="text" w:hAnchor="page" w:x="4735" w:y="3500"/>
            </w:pPr>
          </w:p>
        </w:tc>
        <w:tc>
          <w:tcPr>
            <w:tcBorders>
              <w:top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tabs>
                <w:tab w:pos="970" w:val="left"/>
              </w:tabs>
              <w:bidi w:val="0"/>
              <w:spacing w:before="0" w:after="0" w:line="240" w:lineRule="auto"/>
              <w:ind w:left="0" w:right="0" w:firstLine="0"/>
              <w:jc w:val="right"/>
              <w:rPr>
                <w:sz w:val="18"/>
                <w:szCs w:val="18"/>
              </w:rPr>
            </w:pPr>
            <w:r>
              <w:rPr>
                <w:color w:val="000000"/>
                <w:spacing w:val="0"/>
                <w:w w:val="100"/>
                <w:position w:val="0"/>
                <w:sz w:val="18"/>
                <w:szCs w:val="18"/>
                <w:u w:val="single"/>
              </w:rPr>
              <w:t>金额</w:t>
            </w:r>
            <w:r>
              <w:rPr>
                <w:color w:val="000000"/>
                <w:spacing w:val="0"/>
                <w:w w:val="100"/>
                <w:position w:val="0"/>
                <w:sz w:val="18"/>
                <w:szCs w:val="18"/>
              </w:rPr>
              <w:tab/>
            </w: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u w:val="single"/>
              </w:rPr>
              <w:t>比例</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w:t>
            </w:r>
          </w:p>
        </w:tc>
        <w:tc>
          <w:tcPr>
            <w:tcBorders>
              <w:top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金额</w:t>
            </w:r>
          </w:p>
        </w:tc>
        <w:tc>
          <w:tcPr>
            <w:tcBorders>
              <w:top w:val="single" w:sz="4"/>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40" w:line="240" w:lineRule="auto"/>
              <w:ind w:left="0" w:right="140" w:firstLine="0"/>
              <w:jc w:val="right"/>
              <w:rPr>
                <w:sz w:val="18"/>
                <w:szCs w:val="18"/>
              </w:rPr>
            </w:pPr>
            <w:r>
              <w:rPr>
                <w:color w:val="000000"/>
                <w:spacing w:val="0"/>
                <w:w w:val="100"/>
                <w:position w:val="0"/>
                <w:sz w:val="18"/>
                <w:szCs w:val="18"/>
              </w:rPr>
              <w:t>计提比例</w:t>
            </w:r>
          </w:p>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tcBorders/>
            <w:shd w:val="clear" w:color="auto" w:fill="FFFFFF"/>
            <w:vAlign w:val="bottom"/>
          </w:tcPr>
          <w:p>
            <w:pPr>
              <w:framePr w:w="11534" w:h="1670" w:vSpace="269" w:wrap="none" w:vAnchor="text" w:hAnchor="page" w:x="4735" w:y="3500"/>
            </w:pPr>
          </w:p>
        </w:tc>
      </w:tr>
      <w:tr>
        <w:trPr>
          <w:trHeight w:val="331" w:hRule="exact"/>
        </w:trPr>
        <w:tc>
          <w:tcPr>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611,658,410</w:t>
            </w:r>
          </w:p>
        </w:tc>
        <w:tc>
          <w:tcPr>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15.63</w:t>
            </w:r>
          </w:p>
        </w:tc>
        <w:tc>
          <w:tcPr>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436,229,865</w:t>
            </w:r>
          </w:p>
        </w:tc>
        <w:tc>
          <w:tcPr>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71.32</w:t>
            </w:r>
          </w:p>
        </w:tc>
        <w:tc>
          <w:tcPr>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175,428,545</w:t>
            </w:r>
          </w:p>
        </w:tc>
        <w:tc>
          <w:tcPr>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566,513,066</w:t>
            </w:r>
          </w:p>
        </w:tc>
        <w:tc>
          <w:tcPr>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13.90</w:t>
            </w:r>
          </w:p>
        </w:tc>
        <w:tc>
          <w:tcPr>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425,160,620</w:t>
            </w:r>
          </w:p>
        </w:tc>
        <w:tc>
          <w:tcPr>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75.05</w:t>
            </w:r>
          </w:p>
        </w:tc>
        <w:tc>
          <w:tcPr>
            <w:tcBorders/>
            <w:shd w:val="clear" w:color="auto" w:fill="FFFFFF"/>
            <w:vAlign w:val="bottom"/>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141,352,446</w:t>
            </w:r>
          </w:p>
        </w:tc>
      </w:tr>
      <w:tr>
        <w:trPr>
          <w:trHeight w:val="216" w:hRule="exact"/>
        </w:trPr>
        <w:tc>
          <w:tcPr>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3,301,360,717</w:t>
            </w:r>
          </w:p>
        </w:tc>
        <w:tc>
          <w:tcPr>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84.37</w:t>
            </w:r>
          </w:p>
        </w:tc>
        <w:tc>
          <w:tcPr>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232,330,417</w:t>
            </w:r>
          </w:p>
        </w:tc>
        <w:tc>
          <w:tcPr>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3,069,030,300</w:t>
            </w:r>
          </w:p>
        </w:tc>
        <w:tc>
          <w:tcPr>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3,508,890,424</w:t>
            </w:r>
          </w:p>
        </w:tc>
        <w:tc>
          <w:tcPr>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86.10</w:t>
            </w:r>
          </w:p>
        </w:tc>
        <w:tc>
          <w:tcPr>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246,750,522</w:t>
            </w:r>
          </w:p>
        </w:tc>
        <w:tc>
          <w:tcPr>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shd w:val="clear" w:color="auto" w:fill="FFFFFF"/>
            <w:vAlign w:val="top"/>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3,262,139,902</w:t>
            </w:r>
          </w:p>
        </w:tc>
      </w:tr>
      <w:tr>
        <w:trPr>
          <w:trHeight w:val="298" w:hRule="exact"/>
        </w:trPr>
        <w:tc>
          <w:tcPr>
            <w:tcBorders>
              <w:top w:val="single" w:sz="4"/>
              <w:bottom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tabs>
                <w:tab w:pos="121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3,913,019,127</w:t>
            </w:r>
            <w:r>
              <w:rPr>
                <w:rFonts w:ascii="Times New Roman" w:eastAsia="Times New Roman" w:hAnsi="Times New Roman" w:cs="Times New Roman"/>
                <w:color w:val="000000"/>
                <w:spacing w:val="0"/>
                <w:w w:val="100"/>
                <w:position w:val="0"/>
                <w:sz w:val="18"/>
                <w:szCs w:val="18"/>
              </w:rPr>
              <w:tab/>
              <w:t>_</w:t>
            </w:r>
          </w:p>
        </w:tc>
        <w:tc>
          <w:tcPr>
            <w:tcBorders>
              <w:top w:val="single" w:sz="4"/>
              <w:bottom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668,560,282</w:t>
            </w:r>
          </w:p>
        </w:tc>
        <w:tc>
          <w:tcPr>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17.09</w:t>
            </w:r>
          </w:p>
        </w:tc>
        <w:tc>
          <w:tcPr>
            <w:tcBorders>
              <w:top w:val="single" w:sz="4"/>
              <w:bottom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3,244,458,845</w:t>
            </w:r>
          </w:p>
        </w:tc>
        <w:tc>
          <w:tcPr>
            <w:tcBorders>
              <w:top w:val="single" w:sz="4"/>
              <w:bottom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4,075,403,490</w:t>
            </w:r>
          </w:p>
        </w:tc>
        <w:tc>
          <w:tcPr>
            <w:tcBorders>
              <w:top w:val="single" w:sz="4"/>
              <w:bottom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671,911,142</w:t>
            </w:r>
          </w:p>
        </w:tc>
        <w:tc>
          <w:tcPr>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16.49</w:t>
            </w:r>
          </w:p>
        </w:tc>
        <w:tc>
          <w:tcPr>
            <w:tcBorders>
              <w:top w:val="single" w:sz="4"/>
              <w:bottom w:val="single" w:sz="4"/>
            </w:tcBorders>
            <w:shd w:val="clear" w:color="auto" w:fill="FFFFFF"/>
            <w:vAlign w:val="center"/>
          </w:tcPr>
          <w:p>
            <w:pPr>
              <w:pStyle w:val="Style22"/>
              <w:keepNext w:val="0"/>
              <w:keepLines w:val="0"/>
              <w:framePr w:w="11534" w:h="1670" w:vSpace="269" w:wrap="none" w:vAnchor="text" w:hAnchor="page" w:x="4735" w:y="350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3,403,492,348</w:t>
            </w:r>
          </w:p>
        </w:tc>
      </w:tr>
    </w:tbl>
    <w:p>
      <w:pPr>
        <w:framePr w:w="11534" w:h="1670" w:vSpace="269" w:wrap="none" w:vAnchor="text" w:hAnchor="page" w:x="4735" w:y="3500"/>
        <w:widowControl w:val="0"/>
        <w:spacing w:line="1" w:lineRule="exact"/>
      </w:pPr>
    </w:p>
    <w:p>
      <w:pPr>
        <w:pStyle w:val="Style25"/>
        <w:keepNext w:val="0"/>
        <w:keepLines w:val="0"/>
        <w:framePr w:w="7411" w:h="245" w:wrap="none" w:vAnchor="text" w:hAnchor="page" w:x="6722" w:y="3231"/>
        <w:widowControl w:val="0"/>
        <w:shd w:val="clear" w:color="auto" w:fill="auto"/>
        <w:tabs>
          <w:tab w:pos="5894"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type w:val="continuous"/>
          <w:pgSz w:w="16840" w:h="11900" w:orient="landscape"/>
          <w:pgMar w:top="1082" w:right="572" w:bottom="785" w:left="841" w:header="0" w:footer="3" w:gutter="0"/>
          <w:cols w:space="720"/>
          <w:noEndnote/>
          <w:rtlGutter w:val="0"/>
          <w:docGrid w:linePitch="360"/>
        </w:sectPr>
      </w:pP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702" w:val="left"/>
        </w:tabs>
        <w:bidi w:val="0"/>
        <w:spacing w:before="0" w:after="28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02" w:val="left"/>
        </w:tabs>
        <w:bidi w:val="0"/>
        <w:spacing w:before="0" w:after="28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tab/>
        <w:t>其他应收款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09"/>
        </w:numPr>
        <w:shd w:val="clear" w:color="auto" w:fill="auto"/>
        <w:bidi w:val="0"/>
        <w:spacing w:before="0" w:after="280" w:line="240" w:lineRule="auto"/>
        <w:ind w:left="720" w:right="0" w:firstLine="0"/>
        <w:jc w:val="left"/>
        <w:rPr>
          <w:sz w:val="22"/>
          <w:szCs w:val="22"/>
        </w:rPr>
      </w:pPr>
      <w:bookmarkStart w:id="1127" w:name="bookmark1127"/>
      <w:bookmarkEnd w:id="1127"/>
      <w:r>
        <w:rPr>
          <w:color w:val="000000"/>
          <w:spacing w:val="0"/>
          <w:w w:val="100"/>
          <w:position w:val="0"/>
          <w:sz w:val="22"/>
          <w:szCs w:val="22"/>
        </w:rPr>
        <w:t>本年计提、收回或转回的信用损失准备情况:</w:t>
      </w:r>
    </w:p>
    <w:tbl>
      <w:tblPr>
        <w:tblOverlap w:val="never"/>
        <w:jc w:val="right"/>
        <w:tblLayout w:type="fixed"/>
      </w:tblPr>
      <w:tblGrid>
        <w:gridCol w:w="4027"/>
        <w:gridCol w:w="3840"/>
        <w:gridCol w:w="1536"/>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234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left"/>
              <w:rPr>
                <w:sz w:val="24"/>
                <w:szCs w:val="24"/>
              </w:rPr>
            </w:pPr>
            <w:r>
              <w:rPr>
                <w:rFonts w:ascii="Times New Roman" w:eastAsia="Times New Roman" w:hAnsi="Times New Roman" w:cs="Times New Roman"/>
                <w:color w:val="000000"/>
                <w:spacing w:val="0"/>
                <w:w w:val="100"/>
                <w:position w:val="0"/>
                <w:sz w:val="24"/>
                <w:szCs w:val="24"/>
              </w:rPr>
              <w:t>671,911,142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579,779,619</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本年计提和转回</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34,816,143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95,595,494</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本年核销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340" w:right="0" w:firstLine="0"/>
              <w:jc w:val="left"/>
              <w:rPr>
                <w:sz w:val="24"/>
                <w:szCs w:val="24"/>
              </w:rPr>
            </w:pPr>
            <w:r>
              <w:rPr>
                <w:rFonts w:ascii="Times New Roman" w:eastAsia="Times New Roman" w:hAnsi="Times New Roman" w:cs="Times New Roman"/>
                <w:color w:val="000000"/>
                <w:spacing w:val="0"/>
                <w:w w:val="100"/>
                <w:position w:val="0"/>
                <w:sz w:val="24"/>
                <w:szCs w:val="24"/>
              </w:rPr>
              <w:t>(38,167,003)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(3,463,971)</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年末余额</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2340" w:right="0" w:firstLine="0"/>
              <w:jc w:val="left"/>
              <w:rPr>
                <w:sz w:val="24"/>
                <w:szCs w:val="24"/>
              </w:rPr>
            </w:pPr>
            <w:r>
              <w:rPr>
                <w:rFonts w:ascii="Times New Roman" w:eastAsia="Times New Roman" w:hAnsi="Times New Roman" w:cs="Times New Roman"/>
                <w:color w:val="000000"/>
                <w:spacing w:val="0"/>
                <w:w w:val="100"/>
                <w:position w:val="0"/>
                <w:sz w:val="24"/>
                <w:szCs w:val="24"/>
                <w:u w:val="single"/>
              </w:rPr>
              <w:t>668,560,282</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671,911,142</w:t>
            </w:r>
          </w:p>
        </w:tc>
      </w:tr>
    </w:tbl>
    <w:p>
      <w:pPr>
        <w:widowControl w:val="0"/>
        <w:spacing w:after="279" w:line="1" w:lineRule="exact"/>
      </w:pPr>
    </w:p>
    <w:p>
      <w:pPr>
        <w:pStyle w:val="Style5"/>
        <w:keepNext w:val="0"/>
        <w:keepLines w:val="0"/>
        <w:widowControl w:val="0"/>
        <w:numPr>
          <w:ilvl w:val="0"/>
          <w:numId w:val="109"/>
        </w:numPr>
        <w:shd w:val="clear" w:color="auto" w:fill="auto"/>
        <w:bidi w:val="0"/>
        <w:spacing w:before="0" w:after="280" w:line="240" w:lineRule="auto"/>
        <w:ind w:left="720" w:right="0" w:firstLine="0"/>
        <w:jc w:val="left"/>
        <w:rPr>
          <w:sz w:val="22"/>
          <w:szCs w:val="22"/>
        </w:rPr>
      </w:pPr>
      <w:bookmarkStart w:id="1128" w:name="bookmark1128"/>
      <w:bookmarkEnd w:id="1128"/>
      <w:r>
        <w:rPr>
          <w:color w:val="000000"/>
          <w:spacing w:val="0"/>
          <w:w w:val="100"/>
          <w:position w:val="0"/>
          <w:sz w:val="22"/>
          <w:szCs w:val="22"/>
        </w:rPr>
        <w:t>本集团本年核销的其他应收款中无应收关联方款项。</w:t>
      </w:r>
    </w:p>
    <w:p>
      <w:pPr>
        <w:pStyle w:val="Style5"/>
        <w:keepNext w:val="0"/>
        <w:keepLines w:val="0"/>
        <w:widowControl w:val="0"/>
        <w:numPr>
          <w:ilvl w:val="0"/>
          <w:numId w:val="109"/>
        </w:numPr>
        <w:shd w:val="clear" w:color="auto" w:fill="auto"/>
        <w:bidi w:val="0"/>
        <w:spacing w:before="0" w:after="280" w:line="322" w:lineRule="exact"/>
        <w:ind w:left="720" w:right="0" w:firstLine="0"/>
        <w:jc w:val="left"/>
        <w:rPr>
          <w:sz w:val="22"/>
          <w:szCs w:val="22"/>
        </w:rPr>
      </w:pPr>
      <w:bookmarkStart w:id="1129" w:name="bookmark1129"/>
      <w:bookmarkEnd w:id="1129"/>
      <w:r>
        <w:rPr>
          <w:color w:val="000000"/>
          <w:spacing w:val="0"/>
          <w:w w:val="100"/>
          <w:position w:val="0"/>
          <w:sz w:val="22"/>
          <w:szCs w:val="22"/>
        </w:rPr>
        <w:t>本集团年末余额前五名的其他应收款账面余额合计约人民币</w:t>
      </w:r>
      <w:r>
        <w:rPr>
          <w:rFonts w:ascii="Times New Roman" w:eastAsia="Times New Roman" w:hAnsi="Times New Roman" w:cs="Times New Roman"/>
          <w:color w:val="000000"/>
          <w:spacing w:val="0"/>
          <w:w w:val="100"/>
          <w:position w:val="0"/>
          <w:sz w:val="24"/>
          <w:szCs w:val="24"/>
        </w:rPr>
        <w:t>5.54</w:t>
      </w:r>
      <w:r>
        <w:rPr>
          <w:color w:val="000000"/>
          <w:spacing w:val="0"/>
          <w:w w:val="100"/>
          <w:position w:val="0"/>
          <w:sz w:val="22"/>
          <w:szCs w:val="22"/>
        </w:rPr>
        <w:t>亿元，占年末账面余 额合计数的</w:t>
      </w:r>
      <w:r>
        <w:rPr>
          <w:rFonts w:ascii="Times New Roman" w:eastAsia="Times New Roman" w:hAnsi="Times New Roman" w:cs="Times New Roman"/>
          <w:color w:val="000000"/>
          <w:spacing w:val="0"/>
          <w:w w:val="100"/>
          <w:position w:val="0"/>
          <w:sz w:val="24"/>
          <w:szCs w:val="24"/>
        </w:rPr>
        <w:t>14.16%</w:t>
      </w:r>
      <w:r>
        <w:rPr>
          <w:color w:val="000000"/>
          <w:spacing w:val="0"/>
          <w:w w:val="100"/>
          <w:position w:val="0"/>
          <w:sz w:val="22"/>
          <w:szCs w:val="22"/>
        </w:rPr>
        <w:t>，计提信用损失准备约人民币</w:t>
      </w:r>
      <w:r>
        <w:rPr>
          <w:rFonts w:ascii="Times New Roman" w:eastAsia="Times New Roman" w:hAnsi="Times New Roman" w:cs="Times New Roman"/>
          <w:color w:val="000000"/>
          <w:spacing w:val="0"/>
          <w:w w:val="100"/>
          <w:position w:val="0"/>
          <w:sz w:val="24"/>
          <w:szCs w:val="24"/>
        </w:rPr>
        <w:t>1.86</w:t>
      </w:r>
      <w:r>
        <w:rPr>
          <w:color w:val="000000"/>
          <w:spacing w:val="0"/>
          <w:w w:val="100"/>
          <w:position w:val="0"/>
          <w:sz w:val="22"/>
          <w:szCs w:val="22"/>
        </w:rPr>
        <w:t>亿元。</w:t>
      </w:r>
    </w:p>
    <w:p>
      <w:pPr>
        <w:pStyle w:val="Style5"/>
        <w:keepNext w:val="0"/>
        <w:keepLines w:val="0"/>
        <w:widowControl w:val="0"/>
        <w:shd w:val="clear" w:color="auto" w:fill="auto"/>
        <w:tabs>
          <w:tab w:pos="702" w:val="left"/>
        </w:tabs>
        <w:bidi w:val="0"/>
        <w:spacing w:before="0" w:after="280" w:line="322" w:lineRule="exact"/>
        <w:ind w:left="0" w:right="0" w:firstLine="0"/>
        <w:jc w:val="left"/>
        <w:rPr>
          <w:sz w:val="22"/>
          <w:szCs w:val="22"/>
        </w:rPr>
      </w:pPr>
      <w:bookmarkStart w:id="1130" w:name="bookmark1130"/>
      <w:r>
        <w:rPr>
          <w:rFonts w:ascii="Times New Roman" w:eastAsia="Times New Roman" w:hAnsi="Times New Roman" w:cs="Times New Roman"/>
          <w:color w:val="000000"/>
          <w:spacing w:val="0"/>
          <w:w w:val="100"/>
          <w:position w:val="0"/>
          <w:sz w:val="24"/>
          <w:szCs w:val="24"/>
        </w:rPr>
        <w:t>7</w:t>
      </w:r>
      <w:bookmarkEnd w:id="1130"/>
      <w:r>
        <w:rPr>
          <w:color w:val="000000"/>
          <w:spacing w:val="0"/>
          <w:w w:val="100"/>
          <w:position w:val="0"/>
          <w:sz w:val="22"/>
          <w:szCs w:val="22"/>
        </w:rPr>
        <w:t>、</w:t>
        <w:tab/>
        <w:t>存货</w:t>
      </w:r>
    </w:p>
    <w:p>
      <w:pPr>
        <w:pStyle w:val="Style5"/>
        <w:keepNext w:val="0"/>
        <w:keepLines w:val="0"/>
        <w:widowControl w:val="0"/>
        <w:numPr>
          <w:ilvl w:val="0"/>
          <w:numId w:val="119"/>
        </w:numPr>
        <w:shd w:val="clear" w:color="auto" w:fill="auto"/>
        <w:bidi w:val="0"/>
        <w:spacing w:before="0" w:after="280" w:line="322" w:lineRule="exact"/>
        <w:ind w:left="0" w:right="0" w:firstLine="720"/>
        <w:jc w:val="left"/>
        <w:rPr>
          <w:sz w:val="22"/>
          <w:szCs w:val="22"/>
        </w:rPr>
      </w:pPr>
      <w:bookmarkStart w:id="1131" w:name="bookmark1131"/>
      <w:bookmarkEnd w:id="1131"/>
      <w:r>
        <w:rPr>
          <w:color w:val="000000"/>
          <w:spacing w:val="0"/>
          <w:w w:val="100"/>
          <w:position w:val="0"/>
          <w:sz w:val="22"/>
          <w:szCs w:val="22"/>
        </w:rPr>
        <w:t>存货分类如下：</w:t>
      </w:r>
    </w:p>
    <w:tbl>
      <w:tblPr>
        <w:tblOverlap w:val="never"/>
        <w:jc w:val="right"/>
        <w:tblLayout w:type="fixed"/>
      </w:tblPr>
      <w:tblGrid>
        <w:gridCol w:w="1598"/>
        <w:gridCol w:w="1267"/>
        <w:gridCol w:w="1488"/>
        <w:gridCol w:w="1214"/>
        <w:gridCol w:w="1205"/>
        <w:gridCol w:w="1488"/>
        <w:gridCol w:w="1142"/>
      </w:tblGrid>
      <w:tr>
        <w:trPr>
          <w:trHeight w:val="250"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41" w:hRule="exact"/>
        </w:trPr>
        <w:tc>
          <w:tcPr>
            <w:vMerge/>
            <w:tcBorders/>
            <w:shd w:val="clear" w:color="auto" w:fill="FFFFFF"/>
            <w:vAlign w:val="top"/>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u w:val="single"/>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u w:val="single"/>
              </w:rPr>
              <w:t>存货跌价准备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u w:val="single"/>
              </w:rPr>
              <w:t>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存货跌价准备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账面价值</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手机及其他通信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产品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1,735,876,093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324,818,496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1,411,057,597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1,818,801,781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136,866,383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1,681,935,398</w:t>
            </w: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SIM </w:t>
            </w:r>
            <w:r>
              <w:rPr>
                <w:color w:val="000000"/>
                <w:spacing w:val="0"/>
                <w:w w:val="100"/>
                <w:position w:val="0"/>
                <w:sz w:val="18"/>
                <w:szCs w:val="18"/>
              </w:rPr>
              <w:t>卡、</w:t>
            </w:r>
            <w:r>
              <w:rPr>
                <w:rFonts w:ascii="Times New Roman" w:eastAsia="Times New Roman" w:hAnsi="Times New Roman" w:cs="Times New Roman"/>
                <w:color w:val="000000"/>
                <w:spacing w:val="0"/>
                <w:w w:val="100"/>
                <w:position w:val="0"/>
                <w:sz w:val="18"/>
                <w:szCs w:val="18"/>
              </w:rPr>
              <w:t xml:space="preserve">USIM </w:t>
            </w:r>
            <w:r>
              <w:rPr>
                <w:color w:val="000000"/>
                <w:spacing w:val="0"/>
                <w:w w:val="100"/>
                <w:position w:val="0"/>
                <w:sz w:val="18"/>
                <w:szCs w:val="18"/>
              </w:rPr>
              <w:t>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25,077,983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5,495,662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19,582,321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21,198,270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5,213,503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15,984,767</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422,909,587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7,287,465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415,622,122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261,884,494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8,413,956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253,470,538</w:t>
            </w:r>
          </w:p>
        </w:tc>
      </w:tr>
      <w:tr>
        <w:trPr>
          <w:trHeight w:val="28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2,183,863,663</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337,601,623</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1,846,262,040</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2,101,884,545</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150,493,842</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1,951,390,703</w:t>
            </w:r>
          </w:p>
        </w:tc>
      </w:tr>
    </w:tbl>
    <w:p>
      <w:pPr>
        <w:widowControl w:val="0"/>
        <w:spacing w:after="279" w:line="1" w:lineRule="exact"/>
      </w:pPr>
    </w:p>
    <w:p>
      <w:pPr>
        <w:pStyle w:val="Style5"/>
        <w:keepNext w:val="0"/>
        <w:keepLines w:val="0"/>
        <w:widowControl w:val="0"/>
        <w:numPr>
          <w:ilvl w:val="0"/>
          <w:numId w:val="119"/>
        </w:numPr>
        <w:shd w:val="clear" w:color="auto" w:fill="auto"/>
        <w:bidi w:val="0"/>
        <w:spacing w:before="0" w:after="280" w:line="240" w:lineRule="auto"/>
        <w:ind w:left="0" w:right="0" w:firstLine="720"/>
        <w:jc w:val="left"/>
        <w:rPr>
          <w:sz w:val="22"/>
          <w:szCs w:val="22"/>
        </w:rPr>
      </w:pPr>
      <w:bookmarkStart w:id="1132" w:name="bookmark1132"/>
      <w:bookmarkEnd w:id="1132"/>
      <w:r>
        <w:rPr>
          <w:color w:val="000000"/>
          <w:spacing w:val="0"/>
          <w:w w:val="100"/>
          <w:position w:val="0"/>
          <w:sz w:val="22"/>
          <w:szCs w:val="22"/>
        </w:rPr>
        <w:t>存货跌价准备分析如下:</w:t>
      </w:r>
    </w:p>
    <w:tbl>
      <w:tblPr>
        <w:tblOverlap w:val="never"/>
        <w:jc w:val="right"/>
        <w:tblLayout w:type="fixed"/>
      </w:tblPr>
      <w:tblGrid>
        <w:gridCol w:w="2798"/>
        <w:gridCol w:w="2246"/>
        <w:gridCol w:w="1507"/>
        <w:gridCol w:w="1488"/>
        <w:gridCol w:w="1363"/>
      </w:tblGrid>
      <w:tr>
        <w:trPr>
          <w:trHeight w:val="66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u w:val="single"/>
              </w:rPr>
              <w:t>本年计提</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u w:val="single"/>
              </w:rPr>
              <w:t>本年转销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w:t>
            </w: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手机及其他通信产品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136,866,383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463,588,704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275,636,591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324,818,496</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SIM </w:t>
            </w:r>
            <w:r>
              <w:rPr>
                <w:color w:val="000000"/>
                <w:spacing w:val="0"/>
                <w:w w:val="100"/>
                <w:position w:val="0"/>
              </w:rPr>
              <w:t>卡、</w:t>
            </w:r>
            <w:r>
              <w:rPr>
                <w:rFonts w:ascii="Times New Roman" w:eastAsia="Times New Roman" w:hAnsi="Times New Roman" w:cs="Times New Roman"/>
                <w:color w:val="000000"/>
                <w:spacing w:val="0"/>
                <w:w w:val="100"/>
                <w:position w:val="0"/>
              </w:rPr>
              <w:t xml:space="preserve">USIM </w:t>
            </w:r>
            <w:r>
              <w:rPr>
                <w:color w:val="000000"/>
                <w:spacing w:val="0"/>
                <w:w w:val="100"/>
                <w:position w:val="0"/>
              </w:rPr>
              <w:t>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5,213,503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737,391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455,232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5,495,662</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8,413,956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1,126,491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7,287,465</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u w:val="single"/>
              </w:rPr>
              <w:t>150,493,842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464,326,095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277,218,314</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337,601,623</w:t>
            </w:r>
          </w:p>
        </w:tc>
      </w:tr>
    </w:tbl>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6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3" w:val="left"/>
        </w:tabs>
        <w:bidi w:val="0"/>
        <w:spacing w:before="0" w:after="300" w:line="302" w:lineRule="exact"/>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3" w:val="left"/>
        </w:tabs>
        <w:bidi w:val="0"/>
        <w:spacing w:before="0" w:after="260" w:line="264" w:lineRule="auto"/>
        <w:ind w:left="0" w:right="0" w:firstLine="0"/>
        <w:jc w:val="both"/>
        <w:rPr>
          <w:sz w:val="22"/>
          <w:szCs w:val="22"/>
        </w:rPr>
      </w:pPr>
      <w:bookmarkStart w:id="1133" w:name="bookmark1133"/>
      <w:r>
        <w:rPr>
          <w:rFonts w:ascii="Times New Roman" w:eastAsia="Times New Roman" w:hAnsi="Times New Roman" w:cs="Times New Roman"/>
          <w:color w:val="000000"/>
          <w:spacing w:val="0"/>
          <w:w w:val="100"/>
          <w:position w:val="0"/>
          <w:sz w:val="24"/>
          <w:szCs w:val="24"/>
        </w:rPr>
        <w:t>7</w:t>
      </w:r>
      <w:bookmarkEnd w:id="1133"/>
      <w:r>
        <w:rPr>
          <w:color w:val="000000"/>
          <w:spacing w:val="0"/>
          <w:w w:val="100"/>
          <w:position w:val="0"/>
          <w:sz w:val="22"/>
          <w:szCs w:val="22"/>
        </w:rPr>
        <w:t>、</w:t>
        <w:tab/>
        <w:t>存货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02" w:lineRule="exact"/>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存货跌价准备分析如下：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302" w:lineRule="exact"/>
        <w:ind w:left="720" w:right="0" w:firstLine="0"/>
        <w:jc w:val="both"/>
        <w:rPr>
          <w:sz w:val="22"/>
          <w:szCs w:val="22"/>
        </w:rPr>
      </w:pPr>
      <w:r>
        <w:rPr>
          <w:color w:val="000000"/>
          <w:spacing w:val="0"/>
          <w:w w:val="100"/>
          <w:position w:val="0"/>
          <w:sz w:val="22"/>
          <w:szCs w:val="22"/>
        </w:rPr>
        <w:t>存货跌价准备的计提主要是因为存货陈旧过时或销售价格下降。本年转销是由于部分以前 年度已计提跌价准备的存货于本年出售而转出相应已计提的跌价准备。</w:t>
      </w:r>
    </w:p>
    <w:p>
      <w:pPr>
        <w:pStyle w:val="Style5"/>
        <w:keepNext w:val="0"/>
        <w:keepLines w:val="0"/>
        <w:widowControl w:val="0"/>
        <w:shd w:val="clear" w:color="auto" w:fill="auto"/>
        <w:tabs>
          <w:tab w:pos="693" w:val="left"/>
        </w:tabs>
        <w:bidi w:val="0"/>
        <w:spacing w:before="0" w:after="260" w:line="264" w:lineRule="auto"/>
        <w:ind w:left="0" w:right="0" w:firstLine="0"/>
        <w:jc w:val="both"/>
        <w:rPr>
          <w:sz w:val="22"/>
          <w:szCs w:val="22"/>
        </w:rPr>
      </w:pPr>
      <w:bookmarkStart w:id="1134" w:name="bookmark1134"/>
      <w:r>
        <w:rPr>
          <w:rFonts w:ascii="Times New Roman" w:eastAsia="Times New Roman" w:hAnsi="Times New Roman" w:cs="Times New Roman"/>
          <w:color w:val="000000"/>
          <w:spacing w:val="0"/>
          <w:w w:val="100"/>
          <w:position w:val="0"/>
          <w:sz w:val="24"/>
          <w:szCs w:val="24"/>
        </w:rPr>
        <w:t>8</w:t>
      </w:r>
      <w:bookmarkEnd w:id="1134"/>
      <w:r>
        <w:rPr>
          <w:color w:val="000000"/>
          <w:spacing w:val="0"/>
          <w:w w:val="100"/>
          <w:position w:val="0"/>
          <w:sz w:val="22"/>
          <w:szCs w:val="22"/>
        </w:rPr>
        <w:t>、</w:t>
        <w:tab/>
        <w:t>合同资产</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合同资产按性质分析如下:</w:t>
      </w:r>
    </w:p>
    <w:tbl>
      <w:tblPr>
        <w:tblOverlap w:val="never"/>
        <w:jc w:val="right"/>
        <w:tblLayout w:type="fixed"/>
      </w:tblPr>
      <w:tblGrid>
        <w:gridCol w:w="3499"/>
        <w:gridCol w:w="2189"/>
        <w:gridCol w:w="2074"/>
        <w:gridCol w:w="1642"/>
      </w:tblGrid>
      <w:tr>
        <w:trPr>
          <w:trHeight w:val="74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6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应收合约用户通信终端款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1,416,400,486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1,928,034,535</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131,026,469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93,287,256</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1,547,426,955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2,021,321,791</w:t>
            </w:r>
          </w:p>
        </w:tc>
      </w:tr>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减：减值准备</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1,008,480,013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1,095,643,510</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538,946,942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925,678,281</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其中：回收期一年以内部分</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467,321,379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822,749,051</w:t>
            </w: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回收期超过一年部分</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 xml:space="preserve">附注五 </w:t>
            </w:r>
            <w:r>
              <w:rPr>
                <w:rFonts w:ascii="Times New Roman" w:eastAsia="Times New Roman" w:hAnsi="Times New Roman" w:cs="Times New Roman"/>
                <w:color w:val="000000"/>
                <w:spacing w:val="0"/>
                <w:w w:val="100"/>
                <w:position w:val="0"/>
                <w:sz w:val="24"/>
                <w:szCs w:val="24"/>
              </w:rPr>
              <w:t>(16)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71,625,563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102,929,230</w:t>
            </w:r>
          </w:p>
        </w:tc>
      </w:tr>
    </w:tbl>
    <w:p>
      <w:pPr>
        <w:widowControl w:val="0"/>
        <w:spacing w:after="259" w:line="1" w:lineRule="exact"/>
      </w:pPr>
    </w:p>
    <w:p>
      <w:pPr>
        <w:pStyle w:val="Style5"/>
        <w:keepNext w:val="0"/>
        <w:keepLines w:val="0"/>
        <w:widowControl w:val="0"/>
        <w:shd w:val="clear" w:color="auto" w:fill="auto"/>
        <w:bidi w:val="0"/>
        <w:spacing w:before="0" w:after="300" w:line="311" w:lineRule="exact"/>
        <w:ind w:left="1440" w:right="0" w:hanging="72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：本集团向用户提供捆绑手机终端及通信服务的套餐。如附注三</w:t>
      </w:r>
      <w:r>
        <w:rPr>
          <w:rFonts w:ascii="Times New Roman" w:eastAsia="Times New Roman" w:hAnsi="Times New Roman" w:cs="Times New Roman"/>
          <w:color w:val="000000"/>
          <w:spacing w:val="0"/>
          <w:w w:val="100"/>
          <w:position w:val="0"/>
          <w:sz w:val="24"/>
          <w:szCs w:val="24"/>
        </w:rPr>
        <w:t xml:space="preserve">(23) </w:t>
      </w: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2"/>
          <w:szCs w:val="22"/>
        </w:rPr>
        <w:t>所述，该套餐 的合同总金额按照通信终端和通信服务单独售价在二者之间进行分配。销售通信终 端收入于用户取得该通信终端的控制权时予以确认，并相应形成应收通信终端销售 款。当本集团取得该无条件收取对价的权利时，合同资产将转为应收账款。该应收 通信终端销售款在合约期内用户缴纳月套餐使用费时逐渐收回。回收期超过一年的 部分列示于其他非流动资产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w:t>
      </w:r>
    </w:p>
    <w:p>
      <w:pPr>
        <w:pStyle w:val="Style5"/>
        <w:keepNext w:val="0"/>
        <w:keepLines w:val="0"/>
        <w:widowControl w:val="0"/>
        <w:shd w:val="clear" w:color="auto" w:fill="auto"/>
        <w:bidi w:val="0"/>
        <w:spacing w:before="0" w:after="260" w:line="271"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本年计提、收回或转回的减值准备情况：</w:t>
      </w:r>
    </w:p>
    <w:tbl>
      <w:tblPr>
        <w:tblOverlap w:val="never"/>
        <w:jc w:val="right"/>
        <w:tblLayout w:type="fixed"/>
      </w:tblPr>
      <w:tblGrid>
        <w:gridCol w:w="3926"/>
        <w:gridCol w:w="3840"/>
        <w:gridCol w:w="1637"/>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232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left"/>
              <w:rPr>
                <w:sz w:val="24"/>
                <w:szCs w:val="24"/>
              </w:rPr>
            </w:pPr>
            <w:r>
              <w:rPr>
                <w:rFonts w:ascii="Times New Roman" w:eastAsia="Times New Roman" w:hAnsi="Times New Roman" w:cs="Times New Roman"/>
                <w:color w:val="000000"/>
                <w:spacing w:val="0"/>
                <w:w w:val="100"/>
                <w:position w:val="0"/>
                <w:sz w:val="24"/>
                <w:szCs w:val="24"/>
              </w:rPr>
              <w:t>1,095,643,510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1,170,160,537</w:t>
            </w: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本年计提和转回</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(4,930,196)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(73,660,524)</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本年核销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(82,233,301)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(856,503)</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年末余额</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u w:val="single"/>
              </w:rPr>
              <w:t>1,008,480,013</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1,095,643,510</w:t>
            </w:r>
          </w:p>
        </w:tc>
      </w:tr>
    </w:tbl>
    <w:p>
      <w:pPr>
        <w:spacing w:lineRule="exact" w:line="1"/>
        <w:rPr>
          <w:sz w:val="2"/>
          <w:szCs w:val="2"/>
        </w:rPr>
      </w:pPr>
      <w:r>
        <w:br w:type="page"/>
      </w:r>
    </w:p>
    <w:p>
      <w:pPr>
        <w:pStyle w:val="Style97"/>
        <w:keepNext/>
        <w:keepLines/>
        <w:widowControl w:val="0"/>
        <w:shd w:val="clear" w:color="auto" w:fill="auto"/>
        <w:bidi w:val="0"/>
        <w:spacing w:before="0" w:after="40" w:line="240" w:lineRule="auto"/>
        <w:ind w:left="0" w:right="0" w:firstLine="0"/>
        <w:jc w:val="left"/>
      </w:pPr>
      <w:bookmarkStart w:id="1135" w:name="bookmark1135"/>
      <w:bookmarkStart w:id="1136" w:name="bookmark1136"/>
      <w:bookmarkStart w:id="1137" w:name="bookmark1137"/>
      <w:r>
        <w:rPr>
          <w:color w:val="000000"/>
          <w:spacing w:val="0"/>
          <w:w w:val="100"/>
          <w:position w:val="0"/>
        </w:rPr>
        <w:t>财务报表附注</w:t>
      </w:r>
      <w:bookmarkEnd w:id="1135"/>
      <w:bookmarkEnd w:id="1136"/>
      <w:bookmarkEnd w:id="1137"/>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60" w:line="240" w:lineRule="auto"/>
        <w:ind w:left="0" w:right="0" w:firstLine="0"/>
        <w:jc w:val="left"/>
        <w:rPr>
          <w:sz w:val="24"/>
          <w:szCs w:val="24"/>
        </w:rPr>
      </w:pPr>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138"/>
      <w:bookmarkEnd w:id="1139"/>
      <w:bookmarkEnd w:id="1140"/>
    </w:p>
    <w:p>
      <w:pPr>
        <w:pStyle w:val="Style25"/>
        <w:keepNext w:val="0"/>
        <w:keepLines w:val="0"/>
        <w:widowControl w:val="0"/>
        <w:shd w:val="clear" w:color="auto" w:fill="auto"/>
        <w:tabs>
          <w:tab w:pos="677" w:val="left"/>
        </w:tabs>
        <w:bidi w:val="0"/>
        <w:spacing w:before="0" w:after="0" w:line="240" w:lineRule="auto"/>
        <w:ind w:left="5"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bl>
      <w:tblPr>
        <w:tblOverlap w:val="never"/>
        <w:jc w:val="center"/>
        <w:tblLayout w:type="fixed"/>
      </w:tblPr>
      <w:tblGrid>
        <w:gridCol w:w="528"/>
        <w:gridCol w:w="3096"/>
        <w:gridCol w:w="2486"/>
        <w:gridCol w:w="2328"/>
        <w:gridCol w:w="1704"/>
      </w:tblGrid>
      <w:tr>
        <w:trPr>
          <w:trHeight w:val="43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其他流动资产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财务公司发放贷款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附注十</w:t>
            </w:r>
            <w:r>
              <w:rPr>
                <w:rFonts w:ascii="Times New Roman" w:eastAsia="Times New Roman" w:hAnsi="Times New Roman" w:cs="Times New Roman"/>
                <w:color w:val="000000"/>
                <w:spacing w:val="0"/>
                <w:w w:val="100"/>
                <w:position w:val="0"/>
                <w:sz w:val="24"/>
                <w:szCs w:val="24"/>
              </w:rPr>
              <w:t>(6)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10,410,486,667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24"/>
                <w:szCs w:val="24"/>
              </w:rPr>
            </w:pPr>
            <w:r>
              <w:rPr>
                <w:rFonts w:ascii="Times New Roman" w:eastAsia="Times New Roman" w:hAnsi="Times New Roman" w:cs="Times New Roman"/>
                <w:color w:val="000000"/>
                <w:spacing w:val="0"/>
                <w:w w:val="100"/>
                <w:position w:val="0"/>
                <w:sz w:val="24"/>
                <w:szCs w:val="24"/>
              </w:rPr>
              <w:t>10,510,092,986</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其他债权投资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25,603,040,836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24"/>
                <w:szCs w:val="24"/>
              </w:rPr>
            </w:pPr>
            <w:r>
              <w:rPr>
                <w:rFonts w:ascii="Times New Roman" w:eastAsia="Times New Roman" w:hAnsi="Times New Roman" w:cs="Times New Roman"/>
                <w:color w:val="000000"/>
                <w:spacing w:val="0"/>
                <w:w w:val="100"/>
                <w:position w:val="0"/>
                <w:sz w:val="24"/>
                <w:szCs w:val="24"/>
              </w:rPr>
              <w:t>22,628,955,841</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预缴和待抵扣增值税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 xml:space="preserve">附注五 </w:t>
            </w:r>
            <w:r>
              <w:rPr>
                <w:rFonts w:ascii="Times New Roman" w:eastAsia="Times New Roman" w:hAnsi="Times New Roman" w:cs="Times New Roman"/>
                <w:color w:val="000000"/>
                <w:spacing w:val="0"/>
                <w:w w:val="100"/>
                <w:position w:val="0"/>
                <w:sz w:val="24"/>
                <w:szCs w:val="24"/>
              </w:rPr>
              <w:t>(22)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6,193,609,484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5,726,440,926</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预缴企业所得税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(22)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24,771,426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12,176,774</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821,129,056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182,348,931</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43,053,037,469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24"/>
                <w:szCs w:val="24"/>
              </w:rPr>
            </w:pPr>
            <w:r>
              <w:rPr>
                <w:rFonts w:ascii="Times New Roman" w:eastAsia="Times New Roman" w:hAnsi="Times New Roman" w:cs="Times New Roman"/>
                <w:color w:val="000000"/>
                <w:spacing w:val="0"/>
                <w:w w:val="100"/>
                <w:position w:val="0"/>
                <w:sz w:val="24"/>
                <w:szCs w:val="24"/>
              </w:rPr>
              <w:t>39,060,015,458</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减：减值准备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52,000,000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52,500,000</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43,001,037,469</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24"/>
                <w:szCs w:val="24"/>
              </w:rPr>
            </w:pPr>
            <w:r>
              <w:rPr>
                <w:rFonts w:ascii="Times New Roman" w:eastAsia="Times New Roman" w:hAnsi="Times New Roman" w:cs="Times New Roman"/>
                <w:color w:val="000000"/>
                <w:spacing w:val="0"/>
                <w:w w:val="100"/>
                <w:position w:val="0"/>
                <w:sz w:val="24"/>
                <w:szCs w:val="24"/>
              </w:rPr>
              <w:t>39,007,515,458</w:t>
            </w:r>
          </w:p>
        </w:tc>
      </w:tr>
      <w:tr>
        <w:trPr>
          <w:trHeight w:val="59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长期股权投资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合营企业</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7,138,051,675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5,656,469,000</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联营企业</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41,284,303,887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24"/>
                <w:szCs w:val="24"/>
              </w:rPr>
            </w:pPr>
            <w:r>
              <w:rPr>
                <w:rFonts w:ascii="Times New Roman" w:eastAsia="Times New Roman" w:hAnsi="Times New Roman" w:cs="Times New Roman"/>
                <w:color w:val="000000"/>
                <w:spacing w:val="0"/>
                <w:w w:val="100"/>
                <w:position w:val="0"/>
                <w:sz w:val="24"/>
                <w:szCs w:val="24"/>
              </w:rPr>
              <w:t>38,807,677,730</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48,422,355,562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24"/>
                <w:szCs w:val="24"/>
              </w:rPr>
            </w:pPr>
            <w:r>
              <w:rPr>
                <w:rFonts w:ascii="Times New Roman" w:eastAsia="Times New Roman" w:hAnsi="Times New Roman" w:cs="Times New Roman"/>
                <w:color w:val="000000"/>
                <w:spacing w:val="0"/>
                <w:w w:val="100"/>
                <w:position w:val="0"/>
                <w:sz w:val="24"/>
                <w:szCs w:val="24"/>
              </w:rPr>
              <w:t>44,464,146,730</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减：减值准备</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5,958,090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5,958,090</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48,416,397,472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24"/>
                <w:szCs w:val="24"/>
              </w:rPr>
            </w:pPr>
            <w:r>
              <w:rPr>
                <w:rFonts w:ascii="Times New Roman" w:eastAsia="Times New Roman" w:hAnsi="Times New Roman" w:cs="Times New Roman"/>
                <w:color w:val="000000"/>
                <w:spacing w:val="0"/>
                <w:w w:val="100"/>
                <w:position w:val="0"/>
                <w:sz w:val="24"/>
                <w:szCs w:val="24"/>
              </w:rPr>
              <w:t>44,458,188,640</w:t>
            </w:r>
          </w:p>
        </w:tc>
      </w:tr>
    </w:tbl>
    <w:p>
      <w:pPr>
        <w:pStyle w:val="Style25"/>
        <w:keepNext w:val="0"/>
        <w:keepLines w:val="0"/>
        <w:widowControl w:val="0"/>
        <w:shd w:val="clear" w:color="auto" w:fill="auto"/>
        <w:bidi w:val="0"/>
        <w:spacing w:before="0" w:after="0" w:line="240" w:lineRule="auto"/>
        <w:ind w:left="720" w:right="0" w:firstLine="0"/>
        <w:jc w:val="left"/>
        <w:rPr>
          <w:sz w:val="22"/>
          <w:szCs w:val="22"/>
        </w:rPr>
        <w:sectPr>
          <w:footnotePr>
            <w:pos w:val="pageBottom"/>
            <w:numFmt w:val="decimal"/>
            <w:numRestart w:val="continuous"/>
          </w:footnotePr>
          <w:pgSz w:w="11900" w:h="16840"/>
          <w:pgMar w:top="1599" w:right="771" w:bottom="1954" w:left="987" w:header="0" w:footer="3" w:gutter="0"/>
          <w:cols w:space="720"/>
          <w:noEndnote/>
          <w:rtlGutter w:val="0"/>
          <w:docGrid w:linePitch="360"/>
        </w:sectPr>
      </w:pPr>
      <w:r>
        <w:rPr>
          <w:color w:val="000000"/>
          <w:spacing w:val="0"/>
          <w:w w:val="100"/>
          <w:position w:val="0"/>
          <w:sz w:val="22"/>
          <w:szCs w:val="22"/>
        </w:rPr>
        <w:t>本集团长期股权投资不存在变现的重大限制。</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9" w:val="left"/>
        </w:tabs>
        <w:bidi w:val="0"/>
        <w:spacing w:before="0" w:after="30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9" w:val="left"/>
        </w:tabs>
        <w:bidi w:val="0"/>
        <w:spacing w:before="0" w:after="300" w:line="240" w:lineRule="auto"/>
        <w:ind w:left="0" w:right="0" w:firstLine="0"/>
        <w:jc w:val="left"/>
        <w:rPr>
          <w:sz w:val="22"/>
          <w:szCs w:val="22"/>
        </w:rPr>
      </w:pPr>
      <w:bookmarkStart w:id="1141" w:name="bookmark1141"/>
      <w:r>
        <w:rPr>
          <w:rFonts w:ascii="Times New Roman" w:eastAsia="Times New Roman" w:hAnsi="Times New Roman" w:cs="Times New Roman"/>
          <w:color w:val="000000"/>
          <w:spacing w:val="0"/>
          <w:w w:val="100"/>
          <w:position w:val="0"/>
          <w:sz w:val="24"/>
          <w:szCs w:val="24"/>
          <w:shd w:val="clear" w:color="auto" w:fill="FFFFFF"/>
        </w:rPr>
        <w:t>1</w:t>
      </w:r>
      <w:bookmarkEnd w:id="1141"/>
      <w:r>
        <w:rPr>
          <w:rFonts w:ascii="Times New Roman" w:eastAsia="Times New Roman" w:hAnsi="Times New Roman" w:cs="Times New Roman"/>
          <w:color w:val="000000"/>
          <w:spacing w:val="0"/>
          <w:w w:val="100"/>
          <w:position w:val="0"/>
          <w:sz w:val="24"/>
          <w:szCs w:val="24"/>
          <w:shd w:val="clear" w:color="auto" w:fill="FFFFFF"/>
        </w:rPr>
        <w:t>0</w:t>
      </w:r>
      <w:r>
        <w:rPr>
          <w:color w:val="000000"/>
          <w:spacing w:val="0"/>
          <w:w w:val="100"/>
          <w:position w:val="0"/>
          <w:sz w:val="22"/>
          <w:szCs w:val="22"/>
          <w:shd w:val="clear" w:color="auto" w:fill="FFFFFF"/>
        </w:rPr>
        <w:t>、</w:t>
      </w:r>
      <w:r>
        <w:rPr>
          <w:color w:val="000000"/>
          <w:spacing w:val="0"/>
          <w:w w:val="100"/>
          <w:position w:val="0"/>
          <w:sz w:val="22"/>
          <w:szCs w:val="22"/>
        </w:rPr>
        <w:tab/>
        <w:t>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20"/>
        <w:jc w:val="left"/>
        <w:rPr>
          <w:sz w:val="22"/>
          <w:szCs w:val="22"/>
        </w:rPr>
      </w:pPr>
      <w:r>
        <w:rPr>
          <w:color w:val="000000"/>
          <w:spacing w:val="0"/>
          <w:w w:val="100"/>
          <w:position w:val="0"/>
          <w:sz w:val="22"/>
          <w:szCs w:val="22"/>
        </w:rPr>
        <w:t>合营及联营企业本年变动情况分析如下:</w:t>
      </w:r>
    </w:p>
    <w:p>
      <w:pPr>
        <w:pStyle w:val="Style25"/>
        <w:keepNext w:val="0"/>
        <w:keepLines w:val="0"/>
        <w:widowControl w:val="0"/>
        <w:shd w:val="clear" w:color="auto" w:fill="auto"/>
        <w:bidi w:val="0"/>
        <w:spacing w:before="0" w:after="0" w:line="240" w:lineRule="auto"/>
        <w:ind w:left="3864" w:right="0" w:firstLine="0"/>
        <w:jc w:val="left"/>
        <w:rPr>
          <w:sz w:val="14"/>
          <w:szCs w:val="14"/>
        </w:rPr>
      </w:pPr>
      <w:r>
        <w:rPr>
          <w:color w:val="000000"/>
          <w:spacing w:val="0"/>
          <w:w w:val="100"/>
          <w:position w:val="0"/>
          <w:sz w:val="14"/>
          <w:szCs w:val="14"/>
        </w:rPr>
        <w:t>本年增减变动</w:t>
      </w:r>
    </w:p>
    <w:tbl>
      <w:tblPr>
        <w:tblOverlap w:val="never"/>
        <w:jc w:val="center"/>
        <w:tblLayout w:type="fixed"/>
      </w:tblPr>
      <w:tblGrid>
        <w:gridCol w:w="1613"/>
        <w:gridCol w:w="1162"/>
        <w:gridCol w:w="1070"/>
        <w:gridCol w:w="965"/>
        <w:gridCol w:w="1094"/>
        <w:gridCol w:w="1085"/>
        <w:gridCol w:w="1123"/>
        <w:gridCol w:w="1162"/>
        <w:gridCol w:w="1200"/>
        <w:gridCol w:w="1013"/>
        <w:gridCol w:w="1109"/>
        <w:gridCol w:w="1214"/>
        <w:gridCol w:w="984"/>
      </w:tblGrid>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u w:val="single"/>
              </w:rPr>
              <w:t>被投资单位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u w:val="single"/>
              </w:rPr>
              <w:t>年初余额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u w:val="single"/>
              </w:rPr>
              <w:t>增加投资</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u w:val="single"/>
              </w:rPr>
              <w:t>减少投资</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其他变动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权益法下</w:t>
            </w:r>
          </w:p>
          <w:p>
            <w:pPr>
              <w:pStyle w:val="Style2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确认的投资</w:t>
            </w:r>
          </w:p>
          <w:p>
            <w:pPr>
              <w:pStyle w:val="Style2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u w:val="single"/>
              </w:rPr>
              <w:t>收益</w:t>
            </w:r>
            <w:r>
              <w:rPr>
                <w:rFonts w:ascii="Times New Roman" w:eastAsia="Times New Roman" w:hAnsi="Times New Roman" w:cs="Times New Roman"/>
                <w:color w:val="000000"/>
                <w:spacing w:val="0"/>
                <w:w w:val="100"/>
                <w:position w:val="0"/>
                <w:sz w:val="14"/>
                <w:szCs w:val="14"/>
                <w:u w:val="single"/>
              </w:rPr>
              <w:t>/（</w:t>
            </w:r>
            <w:r>
              <w:rPr>
                <w:color w:val="000000"/>
                <w:spacing w:val="0"/>
                <w:w w:val="100"/>
                <w:position w:val="0"/>
                <w:sz w:val="14"/>
                <w:szCs w:val="14"/>
                <w:u w:val="single"/>
              </w:rPr>
              <w:t>损失</w:t>
            </w:r>
            <w:r>
              <w:rPr>
                <w:color w:val="000000"/>
                <w:spacing w:val="0"/>
                <w:w w:val="100"/>
                <w:position w:val="0"/>
                <w:sz w:val="14"/>
                <w:szCs w:val="14"/>
                <w:u w:val="single"/>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u w:val="single"/>
              </w:rPr>
              <w:t>其他综合收益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其他权益变动</w:t>
            </w:r>
          </w:p>
        </w:tc>
        <w:tc>
          <w:tcPr>
            <w:tcBorders/>
            <w:shd w:val="clear" w:color="auto" w:fill="FFFFFF"/>
            <w:vAlign w:val="center"/>
          </w:tcPr>
          <w:p>
            <w:pPr>
              <w:pStyle w:val="Style22"/>
              <w:keepNext w:val="0"/>
              <w:keepLines w:val="0"/>
              <w:widowControl w:val="0"/>
              <w:shd w:val="clear" w:color="auto" w:fill="auto"/>
              <w:bidi w:val="0"/>
              <w:spacing w:before="0" w:after="0" w:line="178" w:lineRule="exact"/>
              <w:ind w:left="0" w:right="0" w:firstLine="0"/>
              <w:jc w:val="center"/>
              <w:rPr>
                <w:sz w:val="14"/>
                <w:szCs w:val="14"/>
              </w:rPr>
            </w:pPr>
            <w:r>
              <w:rPr>
                <w:color w:val="000000"/>
                <w:spacing w:val="0"/>
                <w:w w:val="100"/>
                <w:position w:val="0"/>
                <w:sz w:val="14"/>
                <w:szCs w:val="14"/>
              </w:rPr>
              <w:t xml:space="preserve">宣告分派 </w:t>
            </w:r>
            <w:r>
              <w:rPr>
                <w:color w:val="000000"/>
                <w:spacing w:val="0"/>
                <w:w w:val="100"/>
                <w:position w:val="0"/>
                <w:sz w:val="14"/>
                <w:szCs w:val="14"/>
                <w:u w:val="single"/>
              </w:rPr>
              <w:t>的现金股利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440" w:firstLine="0"/>
              <w:jc w:val="right"/>
              <w:rPr>
                <w:sz w:val="14"/>
                <w:szCs w:val="14"/>
              </w:rPr>
            </w:pPr>
            <w:r>
              <w:rPr>
                <w:color w:val="000000"/>
                <w:spacing w:val="0"/>
                <w:w w:val="100"/>
                <w:position w:val="0"/>
                <w:sz w:val="14"/>
                <w:szCs w:val="14"/>
                <w:u w:val="single"/>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u w:val="single"/>
              </w:rPr>
              <w:t>计提减值准备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14"/>
                <w:szCs w:val="14"/>
              </w:rPr>
            </w:pPr>
            <w:r>
              <w:rPr>
                <w:color w:val="000000"/>
                <w:spacing w:val="0"/>
                <w:w w:val="100"/>
                <w:position w:val="0"/>
                <w:sz w:val="14"/>
                <w:szCs w:val="14"/>
                <w:u w:val="single"/>
              </w:rPr>
              <w:t>年末余额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减值准备</w:t>
            </w:r>
          </w:p>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年末余额</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合营企业</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招联消费金融有限公司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5,513,817,365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1,505,002,530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7,018,819,895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18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云粒智慧科技有限公司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85,211,735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(24,946,307)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(8,553,355)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51,712,073</w:t>
            </w:r>
          </w:p>
        </w:tc>
        <w:tc>
          <w:tcPr>
            <w:tcBorders>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18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云镝智慧科技有限公司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12,116,485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(8,011,154)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14"/>
                <w:szCs w:val="14"/>
              </w:rPr>
            </w:pPr>
            <w:r>
              <w:rPr>
                <w:rFonts w:ascii="Times New Roman" w:eastAsia="Times New Roman" w:hAnsi="Times New Roman" w:cs="Times New Roman"/>
                <w:color w:val="000000"/>
                <w:spacing w:val="0"/>
                <w:w w:val="100"/>
                <w:position w:val="0"/>
                <w:sz w:val="14"/>
                <w:szCs w:val="14"/>
              </w:rPr>
              <w:t>4,105,331</w:t>
            </w:r>
          </w:p>
        </w:tc>
        <w:tc>
          <w:tcPr>
            <w:tcBorders>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1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云启智慧科技有限公司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9,154,688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(13,699,055)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15,455,633</w:t>
            </w:r>
          </w:p>
        </w:tc>
        <w:tc>
          <w:tcPr>
            <w:tcBorders>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16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36,168,727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25,000,000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(1,185,000)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(10,031,645)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(1,993,339)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47,958,743</w:t>
            </w:r>
          </w:p>
        </w:tc>
        <w:tc>
          <w:tcPr>
            <w:tcBorders>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28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5,656,469,000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45,000,000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(1,185,000)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1,448,314,369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(8,553,355)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(1,993,339)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7,138,051,675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联营企业</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广联视通新媒体</w:t>
            </w:r>
          </w:p>
          <w:p>
            <w:pPr>
              <w:pStyle w:val="Style2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30,500,346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29,399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30,529,745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17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中国铁塔股份有限公司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37,198,018,313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1,774,277,130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(178,134)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(58,543,861)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(812,329,453)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38,101,243,995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37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中国东盟信息港股份</w:t>
            </w:r>
          </w:p>
          <w:p>
            <w:pPr>
              <w:pStyle w:val="Style2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78,247,325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18,875,008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78,626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2,207,855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99,408,814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17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联通航美网络有限公司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45,699,797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697,340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46,397,137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37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智慧足迹数据科技有限</w:t>
            </w:r>
          </w:p>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4"/>
                <w:szCs w:val="14"/>
              </w:rPr>
              <w:t>公司</w:t>
            </w:r>
            <w:r>
              <w:rPr>
                <w:color w:val="000000"/>
                <w:spacing w:val="0"/>
                <w:w w:val="100"/>
                <w:position w:val="0"/>
                <w:sz w:val="15"/>
                <w:szCs w:val="15"/>
              </w:rPr>
              <w:t>（</w:t>
            </w:r>
            <w:r>
              <w:rPr>
                <w:color w:val="000000"/>
                <w:spacing w:val="0"/>
                <w:w w:val="100"/>
                <w:position w:val="0"/>
                <w:sz w:val="14"/>
                <w:szCs w:val="14"/>
              </w:rPr>
              <w:t>“智慧足迹“</w:t>
            </w:r>
            <w:r>
              <w:rPr>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27,334,655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(23,062,380)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26,413,177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30,685,452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37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哈尔滨博实自动化股份</w:t>
            </w:r>
          </w:p>
          <w:p>
            <w:pPr>
              <w:pStyle w:val="Style2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1,697,572,750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86,850,360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1,784,423,110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16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1,427,877,294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631,878,300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(886,638,000)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4,016,490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482,057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4"/>
                <w:szCs w:val="14"/>
              </w:rPr>
            </w:pPr>
            <w:r>
              <w:rPr>
                <w:rFonts w:ascii="Times New Roman" w:eastAsia="Times New Roman" w:hAnsi="Times New Roman" w:cs="Times New Roman"/>
                <w:color w:val="000000"/>
                <w:spacing w:val="0"/>
                <w:w w:val="100"/>
                <w:position w:val="0"/>
                <w:sz w:val="14"/>
                <w:szCs w:val="14"/>
              </w:rPr>
              <w:t>(475,608)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14,475,101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1,191,615,634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5,958,090</w:t>
            </w:r>
          </w:p>
        </w:tc>
      </w:tr>
      <w:tr>
        <w:trPr>
          <w:trHeight w:val="19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38,807,677,730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2,329,451,050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(886,638,000)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1,861,683,347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(99,508)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(29,440,772)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(812,805,061)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14,475,101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41,284,303,887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5,958,090</w:t>
            </w:r>
          </w:p>
        </w:tc>
      </w:tr>
      <w:tr>
        <w:trPr>
          <w:trHeight w:val="22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44,464,146,730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2,374,451,050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(887,823,000)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3,309,997,716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(99,508)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(37,994,127)</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(812,805,061)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12,481,762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48,422,355,562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5,958,090</w:t>
            </w:r>
          </w:p>
        </w:tc>
      </w:tr>
    </w:tbl>
    <w:p>
      <w:pPr>
        <w:sectPr>
          <w:footnotePr>
            <w:pos w:val="pageBottom"/>
            <w:numFmt w:val="decimal"/>
            <w:numRestart w:val="continuous"/>
          </w:footnotePr>
          <w:pgSz w:w="16840" w:h="11900" w:orient="landscape"/>
          <w:pgMar w:top="1596" w:right="471" w:bottom="1596" w:left="841" w:header="0" w:footer="3" w:gutter="0"/>
          <w:cols w:space="720"/>
          <w:noEndnote/>
          <w:rtlGutter w:val="0"/>
          <w:docGrid w:linePitch="360"/>
        </w:sectPr>
      </w:pP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9" w:val="left"/>
        </w:tabs>
        <w:bidi w:val="0"/>
        <w:spacing w:before="0" w:after="28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9" w:val="left"/>
        </w:tabs>
        <w:bidi w:val="0"/>
        <w:spacing w:before="0" w:after="0" w:line="240" w:lineRule="auto"/>
        <w:ind w:left="0" w:right="0" w:firstLine="0"/>
        <w:jc w:val="left"/>
        <w:rPr>
          <w:sz w:val="22"/>
          <w:szCs w:val="22"/>
        </w:rPr>
      </w:pPr>
      <w:bookmarkStart w:id="1143" w:name="bookmark1143"/>
      <w:r>
        <w:rPr>
          <w:rFonts w:ascii="Times New Roman" w:eastAsia="Times New Roman" w:hAnsi="Times New Roman" w:cs="Times New Roman"/>
          <w:color w:val="000000"/>
          <w:spacing w:val="0"/>
          <w:w w:val="100"/>
          <w:position w:val="0"/>
          <w:sz w:val="24"/>
          <w:szCs w:val="24"/>
          <w:shd w:val="clear" w:color="auto" w:fill="FFFFFF"/>
        </w:rPr>
        <w:t>1</w:t>
      </w:r>
      <w:bookmarkEnd w:id="1143"/>
      <w:r>
        <w:rPr>
          <w:rFonts w:ascii="Times New Roman" w:eastAsia="Times New Roman" w:hAnsi="Times New Roman" w:cs="Times New Roman"/>
          <w:color w:val="000000"/>
          <w:spacing w:val="0"/>
          <w:w w:val="100"/>
          <w:position w:val="0"/>
          <w:sz w:val="24"/>
          <w:szCs w:val="24"/>
          <w:shd w:val="clear" w:color="auto" w:fill="FFFFFF"/>
        </w:rPr>
        <w:t>1</w:t>
      </w:r>
      <w:r>
        <w:rPr>
          <w:color w:val="000000"/>
          <w:spacing w:val="0"/>
          <w:w w:val="100"/>
          <w:position w:val="0"/>
          <w:sz w:val="22"/>
          <w:szCs w:val="22"/>
          <w:shd w:val="clear" w:color="auto" w:fill="FFFFFF"/>
        </w:rPr>
        <w:t>、</w:t>
      </w:r>
      <w:r>
        <w:rPr>
          <w:color w:val="000000"/>
          <w:spacing w:val="0"/>
          <w:w w:val="100"/>
          <w:position w:val="0"/>
          <w:sz w:val="22"/>
          <w:szCs w:val="22"/>
        </w:rPr>
        <w:tab/>
        <w:t>其他权益工具投资</w:t>
      </w:r>
    </w:p>
    <w:p>
      <w:pPr>
        <w:widowControl w:val="0"/>
        <w:spacing w:line="1" w:lineRule="exact"/>
      </w:pPr>
      <w:r>
        <mc:AlternateContent>
          <mc:Choice Requires="wps">
            <w:drawing>
              <wp:anchor distT="628650" distB="0" distL="0" distR="0" simplePos="0" relativeHeight="125829393" behindDoc="0" locked="0" layoutInCell="1" allowOverlap="1">
                <wp:simplePos x="0" y="0"/>
                <wp:positionH relativeFrom="page">
                  <wp:posOffset>647065</wp:posOffset>
                </wp:positionH>
                <wp:positionV relativeFrom="paragraph">
                  <wp:posOffset>628650</wp:posOffset>
                </wp:positionV>
                <wp:extent cx="2157730" cy="1127760"/>
                <wp:wrapTopAndBottom/>
                <wp:docPr id="34" name="Shape 34"/>
                <a:graphic xmlns:a="http://schemas.openxmlformats.org/drawingml/2006/main">
                  <a:graphicData uri="http://schemas.microsoft.com/office/word/2010/wordprocessingShape">
                    <wps:wsp>
                      <wps:cNvSpPr txBox="1"/>
                      <wps:spPr>
                        <a:xfrm>
                          <a:ext cx="2157730" cy="1127760"/>
                        </a:xfrm>
                        <a:prstGeom prst="rect"/>
                        <a:noFill/>
                      </wps:spPr>
                      <wps:txbx>
                        <w:txbxContent>
                          <w:p>
                            <w:pPr>
                              <w:pStyle w:val="Style5"/>
                              <w:keepNext w:val="0"/>
                              <w:keepLines w:val="0"/>
                              <w:widowControl w:val="0"/>
                              <w:shd w:val="clear" w:color="auto" w:fill="auto"/>
                              <w:bidi w:val="0"/>
                              <w:spacing w:before="0" w:after="40" w:line="240" w:lineRule="auto"/>
                              <w:ind w:left="0" w:right="0" w:firstLine="720"/>
                              <w:jc w:val="left"/>
                              <w:rPr>
                                <w:sz w:val="22"/>
                                <w:szCs w:val="22"/>
                              </w:rPr>
                            </w:pPr>
                            <w:r>
                              <w:rPr>
                                <w:color w:val="000000"/>
                                <w:spacing w:val="0"/>
                                <w:w w:val="100"/>
                                <w:position w:val="0"/>
                                <w:sz w:val="22"/>
                                <w:szCs w:val="22"/>
                              </w:rPr>
                              <w:t>对交通银行的股票投资</w:t>
                            </w:r>
                          </w:p>
                          <w:p>
                            <w:pPr>
                              <w:pStyle w:val="Style5"/>
                              <w:keepNext w:val="0"/>
                              <w:keepLines w:val="0"/>
                              <w:widowControl w:val="0"/>
                              <w:shd w:val="clear" w:color="auto" w:fill="auto"/>
                              <w:bidi w:val="0"/>
                              <w:spacing w:before="0" w:after="40" w:line="240" w:lineRule="auto"/>
                              <w:ind w:left="0" w:right="0" w:firstLine="720"/>
                              <w:jc w:val="left"/>
                              <w:rPr>
                                <w:sz w:val="22"/>
                                <w:szCs w:val="22"/>
                              </w:rPr>
                            </w:pPr>
                            <w:r>
                              <w:rPr>
                                <w:color w:val="000000"/>
                                <w:spacing w:val="0"/>
                                <w:w w:val="100"/>
                                <w:position w:val="0"/>
                                <w:sz w:val="22"/>
                                <w:szCs w:val="22"/>
                              </w:rPr>
                              <w:t>对西班牙电信的股票投资</w:t>
                            </w:r>
                          </w:p>
                          <w:p>
                            <w:pPr>
                              <w:pStyle w:val="Style5"/>
                              <w:keepNext w:val="0"/>
                              <w:keepLines w:val="0"/>
                              <w:widowControl w:val="0"/>
                              <w:shd w:val="clear" w:color="auto" w:fill="auto"/>
                              <w:bidi w:val="0"/>
                              <w:spacing w:before="0" w:after="40" w:line="240" w:lineRule="auto"/>
                              <w:ind w:left="0" w:right="0" w:firstLine="720"/>
                              <w:jc w:val="left"/>
                              <w:rPr>
                                <w:sz w:val="22"/>
                                <w:szCs w:val="22"/>
                              </w:rPr>
                            </w:pPr>
                            <w:r>
                              <w:rPr>
                                <w:color w:val="000000"/>
                                <w:spacing w:val="0"/>
                                <w:w w:val="100"/>
                                <w:position w:val="0"/>
                                <w:sz w:val="22"/>
                                <w:szCs w:val="22"/>
                              </w:rPr>
                              <w:t>其他</w:t>
                            </w:r>
                          </w:p>
                          <w:p>
                            <w:pPr>
                              <w:pStyle w:val="Style5"/>
                              <w:keepNext w:val="0"/>
                              <w:keepLines w:val="0"/>
                              <w:widowControl w:val="0"/>
                              <w:shd w:val="clear" w:color="auto" w:fill="auto"/>
                              <w:bidi w:val="0"/>
                              <w:spacing w:before="0" w:after="280" w:line="240" w:lineRule="auto"/>
                              <w:ind w:left="0" w:right="0" w:firstLine="720"/>
                              <w:jc w:val="left"/>
                              <w:rPr>
                                <w:sz w:val="22"/>
                                <w:szCs w:val="22"/>
                              </w:rPr>
                            </w:pPr>
                            <w:r>
                              <w:rPr>
                                <w:color w:val="000000"/>
                                <w:spacing w:val="0"/>
                                <w:w w:val="100"/>
                                <w:position w:val="0"/>
                                <w:sz w:val="22"/>
                                <w:szCs w:val="22"/>
                              </w:rPr>
                              <w:t>合计</w:t>
                            </w:r>
                          </w:p>
                          <w:p>
                            <w:pPr>
                              <w:pStyle w:val="Style5"/>
                              <w:keepNext w:val="0"/>
                              <w:keepLines w:val="0"/>
                              <w:widowControl w:val="0"/>
                              <w:shd w:val="clear" w:color="auto" w:fill="auto"/>
                              <w:tabs>
                                <w:tab w:pos="720" w:val="left"/>
                              </w:tabs>
                              <w:bidi w:val="0"/>
                              <w:spacing w:before="0" w:after="40" w:line="240" w:lineRule="auto"/>
                              <w:ind w:left="0" w:right="0" w:firstLine="0"/>
                              <w:jc w:val="left"/>
                              <w:rPr>
                                <w:sz w:val="22"/>
                                <w:szCs w:val="22"/>
                              </w:rPr>
                            </w:pPr>
                            <w:bookmarkStart w:id="1142" w:name="bookmark1142"/>
                            <w:r>
                              <w:rPr>
                                <w:rFonts w:ascii="Times New Roman" w:eastAsia="Times New Roman" w:hAnsi="Times New Roman" w:cs="Times New Roman"/>
                                <w:color w:val="000000"/>
                                <w:spacing w:val="0"/>
                                <w:w w:val="100"/>
                                <w:position w:val="0"/>
                                <w:sz w:val="24"/>
                                <w:szCs w:val="24"/>
                                <w:shd w:val="clear" w:color="auto" w:fill="FFFFFF"/>
                              </w:rPr>
                              <w:t>1</w:t>
                            </w:r>
                            <w:bookmarkEnd w:id="1142"/>
                            <w:r>
                              <w:rPr>
                                <w:rFonts w:ascii="Times New Roman" w:eastAsia="Times New Roman" w:hAnsi="Times New Roman" w:cs="Times New Roman"/>
                                <w:color w:val="000000"/>
                                <w:spacing w:val="0"/>
                                <w:w w:val="100"/>
                                <w:position w:val="0"/>
                                <w:sz w:val="24"/>
                                <w:szCs w:val="24"/>
                                <w:shd w:val="clear" w:color="auto" w:fill="FFFFFF"/>
                              </w:rPr>
                              <w:t>2</w:t>
                            </w:r>
                            <w:r>
                              <w:rPr>
                                <w:color w:val="000000"/>
                                <w:spacing w:val="0"/>
                                <w:w w:val="100"/>
                                <w:position w:val="0"/>
                                <w:sz w:val="22"/>
                                <w:szCs w:val="22"/>
                                <w:shd w:val="clear" w:color="auto" w:fill="FFFFFF"/>
                              </w:rPr>
                              <w:t>、</w:t>
                            </w:r>
                            <w:r>
                              <w:rPr>
                                <w:color w:val="000000"/>
                                <w:spacing w:val="0"/>
                                <w:w w:val="100"/>
                                <w:position w:val="0"/>
                                <w:sz w:val="22"/>
                                <w:szCs w:val="22"/>
                              </w:rPr>
                              <w:tab/>
                              <w:t>固定资产</w:t>
                            </w:r>
                          </w:p>
                        </w:txbxContent>
                      </wps:txbx>
                      <wps:bodyPr lIns="0" tIns="0" rIns="0" bIns="0">
                        <a:noAutoFit/>
                      </wps:bodyPr>
                    </wps:wsp>
                  </a:graphicData>
                </a:graphic>
              </wp:anchor>
            </w:drawing>
          </mc:Choice>
          <mc:Fallback>
            <w:pict>
              <v:shape id="_x0000_s1060" type="#_x0000_t202" style="position:absolute;margin-left:50.950000000000003pt;margin-top:49.5pt;width:169.90000000000001pt;height:88.799999999999997pt;z-index:-125829360;mso-wrap-distance-left:0;mso-wrap-distance-top:49.5pt;mso-wrap-distance-right:0;mso-position-horizontal-relative:page" filled="f" stroked="f">
                <v:textbox inset="0,0,0,0">
                  <w:txbxContent>
                    <w:p>
                      <w:pPr>
                        <w:pStyle w:val="Style5"/>
                        <w:keepNext w:val="0"/>
                        <w:keepLines w:val="0"/>
                        <w:widowControl w:val="0"/>
                        <w:shd w:val="clear" w:color="auto" w:fill="auto"/>
                        <w:bidi w:val="0"/>
                        <w:spacing w:before="0" w:after="40" w:line="240" w:lineRule="auto"/>
                        <w:ind w:left="0" w:right="0" w:firstLine="720"/>
                        <w:jc w:val="left"/>
                        <w:rPr>
                          <w:sz w:val="22"/>
                          <w:szCs w:val="22"/>
                        </w:rPr>
                      </w:pPr>
                      <w:r>
                        <w:rPr>
                          <w:color w:val="000000"/>
                          <w:spacing w:val="0"/>
                          <w:w w:val="100"/>
                          <w:position w:val="0"/>
                          <w:sz w:val="22"/>
                          <w:szCs w:val="22"/>
                        </w:rPr>
                        <w:t>对交通银行的股票投资</w:t>
                      </w:r>
                    </w:p>
                    <w:p>
                      <w:pPr>
                        <w:pStyle w:val="Style5"/>
                        <w:keepNext w:val="0"/>
                        <w:keepLines w:val="0"/>
                        <w:widowControl w:val="0"/>
                        <w:shd w:val="clear" w:color="auto" w:fill="auto"/>
                        <w:bidi w:val="0"/>
                        <w:spacing w:before="0" w:after="40" w:line="240" w:lineRule="auto"/>
                        <w:ind w:left="0" w:right="0" w:firstLine="720"/>
                        <w:jc w:val="left"/>
                        <w:rPr>
                          <w:sz w:val="22"/>
                          <w:szCs w:val="22"/>
                        </w:rPr>
                      </w:pPr>
                      <w:r>
                        <w:rPr>
                          <w:color w:val="000000"/>
                          <w:spacing w:val="0"/>
                          <w:w w:val="100"/>
                          <w:position w:val="0"/>
                          <w:sz w:val="22"/>
                          <w:szCs w:val="22"/>
                        </w:rPr>
                        <w:t>对西班牙电信的股票投资</w:t>
                      </w:r>
                    </w:p>
                    <w:p>
                      <w:pPr>
                        <w:pStyle w:val="Style5"/>
                        <w:keepNext w:val="0"/>
                        <w:keepLines w:val="0"/>
                        <w:widowControl w:val="0"/>
                        <w:shd w:val="clear" w:color="auto" w:fill="auto"/>
                        <w:bidi w:val="0"/>
                        <w:spacing w:before="0" w:after="40" w:line="240" w:lineRule="auto"/>
                        <w:ind w:left="0" w:right="0" w:firstLine="720"/>
                        <w:jc w:val="left"/>
                        <w:rPr>
                          <w:sz w:val="22"/>
                          <w:szCs w:val="22"/>
                        </w:rPr>
                      </w:pPr>
                      <w:r>
                        <w:rPr>
                          <w:color w:val="000000"/>
                          <w:spacing w:val="0"/>
                          <w:w w:val="100"/>
                          <w:position w:val="0"/>
                          <w:sz w:val="22"/>
                          <w:szCs w:val="22"/>
                        </w:rPr>
                        <w:t>其他</w:t>
                      </w:r>
                    </w:p>
                    <w:p>
                      <w:pPr>
                        <w:pStyle w:val="Style5"/>
                        <w:keepNext w:val="0"/>
                        <w:keepLines w:val="0"/>
                        <w:widowControl w:val="0"/>
                        <w:shd w:val="clear" w:color="auto" w:fill="auto"/>
                        <w:bidi w:val="0"/>
                        <w:spacing w:before="0" w:after="280" w:line="240" w:lineRule="auto"/>
                        <w:ind w:left="0" w:right="0" w:firstLine="720"/>
                        <w:jc w:val="left"/>
                        <w:rPr>
                          <w:sz w:val="22"/>
                          <w:szCs w:val="22"/>
                        </w:rPr>
                      </w:pPr>
                      <w:r>
                        <w:rPr>
                          <w:color w:val="000000"/>
                          <w:spacing w:val="0"/>
                          <w:w w:val="100"/>
                          <w:position w:val="0"/>
                          <w:sz w:val="22"/>
                          <w:szCs w:val="22"/>
                        </w:rPr>
                        <w:t>合计</w:t>
                      </w:r>
                    </w:p>
                    <w:p>
                      <w:pPr>
                        <w:pStyle w:val="Style5"/>
                        <w:keepNext w:val="0"/>
                        <w:keepLines w:val="0"/>
                        <w:widowControl w:val="0"/>
                        <w:shd w:val="clear" w:color="auto" w:fill="auto"/>
                        <w:tabs>
                          <w:tab w:pos="720" w:val="left"/>
                        </w:tabs>
                        <w:bidi w:val="0"/>
                        <w:spacing w:before="0" w:after="40" w:line="240" w:lineRule="auto"/>
                        <w:ind w:left="0" w:right="0" w:firstLine="0"/>
                        <w:jc w:val="left"/>
                        <w:rPr>
                          <w:sz w:val="22"/>
                          <w:szCs w:val="22"/>
                        </w:rPr>
                      </w:pPr>
                      <w:bookmarkStart w:id="1142" w:name="bookmark1142"/>
                      <w:r>
                        <w:rPr>
                          <w:rFonts w:ascii="Times New Roman" w:eastAsia="Times New Roman" w:hAnsi="Times New Roman" w:cs="Times New Roman"/>
                          <w:color w:val="000000"/>
                          <w:spacing w:val="0"/>
                          <w:w w:val="100"/>
                          <w:position w:val="0"/>
                          <w:sz w:val="24"/>
                          <w:szCs w:val="24"/>
                          <w:shd w:val="clear" w:color="auto" w:fill="FFFFFF"/>
                        </w:rPr>
                        <w:t>1</w:t>
                      </w:r>
                      <w:bookmarkEnd w:id="1142"/>
                      <w:r>
                        <w:rPr>
                          <w:rFonts w:ascii="Times New Roman" w:eastAsia="Times New Roman" w:hAnsi="Times New Roman" w:cs="Times New Roman"/>
                          <w:color w:val="000000"/>
                          <w:spacing w:val="0"/>
                          <w:w w:val="100"/>
                          <w:position w:val="0"/>
                          <w:sz w:val="24"/>
                          <w:szCs w:val="24"/>
                          <w:shd w:val="clear" w:color="auto" w:fill="FFFFFF"/>
                        </w:rPr>
                        <w:t>2</w:t>
                      </w:r>
                      <w:r>
                        <w:rPr>
                          <w:color w:val="000000"/>
                          <w:spacing w:val="0"/>
                          <w:w w:val="100"/>
                          <w:position w:val="0"/>
                          <w:sz w:val="22"/>
                          <w:szCs w:val="22"/>
                          <w:shd w:val="clear" w:color="auto" w:fill="FFFFFF"/>
                        </w:rPr>
                        <w:t>、</w:t>
                      </w:r>
                      <w:r>
                        <w:rPr>
                          <w:color w:val="000000"/>
                          <w:spacing w:val="0"/>
                          <w:w w:val="100"/>
                          <w:position w:val="0"/>
                          <w:sz w:val="22"/>
                          <w:szCs w:val="22"/>
                        </w:rPr>
                        <w:tab/>
                        <w:t>固定资产</w:t>
                      </w:r>
                    </w:p>
                  </w:txbxContent>
                </v:textbox>
                <w10:wrap type="topAndBottom" anchorx="page"/>
              </v:shape>
            </w:pict>
          </mc:Fallback>
        </mc:AlternateContent>
      </w:r>
      <w:r>
        <mc:AlternateContent>
          <mc:Choice Requires="wps">
            <w:drawing>
              <wp:anchor distT="88900" distB="350520" distL="0" distR="0" simplePos="0" relativeHeight="125829395" behindDoc="0" locked="0" layoutInCell="1" allowOverlap="1">
                <wp:simplePos x="0" y="0"/>
                <wp:positionH relativeFrom="page">
                  <wp:posOffset>4917440</wp:posOffset>
                </wp:positionH>
                <wp:positionV relativeFrom="paragraph">
                  <wp:posOffset>88900</wp:posOffset>
                </wp:positionV>
                <wp:extent cx="2157730" cy="1316990"/>
                <wp:wrapTopAndBottom/>
                <wp:docPr id="36" name="Shape 36"/>
                <a:graphic xmlns:a="http://schemas.openxmlformats.org/drawingml/2006/main">
                  <a:graphicData uri="http://schemas.microsoft.com/office/word/2010/wordprocessingShape">
                    <wps:wsp>
                      <wps:cNvSpPr txBox="1"/>
                      <wps:spPr>
                        <a:xfrm>
                          <a:ext cx="2157730" cy="1316990"/>
                        </a:xfrm>
                        <a:prstGeom prst="rect"/>
                        <a:noFill/>
                      </wps:spPr>
                      <wps:txbx>
                        <w:txbxContent>
                          <w:p>
                            <w:pPr>
                              <w:pStyle w:val="Style89"/>
                              <w:keepNext w:val="0"/>
                              <w:keepLines w:val="0"/>
                              <w:widowControl w:val="0"/>
                              <w:shd w:val="clear" w:color="auto" w:fill="auto"/>
                              <w:tabs>
                                <w:tab w:pos="2102" w:val="left"/>
                              </w:tabs>
                              <w:bidi w:val="0"/>
                              <w:spacing w:before="0" w:after="0" w:line="240" w:lineRule="auto"/>
                              <w:ind w:left="0" w:right="0" w:firstLine="220"/>
                              <w:jc w:val="left"/>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tab/>
                            </w: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tabs>
                                <w:tab w:pos="1882" w:val="left"/>
                              </w:tabs>
                              <w:bidi w:val="0"/>
                              <w:spacing w:before="0" w:after="280" w:line="240" w:lineRule="auto"/>
                              <w:ind w:left="0" w:right="0" w:firstLine="0"/>
                              <w:jc w:val="left"/>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tab/>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89"/>
                              <w:keepNext w:val="0"/>
                              <w:keepLines w:val="0"/>
                              <w:widowControl w:val="0"/>
                              <w:shd w:val="clear" w:color="auto" w:fill="auto"/>
                              <w:tabs>
                                <w:tab w:pos="3258" w:val="right"/>
                              </w:tabs>
                              <w:bidi w:val="0"/>
                              <w:spacing w:before="0" w:after="0" w:line="240" w:lineRule="auto"/>
                              <w:ind w:left="0" w:right="0" w:firstLine="220"/>
                              <w:jc w:val="left"/>
                            </w:pPr>
                            <w:r>
                              <w:rPr>
                                <w:color w:val="000000"/>
                                <w:spacing w:val="0"/>
                                <w:w w:val="100"/>
                                <w:position w:val="0"/>
                                <w:sz w:val="24"/>
                                <w:szCs w:val="24"/>
                                <w:u w:val="none"/>
                              </w:rPr>
                              <w:t>117,021,766</w:t>
                              <w:tab/>
                              <w:t>113,721,803</w:t>
                            </w:r>
                          </w:p>
                          <w:p>
                            <w:pPr>
                              <w:pStyle w:val="Style89"/>
                              <w:keepNext w:val="0"/>
                              <w:keepLines w:val="0"/>
                              <w:widowControl w:val="0"/>
                              <w:shd w:val="clear" w:color="auto" w:fill="auto"/>
                              <w:tabs>
                                <w:tab w:pos="3230" w:val="right"/>
                              </w:tabs>
                              <w:bidi w:val="0"/>
                              <w:spacing w:before="0" w:after="0" w:line="240" w:lineRule="auto"/>
                              <w:ind w:left="0" w:right="0" w:firstLine="0"/>
                              <w:jc w:val="left"/>
                            </w:pPr>
                            <w:r>
                              <w:rPr>
                                <w:color w:val="000000"/>
                                <w:spacing w:val="0"/>
                                <w:w w:val="100"/>
                                <w:position w:val="0"/>
                                <w:sz w:val="24"/>
                                <w:szCs w:val="24"/>
                                <w:u w:val="none"/>
                              </w:rPr>
                              <w:t>1,785,554,160</w:t>
                              <w:tab/>
                              <w:t>1,671,955,957</w:t>
                            </w:r>
                          </w:p>
                          <w:p>
                            <w:pPr>
                              <w:pStyle w:val="Style89"/>
                              <w:keepNext w:val="0"/>
                              <w:keepLines w:val="0"/>
                              <w:widowControl w:val="0"/>
                              <w:shd w:val="clear" w:color="auto" w:fill="auto"/>
                              <w:tabs>
                                <w:tab w:pos="3254" w:val="right"/>
                              </w:tabs>
                              <w:bidi w:val="0"/>
                              <w:spacing w:before="0" w:after="0" w:line="233" w:lineRule="auto"/>
                              <w:ind w:left="0" w:right="0" w:firstLine="220"/>
                              <w:jc w:val="left"/>
                            </w:pPr>
                            <w:r>
                              <w:rPr>
                                <w:color w:val="000000"/>
                                <w:spacing w:val="0"/>
                                <w:w w:val="100"/>
                                <w:position w:val="0"/>
                                <w:sz w:val="24"/>
                                <w:szCs w:val="24"/>
                                <w:u w:val="none"/>
                              </w:rPr>
                              <w:t>103,026,537</w:t>
                              <w:tab/>
                              <w:t>52,623,151</w:t>
                            </w:r>
                          </w:p>
                          <w:p>
                            <w:pPr>
                              <w:pStyle w:val="Style89"/>
                              <w:keepNext w:val="0"/>
                              <w:keepLines w:val="0"/>
                              <w:widowControl w:val="0"/>
                              <w:shd w:val="clear" w:color="auto" w:fill="auto"/>
                              <w:tabs>
                                <w:tab w:pos="3235" w:val="right"/>
                              </w:tabs>
                              <w:bidi w:val="0"/>
                              <w:spacing w:before="0" w:after="0" w:line="240" w:lineRule="auto"/>
                              <w:ind w:left="0" w:right="0" w:firstLine="0"/>
                              <w:jc w:val="left"/>
                            </w:pPr>
                            <w:r>
                              <w:rPr>
                                <w:color w:val="000000"/>
                                <w:spacing w:val="0"/>
                                <w:w w:val="100"/>
                                <w:position w:val="0"/>
                                <w:sz w:val="24"/>
                                <w:szCs w:val="24"/>
                              </w:rPr>
                              <w:t>2,005,602,463</w:t>
                              <w:tab/>
                              <w:t>1,838,300,911</w:t>
                            </w:r>
                          </w:p>
                        </w:txbxContent>
                      </wps:txbx>
                      <wps:bodyPr lIns="0" tIns="0" rIns="0" bIns="0">
                        <a:noAutoFit/>
                      </wps:bodyPr>
                    </wps:wsp>
                  </a:graphicData>
                </a:graphic>
              </wp:anchor>
            </w:drawing>
          </mc:Choice>
          <mc:Fallback>
            <w:pict>
              <v:shape id="_x0000_s1062" type="#_x0000_t202" style="position:absolute;margin-left:387.19999999999999pt;margin-top:7.pt;width:169.90000000000001pt;height:103.7pt;z-index:-125829358;mso-wrap-distance-left:0;mso-wrap-distance-top:7.pt;mso-wrap-distance-right:0;mso-wrap-distance-bottom:27.600000000000001pt;mso-position-horizontal-relative:page" filled="f" stroked="f">
                <v:textbox inset="0,0,0,0">
                  <w:txbxContent>
                    <w:p>
                      <w:pPr>
                        <w:pStyle w:val="Style89"/>
                        <w:keepNext w:val="0"/>
                        <w:keepLines w:val="0"/>
                        <w:widowControl w:val="0"/>
                        <w:shd w:val="clear" w:color="auto" w:fill="auto"/>
                        <w:tabs>
                          <w:tab w:pos="2102" w:val="left"/>
                        </w:tabs>
                        <w:bidi w:val="0"/>
                        <w:spacing w:before="0" w:after="0" w:line="240" w:lineRule="auto"/>
                        <w:ind w:left="0" w:right="0" w:firstLine="220"/>
                        <w:jc w:val="left"/>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tab/>
                      </w: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tabs>
                          <w:tab w:pos="1882" w:val="left"/>
                        </w:tabs>
                        <w:bidi w:val="0"/>
                        <w:spacing w:before="0" w:after="280" w:line="240" w:lineRule="auto"/>
                        <w:ind w:left="0" w:right="0" w:firstLine="0"/>
                        <w:jc w:val="left"/>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tab/>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89"/>
                        <w:keepNext w:val="0"/>
                        <w:keepLines w:val="0"/>
                        <w:widowControl w:val="0"/>
                        <w:shd w:val="clear" w:color="auto" w:fill="auto"/>
                        <w:tabs>
                          <w:tab w:pos="3258" w:val="right"/>
                        </w:tabs>
                        <w:bidi w:val="0"/>
                        <w:spacing w:before="0" w:after="0" w:line="240" w:lineRule="auto"/>
                        <w:ind w:left="0" w:right="0" w:firstLine="220"/>
                        <w:jc w:val="left"/>
                      </w:pPr>
                      <w:r>
                        <w:rPr>
                          <w:color w:val="000000"/>
                          <w:spacing w:val="0"/>
                          <w:w w:val="100"/>
                          <w:position w:val="0"/>
                          <w:sz w:val="24"/>
                          <w:szCs w:val="24"/>
                          <w:u w:val="none"/>
                        </w:rPr>
                        <w:t>117,021,766</w:t>
                        <w:tab/>
                        <w:t>113,721,803</w:t>
                      </w:r>
                    </w:p>
                    <w:p>
                      <w:pPr>
                        <w:pStyle w:val="Style89"/>
                        <w:keepNext w:val="0"/>
                        <w:keepLines w:val="0"/>
                        <w:widowControl w:val="0"/>
                        <w:shd w:val="clear" w:color="auto" w:fill="auto"/>
                        <w:tabs>
                          <w:tab w:pos="3230" w:val="right"/>
                        </w:tabs>
                        <w:bidi w:val="0"/>
                        <w:spacing w:before="0" w:after="0" w:line="240" w:lineRule="auto"/>
                        <w:ind w:left="0" w:right="0" w:firstLine="0"/>
                        <w:jc w:val="left"/>
                      </w:pPr>
                      <w:r>
                        <w:rPr>
                          <w:color w:val="000000"/>
                          <w:spacing w:val="0"/>
                          <w:w w:val="100"/>
                          <w:position w:val="0"/>
                          <w:sz w:val="24"/>
                          <w:szCs w:val="24"/>
                          <w:u w:val="none"/>
                        </w:rPr>
                        <w:t>1,785,554,160</w:t>
                        <w:tab/>
                        <w:t>1,671,955,957</w:t>
                      </w:r>
                    </w:p>
                    <w:p>
                      <w:pPr>
                        <w:pStyle w:val="Style89"/>
                        <w:keepNext w:val="0"/>
                        <w:keepLines w:val="0"/>
                        <w:widowControl w:val="0"/>
                        <w:shd w:val="clear" w:color="auto" w:fill="auto"/>
                        <w:tabs>
                          <w:tab w:pos="3254" w:val="right"/>
                        </w:tabs>
                        <w:bidi w:val="0"/>
                        <w:spacing w:before="0" w:after="0" w:line="233" w:lineRule="auto"/>
                        <w:ind w:left="0" w:right="0" w:firstLine="220"/>
                        <w:jc w:val="left"/>
                      </w:pPr>
                      <w:r>
                        <w:rPr>
                          <w:color w:val="000000"/>
                          <w:spacing w:val="0"/>
                          <w:w w:val="100"/>
                          <w:position w:val="0"/>
                          <w:sz w:val="24"/>
                          <w:szCs w:val="24"/>
                          <w:u w:val="none"/>
                        </w:rPr>
                        <w:t>103,026,537</w:t>
                        <w:tab/>
                        <w:t>52,623,151</w:t>
                      </w:r>
                    </w:p>
                    <w:p>
                      <w:pPr>
                        <w:pStyle w:val="Style89"/>
                        <w:keepNext w:val="0"/>
                        <w:keepLines w:val="0"/>
                        <w:widowControl w:val="0"/>
                        <w:shd w:val="clear" w:color="auto" w:fill="auto"/>
                        <w:tabs>
                          <w:tab w:pos="3235" w:val="right"/>
                        </w:tabs>
                        <w:bidi w:val="0"/>
                        <w:spacing w:before="0" w:after="0" w:line="240" w:lineRule="auto"/>
                        <w:ind w:left="0" w:right="0" w:firstLine="0"/>
                        <w:jc w:val="left"/>
                      </w:pPr>
                      <w:r>
                        <w:rPr>
                          <w:color w:val="000000"/>
                          <w:spacing w:val="0"/>
                          <w:w w:val="100"/>
                          <w:position w:val="0"/>
                          <w:sz w:val="24"/>
                          <w:szCs w:val="24"/>
                        </w:rPr>
                        <w:t>2,005,602,463</w:t>
                        <w:tab/>
                        <w:t>1,838,300,911</w:t>
                      </w:r>
                    </w:p>
                  </w:txbxContent>
                </v:textbox>
                <w10:wrap type="topAndBottom" anchorx="page"/>
              </v:shape>
            </w:pict>
          </mc:Fallback>
        </mc:AlternateContent>
      </w:r>
    </w:p>
    <w:tbl>
      <w:tblPr>
        <w:tblOverlap w:val="never"/>
        <w:jc w:val="right"/>
        <w:tblLayout w:type="fixed"/>
      </w:tblPr>
      <w:tblGrid>
        <w:gridCol w:w="2376"/>
        <w:gridCol w:w="2035"/>
        <w:gridCol w:w="1618"/>
        <w:gridCol w:w="1685"/>
        <w:gridCol w:w="1718"/>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360" w:right="0" w:firstLine="0"/>
              <w:jc w:val="center"/>
              <w:rPr>
                <w:sz w:val="22"/>
                <w:szCs w:val="22"/>
              </w:rPr>
            </w:pPr>
            <w:r>
              <w:rPr>
                <w:color w:val="000000"/>
                <w:spacing w:val="0"/>
                <w:w w:val="100"/>
                <w:position w:val="0"/>
                <w:sz w:val="22"/>
                <w:szCs w:val="22"/>
              </w:rPr>
              <w:t>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2"/>
              <w:keepNext w:val="0"/>
              <w:keepLines w:val="0"/>
              <w:widowControl w:val="0"/>
              <w:shd w:val="clear" w:color="auto" w:fill="auto"/>
              <w:tabs>
                <w:tab w:pos="984" w:val="left"/>
              </w:tabs>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(a)</w:t>
              <w:tab/>
            </w:r>
            <w:r>
              <w:rPr>
                <w:rFonts w:ascii="Times New Roman" w:eastAsia="Times New Roman" w:hAnsi="Times New Roman" w:cs="Times New Roman"/>
                <w:color w:val="000000"/>
                <w:spacing w:val="0"/>
                <w:w w:val="100"/>
                <w:position w:val="0"/>
                <w:sz w:val="24"/>
                <w:szCs w:val="24"/>
              </w:rPr>
              <w:t>310,905,036,009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315,331,979,845</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固定资产清理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10,623,430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43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310,915,659,439</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315,331,979,845</w:t>
            </w:r>
          </w:p>
        </w:tc>
      </w:tr>
      <w:tr>
        <w:trPr>
          <w:trHeight w:val="57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固定资产情况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房屋建筑物</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通信设备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设备及其他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77,129,106,553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845,603,296,676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20,277,694,751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943,010,097,980</w:t>
            </w:r>
          </w:p>
        </w:tc>
      </w:tr>
      <w:tr>
        <w:trPr>
          <w:trHeight w:val="24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本年增加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2,030,881,537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63,272,612,471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1,633,484,465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66,936,978,473</w:t>
            </w:r>
          </w:p>
        </w:tc>
      </w:tr>
      <w:tr>
        <w:trPr>
          <w:trHeight w:val="24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r>
              <w:rPr>
                <w:color w:val="000000"/>
                <w:spacing w:val="0"/>
                <w:w w:val="100"/>
                <w:position w:val="0"/>
              </w:rPr>
              <w:t>购置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29,700,977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902,389,243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468,578,230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1,400,668,450</w:t>
            </w:r>
          </w:p>
        </w:tc>
      </w:tr>
      <w:tr>
        <w:trPr>
          <w:trHeight w:val="24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2,001,180,560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62,370,223,228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1,164,906,235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65,536,310,023</w:t>
            </w:r>
          </w:p>
        </w:tc>
      </w:tr>
      <w:tr>
        <w:trPr>
          <w:trHeight w:val="24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本年处置或报废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510,489,851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73,634,530,029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2,061,205,893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76,206,225,773</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年末余额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78,649,498,239</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835,241,379,118</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19,849,973,323</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933,740,850,680</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38,807,563,328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572,535,774,062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15,758,278,902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627,101,616,292</w:t>
            </w:r>
          </w:p>
        </w:tc>
      </w:tr>
      <w:tr>
        <w:trPr>
          <w:trHeight w:val="24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本年计提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2,824,929,049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61,352,658,940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1,278,596,678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65,456,184,667</w:t>
            </w:r>
          </w:p>
        </w:tc>
      </w:tr>
      <w:tr>
        <w:trPr>
          <w:trHeight w:val="24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本年处置或报废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390,698,991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67,973,497,440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1,910,618,994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70,274,815,425</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年末余额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41,241,793,386</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565,914,935,562</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15,126,256,586</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622,282,985,534</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15,502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575,329,755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1,156,586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576,501,843</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本年处置或报废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23,427,246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23,672,706</w:t>
            </w:r>
          </w:p>
        </w:tc>
      </w:tr>
      <w:tr>
        <w:trPr>
          <w:trHeight w:val="24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年末余额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15,502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551,902,509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911,126</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552,829,137</w:t>
            </w:r>
          </w:p>
        </w:tc>
      </w:tr>
      <w:tr>
        <w:trPr>
          <w:trHeight w:val="48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年末</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37,407,689,351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268,774,541,047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4,722,805,611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310,905,036,009</w:t>
            </w:r>
          </w:p>
        </w:tc>
      </w:tr>
      <w:tr>
        <w:trPr>
          <w:trHeight w:val="28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年初</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38,321,527,723</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272,492,192,859</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4,518,259,263</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315,331,979,845</w:t>
            </w:r>
          </w:p>
        </w:tc>
      </w:tr>
    </w:tbl>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6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60" w:val="left"/>
        </w:tabs>
        <w:bidi w:val="0"/>
        <w:spacing w:before="0" w:after="300" w:line="302" w:lineRule="exact"/>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60" w:val="left"/>
        </w:tabs>
        <w:bidi w:val="0"/>
        <w:spacing w:before="0" w:after="300" w:line="264" w:lineRule="auto"/>
        <w:ind w:left="0" w:right="0" w:firstLine="0"/>
        <w:jc w:val="both"/>
        <w:rPr>
          <w:sz w:val="22"/>
          <w:szCs w:val="22"/>
        </w:rPr>
      </w:pPr>
      <w:bookmarkStart w:id="1144" w:name="bookmark1144"/>
      <w:r>
        <w:rPr>
          <w:rFonts w:ascii="Times New Roman" w:eastAsia="Times New Roman" w:hAnsi="Times New Roman" w:cs="Times New Roman"/>
          <w:color w:val="000000"/>
          <w:spacing w:val="0"/>
          <w:w w:val="100"/>
          <w:position w:val="0"/>
          <w:sz w:val="24"/>
          <w:szCs w:val="24"/>
        </w:rPr>
        <w:t>1</w:t>
      </w:r>
      <w:bookmarkEnd w:id="114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固定资产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20" w:line="264" w:lineRule="auto"/>
        <w:ind w:left="720" w:right="0" w:firstLine="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固定资产情况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302" w:lineRule="exact"/>
        <w:ind w:left="72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年度，本集团的部分资产减值准备随资产处置或报废而转出。</w:t>
      </w:r>
    </w:p>
    <w:p>
      <w:pPr>
        <w:pStyle w:val="Style5"/>
        <w:keepNext w:val="0"/>
        <w:keepLines w:val="0"/>
        <w:widowControl w:val="0"/>
        <w:shd w:val="clear" w:color="auto" w:fill="auto"/>
        <w:bidi w:val="0"/>
        <w:spacing w:before="0" w:after="300" w:line="302" w:lineRule="exact"/>
        <w:ind w:left="720" w:right="0" w:firstLine="0"/>
        <w:jc w:val="both"/>
        <w:rPr>
          <w:sz w:val="22"/>
          <w:szCs w:val="22"/>
        </w:rPr>
      </w:pPr>
      <w:r>
        <w:rPr>
          <w:color w:val="000000"/>
          <w:spacing w:val="0"/>
          <w:w w:val="100"/>
          <w:position w:val="0"/>
          <w:sz w:val="22"/>
          <w:szCs w:val="22"/>
        </w:rPr>
        <w:t>本集团于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年度处置及报废了净值约人民币</w:t>
      </w:r>
      <w:r>
        <w:rPr>
          <w:rFonts w:ascii="Times New Roman" w:eastAsia="Times New Roman" w:hAnsi="Times New Roman" w:cs="Times New Roman"/>
          <w:color w:val="000000"/>
          <w:spacing w:val="0"/>
          <w:w w:val="100"/>
          <w:position w:val="0"/>
          <w:sz w:val="24"/>
          <w:szCs w:val="24"/>
        </w:rPr>
        <w:t>59.08</w:t>
      </w:r>
      <w:r>
        <w:rPr>
          <w:color w:val="000000"/>
          <w:spacing w:val="0"/>
          <w:w w:val="100"/>
          <w:position w:val="0"/>
          <w:sz w:val="22"/>
          <w:szCs w:val="22"/>
        </w:rPr>
        <w:t xml:space="preserve">亿元的固定资产，处置对价约人民币 </w:t>
      </w:r>
      <w:r>
        <w:rPr>
          <w:rFonts w:ascii="Times New Roman" w:eastAsia="Times New Roman" w:hAnsi="Times New Roman" w:cs="Times New Roman"/>
          <w:color w:val="000000"/>
          <w:spacing w:val="0"/>
          <w:w w:val="100"/>
          <w:position w:val="0"/>
          <w:sz w:val="24"/>
          <w:szCs w:val="24"/>
        </w:rPr>
        <w:t>21.58</w:t>
      </w:r>
      <w:r>
        <w:rPr>
          <w:color w:val="000000"/>
          <w:spacing w:val="0"/>
          <w:w w:val="100"/>
          <w:position w:val="0"/>
          <w:sz w:val="22"/>
          <w:szCs w:val="22"/>
        </w:rPr>
        <w:t>亿元，发生固定资产处置及报废净损失约人民币</w:t>
      </w:r>
      <w:r>
        <w:rPr>
          <w:rFonts w:ascii="Times New Roman" w:eastAsia="Times New Roman" w:hAnsi="Times New Roman" w:cs="Times New Roman"/>
          <w:color w:val="000000"/>
          <w:spacing w:val="0"/>
          <w:w w:val="100"/>
          <w:position w:val="0"/>
          <w:sz w:val="24"/>
          <w:szCs w:val="24"/>
        </w:rPr>
        <w:t>37.50</w:t>
      </w:r>
      <w:r>
        <w:rPr>
          <w:color w:val="000000"/>
          <w:spacing w:val="0"/>
          <w:w w:val="100"/>
          <w:position w:val="0"/>
          <w:sz w:val="22"/>
          <w:szCs w:val="22"/>
        </w:rPr>
        <w:t>亿元。</w:t>
      </w:r>
    </w:p>
    <w:tbl>
      <w:tblPr>
        <w:tblOverlap w:val="never"/>
        <w:jc w:val="center"/>
        <w:tblLayout w:type="fixed"/>
      </w:tblPr>
      <w:tblGrid>
        <w:gridCol w:w="2386"/>
        <w:gridCol w:w="1426"/>
        <w:gridCol w:w="1387"/>
        <w:gridCol w:w="1214"/>
        <w:gridCol w:w="1997"/>
        <w:gridCol w:w="1714"/>
      </w:tblGrid>
      <w:tr>
        <w:trPr>
          <w:trHeight w:val="432" w:hRule="exact"/>
        </w:trPr>
        <w:tc>
          <w:tcPr>
            <w:tcBorders/>
            <w:shd w:val="clear" w:color="auto" w:fill="FFFFFF"/>
            <w:vAlign w:val="top"/>
          </w:tcPr>
          <w:p>
            <w:pPr>
              <w:pStyle w:val="Style22"/>
              <w:keepNext w:val="0"/>
              <w:keepLines w:val="0"/>
              <w:widowControl w:val="0"/>
              <w:shd w:val="clear" w:color="auto" w:fill="auto"/>
              <w:tabs>
                <w:tab w:pos="696"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2"/>
                <w:szCs w:val="22"/>
              </w:rPr>
              <w:t>、</w:t>
              <w:tab/>
              <w:t>在建工程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注</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在建工程</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40,857,802,733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46,703,320,757</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工程物资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(b)</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333,810,623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452,291,537</w:t>
            </w:r>
          </w:p>
        </w:tc>
      </w:tr>
      <w:tr>
        <w:trPr>
          <w:trHeight w:val="4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41,191,613,356</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47,155,612,294</w:t>
            </w:r>
          </w:p>
        </w:tc>
      </w:tr>
      <w:tr>
        <w:trPr>
          <w:trHeight w:val="60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22"/>
                <w:szCs w:val="22"/>
              </w:rPr>
            </w:pP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2"/>
                <w:szCs w:val="22"/>
              </w:rPr>
              <w:t>在建工程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tc>
      </w:tr>
      <w:tr>
        <w:trPr>
          <w:trHeight w:val="32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u w:val="single"/>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u w:val="single"/>
              </w:rPr>
              <w:t>减值准备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u w:val="single"/>
              </w:rPr>
              <w:t>账面价值</w:t>
            </w:r>
          </w:p>
        </w:tc>
        <w:tc>
          <w:tcPr>
            <w:gridSpan w:val="2"/>
            <w:tcBorders>
              <w:top w:val="single" w:sz="4"/>
            </w:tcBorders>
            <w:shd w:val="clear" w:color="auto" w:fill="FFFFFF"/>
            <w:vAlign w:val="top"/>
          </w:tcPr>
          <w:p>
            <w:pPr>
              <w:pStyle w:val="Style22"/>
              <w:keepNext w:val="0"/>
              <w:keepLines w:val="0"/>
              <w:widowControl w:val="0"/>
              <w:shd w:val="clear" w:color="auto" w:fill="auto"/>
              <w:tabs>
                <w:tab w:pos="1253" w:val="left"/>
                <w:tab w:pos="2515" w:val="left"/>
              </w:tabs>
              <w:bidi w:val="0"/>
              <w:spacing w:before="0" w:after="0" w:line="240" w:lineRule="auto"/>
              <w:ind w:left="0" w:right="0" w:firstLine="0"/>
              <w:jc w:val="center"/>
              <w:rPr>
                <w:sz w:val="15"/>
                <w:szCs w:val="15"/>
              </w:rPr>
            </w:pPr>
            <w:r>
              <w:rPr>
                <w:color w:val="000000"/>
                <w:spacing w:val="0"/>
                <w:w w:val="100"/>
                <w:position w:val="0"/>
                <w:sz w:val="15"/>
                <w:szCs w:val="15"/>
                <w:u w:val="single"/>
              </w:rPr>
              <w:t>账面余额</w:t>
              <w:tab/>
              <w:t>减值准备</w:t>
              <w:tab/>
              <w:t>账面价值</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网络工程</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40,354,855,589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15,082,077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40,339,773,512</w:t>
            </w:r>
          </w:p>
        </w:tc>
        <w:tc>
          <w:tcPr>
            <w:gridSpan w:val="2"/>
            <w:tcBorders/>
            <w:shd w:val="clear" w:color="auto" w:fill="FFFFFF"/>
            <w:vAlign w:val="bottom"/>
          </w:tcPr>
          <w:p>
            <w:pPr>
              <w:pStyle w:val="Style22"/>
              <w:keepNext w:val="0"/>
              <w:keepLines w:val="0"/>
              <w:widowControl w:val="0"/>
              <w:shd w:val="clear" w:color="auto" w:fill="auto"/>
              <w:tabs>
                <w:tab w:pos="1546" w:val="left"/>
                <w:tab w:pos="2515"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44,583,607,406</w:t>
              <w:tab/>
              <w:t>15,082,077</w:t>
              <w:tab/>
              <w:t>44,568,525,329</w:t>
            </w: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通用基础设施工程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645,102,953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127,073,732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518,029,221</w:t>
            </w:r>
          </w:p>
        </w:tc>
        <w:tc>
          <w:tcPr>
            <w:gridSpan w:val="2"/>
            <w:tcBorders/>
            <w:shd w:val="clear" w:color="auto" w:fill="FFFFFF"/>
            <w:vAlign w:val="top"/>
          </w:tcPr>
          <w:p>
            <w:pPr>
              <w:pStyle w:val="Style22"/>
              <w:keepNext w:val="0"/>
              <w:keepLines w:val="0"/>
              <w:widowControl w:val="0"/>
              <w:shd w:val="clear" w:color="auto" w:fill="auto"/>
              <w:tabs>
                <w:tab w:pos="1454" w:val="left"/>
                <w:tab w:pos="2515" w:val="left"/>
              </w:tabs>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2,229,614,661</w:t>
              <w:tab/>
              <w:t>94,819,233</w:t>
              <w:tab/>
              <w:t>2,134,795,428</w:t>
            </w:r>
          </w:p>
        </w:tc>
      </w:tr>
      <w:tr>
        <w:trPr>
          <w:trHeight w:val="25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40,999,958,542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142,155,809</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40,857,802,733</w:t>
            </w:r>
          </w:p>
        </w:tc>
        <w:tc>
          <w:tcPr>
            <w:gridSpan w:val="2"/>
            <w:tcBorders>
              <w:top w:val="single" w:sz="4"/>
              <w:bottom w:val="single" w:sz="4"/>
            </w:tcBorders>
            <w:shd w:val="clear" w:color="auto" w:fill="FFFFFF"/>
            <w:vAlign w:val="center"/>
          </w:tcPr>
          <w:p>
            <w:pPr>
              <w:pStyle w:val="Style22"/>
              <w:keepNext w:val="0"/>
              <w:keepLines w:val="0"/>
              <w:widowControl w:val="0"/>
              <w:shd w:val="clear" w:color="auto" w:fill="auto"/>
              <w:tabs>
                <w:tab w:pos="1464" w:val="left"/>
                <w:tab w:pos="2515"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u w:val="single"/>
              </w:rPr>
              <w:t>46,813,222,067</w:t>
              <w:tab/>
              <w:t>109,901,310</w:t>
              <w:tab/>
              <w:t>46,703,320,757</w:t>
            </w:r>
          </w:p>
        </w:tc>
      </w:tr>
    </w:tbl>
    <w:p>
      <w:pPr>
        <w:widowControl w:val="0"/>
        <w:spacing w:after="219" w:line="1" w:lineRule="exact"/>
      </w:pPr>
    </w:p>
    <w:p>
      <w:pPr>
        <w:pStyle w:val="Style5"/>
        <w:keepNext w:val="0"/>
        <w:keepLines w:val="0"/>
        <w:widowControl w:val="0"/>
        <w:shd w:val="clear" w:color="auto" w:fill="auto"/>
        <w:bidi w:val="0"/>
        <w:spacing w:before="0" w:after="300" w:line="311" w:lineRule="exact"/>
        <w:ind w:left="720" w:right="0" w:firstLine="0"/>
        <w:jc w:val="both"/>
        <w:rPr>
          <w:sz w:val="22"/>
          <w:szCs w:val="22"/>
        </w:rPr>
        <w:sectPr>
          <w:footnotePr>
            <w:pos w:val="pageBottom"/>
            <w:numFmt w:val="decimal"/>
            <w:numRestart w:val="continuous"/>
          </w:footnotePr>
          <w:pgSz w:w="11900" w:h="16840"/>
          <w:pgMar w:top="1599" w:right="716" w:bottom="1201" w:left="964" w:header="0" w:footer="3" w:gutter="0"/>
          <w:cols w:space="720"/>
          <w:noEndnote/>
          <w:rtlGutter w:val="0"/>
          <w:docGrid w:linePitch="360"/>
        </w:sect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年度，本集团约人民币</w:t>
      </w:r>
      <w:r>
        <w:rPr>
          <w:rFonts w:ascii="Times New Roman" w:eastAsia="Times New Roman" w:hAnsi="Times New Roman" w:cs="Times New Roman"/>
          <w:color w:val="000000"/>
          <w:spacing w:val="0"/>
          <w:w w:val="100"/>
          <w:position w:val="0"/>
          <w:sz w:val="24"/>
          <w:szCs w:val="24"/>
        </w:rPr>
        <w:t>0.8</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亿元的借款费用资本化计入在建工程原值</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年：约 人民币</w:t>
      </w:r>
      <w:r>
        <w:rPr>
          <w:rFonts w:ascii="Times New Roman" w:eastAsia="Times New Roman" w:hAnsi="Times New Roman" w:cs="Times New Roman"/>
          <w:color w:val="000000"/>
          <w:spacing w:val="0"/>
          <w:w w:val="100"/>
          <w:position w:val="0"/>
          <w:sz w:val="24"/>
          <w:szCs w:val="24"/>
        </w:rPr>
        <w:t>2.06</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，本集团于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年度的借款费用资本化率约为</w:t>
      </w:r>
      <w:r>
        <w:rPr>
          <w:rFonts w:ascii="Times New Roman" w:eastAsia="Times New Roman" w:hAnsi="Times New Roman" w:cs="Times New Roman"/>
          <w:color w:val="000000"/>
          <w:spacing w:val="0"/>
          <w:w w:val="100"/>
          <w:position w:val="0"/>
          <w:sz w:val="24"/>
          <w:szCs w:val="24"/>
        </w:rPr>
        <w:t>2.01%-3.48%（2020</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4"/>
          <w:szCs w:val="24"/>
        </w:rPr>
        <w:t>2.35%-3.12%）</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年度，除转入固定资产和无形资产的在建工程外，约人民币</w:t>
      </w:r>
      <w:r>
        <w:rPr>
          <w:rFonts w:ascii="Times New Roman" w:eastAsia="Times New Roman" w:hAnsi="Times New Roman" w:cs="Times New Roman"/>
          <w:color w:val="000000"/>
          <w:spacing w:val="0"/>
          <w:w w:val="100"/>
          <w:position w:val="0"/>
          <w:sz w:val="24"/>
          <w:szCs w:val="24"/>
        </w:rPr>
        <w:t>5.37</w:t>
      </w:r>
      <w:r>
        <w:rPr>
          <w:color w:val="000000"/>
          <w:spacing w:val="0"/>
          <w:w w:val="100"/>
          <w:position w:val="0"/>
          <w:sz w:val="22"/>
          <w:szCs w:val="22"/>
        </w:rPr>
        <w:t>亿 元的租入固定资产改良及外市电引入等项目从在建工程转入长期待摊费用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年：约人 民币</w:t>
      </w:r>
      <w:r>
        <w:rPr>
          <w:rFonts w:ascii="Times New Roman" w:eastAsia="Times New Roman" w:hAnsi="Times New Roman" w:cs="Times New Roman"/>
          <w:color w:val="000000"/>
          <w:spacing w:val="0"/>
          <w:w w:val="100"/>
          <w:position w:val="0"/>
          <w:sz w:val="24"/>
          <w:szCs w:val="24"/>
        </w:rPr>
        <w:t>8.45</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6" w:val="left"/>
        </w:tabs>
        <w:bidi w:val="0"/>
        <w:spacing w:before="0" w:after="30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6" w:val="left"/>
        </w:tabs>
        <w:bidi w:val="0"/>
        <w:spacing w:before="0" w:after="300" w:line="240" w:lineRule="auto"/>
        <w:ind w:left="0" w:right="0" w:firstLine="0"/>
        <w:jc w:val="left"/>
        <w:rPr>
          <w:sz w:val="22"/>
          <w:szCs w:val="22"/>
        </w:rPr>
      </w:pPr>
      <w:bookmarkStart w:id="1145" w:name="bookmark1145"/>
      <w:r>
        <w:rPr>
          <w:rFonts w:ascii="Times New Roman" w:eastAsia="Times New Roman" w:hAnsi="Times New Roman" w:cs="Times New Roman"/>
          <w:color w:val="000000"/>
          <w:spacing w:val="0"/>
          <w:w w:val="100"/>
          <w:position w:val="0"/>
          <w:sz w:val="24"/>
          <w:szCs w:val="24"/>
          <w:shd w:val="clear" w:color="auto" w:fill="FFFFFF"/>
        </w:rPr>
        <w:t>1</w:t>
      </w:r>
      <w:bookmarkEnd w:id="1145"/>
      <w:r>
        <w:rPr>
          <w:rFonts w:ascii="Times New Roman" w:eastAsia="Times New Roman" w:hAnsi="Times New Roman" w:cs="Times New Roman"/>
          <w:color w:val="000000"/>
          <w:spacing w:val="0"/>
          <w:w w:val="100"/>
          <w:position w:val="0"/>
          <w:sz w:val="24"/>
          <w:szCs w:val="24"/>
          <w:shd w:val="clear" w:color="auto" w:fill="FFFFFF"/>
        </w:rPr>
        <w:t>3</w:t>
      </w:r>
      <w:r>
        <w:rPr>
          <w:color w:val="000000"/>
          <w:spacing w:val="0"/>
          <w:w w:val="100"/>
          <w:position w:val="0"/>
          <w:sz w:val="22"/>
          <w:szCs w:val="22"/>
          <w:shd w:val="clear" w:color="auto" w:fill="FFFFFF"/>
        </w:rPr>
        <w:t>、</w:t>
      </w:r>
      <w:r>
        <w:rPr>
          <w:color w:val="000000"/>
          <w:spacing w:val="0"/>
          <w:w w:val="100"/>
          <w:position w:val="0"/>
          <w:sz w:val="22"/>
          <w:szCs w:val="22"/>
        </w:rPr>
        <w:tab/>
        <w:t>在建工程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2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在建工程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21"/>
        </w:numPr>
        <w:shd w:val="clear" w:color="auto" w:fill="auto"/>
        <w:bidi w:val="0"/>
        <w:spacing w:before="0" w:after="300" w:line="240" w:lineRule="auto"/>
        <w:ind w:left="0" w:right="0" w:firstLine="720"/>
        <w:jc w:val="left"/>
        <w:rPr>
          <w:sz w:val="22"/>
          <w:szCs w:val="22"/>
        </w:rPr>
      </w:pPr>
      <w:bookmarkStart w:id="1146" w:name="bookmark1146"/>
      <w:bookmarkEnd w:id="1146"/>
      <w:r>
        <w:rPr>
          <w:color w:val="000000"/>
          <w:spacing w:val="0"/>
          <w:w w:val="100"/>
          <w:position w:val="0"/>
          <w:sz w:val="22"/>
          <w:szCs w:val="22"/>
        </w:rPr>
        <w:t>重大在建工程项目变动</w:t>
      </w:r>
    </w:p>
    <w:p>
      <w:pPr>
        <w:pStyle w:val="Style25"/>
        <w:keepNext w:val="0"/>
        <w:keepLines w:val="0"/>
        <w:widowControl w:val="0"/>
        <w:shd w:val="clear" w:color="auto" w:fill="auto"/>
        <w:bidi w:val="0"/>
        <w:spacing w:before="0" w:after="0" w:line="240" w:lineRule="auto"/>
        <w:ind w:left="12629" w:right="0" w:firstLine="0"/>
        <w:jc w:val="left"/>
        <w:rPr>
          <w:sz w:val="14"/>
          <w:szCs w:val="14"/>
        </w:rPr>
      </w:pPr>
      <w:r>
        <w:rPr>
          <w:color w:val="000000"/>
          <w:spacing w:val="0"/>
          <w:w w:val="100"/>
          <w:position w:val="0"/>
          <w:sz w:val="14"/>
          <w:szCs w:val="14"/>
        </w:rPr>
        <w:t>其中：本年</w:t>
      </w:r>
    </w:p>
    <w:tbl>
      <w:tblPr>
        <w:tblOverlap w:val="never"/>
        <w:jc w:val="center"/>
        <w:tblLayout w:type="fixed"/>
      </w:tblPr>
      <w:tblGrid>
        <w:gridCol w:w="2894"/>
        <w:gridCol w:w="1272"/>
        <w:gridCol w:w="1210"/>
        <w:gridCol w:w="1190"/>
        <w:gridCol w:w="1186"/>
        <w:gridCol w:w="1061"/>
        <w:gridCol w:w="1291"/>
        <w:gridCol w:w="1157"/>
        <w:gridCol w:w="1229"/>
        <w:gridCol w:w="1118"/>
        <w:gridCol w:w="1099"/>
      </w:tblGrid>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u w:val="single"/>
              </w:rPr>
              <w:t>工程名称</w:t>
            </w:r>
          </w:p>
        </w:tc>
        <w:tc>
          <w:tcPr>
            <w:tcBorders/>
            <w:shd w:val="clear" w:color="auto" w:fill="FFFFFF"/>
            <w:vAlign w:val="top"/>
          </w:tcPr>
          <w:p>
            <w:pPr>
              <w:pStyle w:val="Style22"/>
              <w:keepNext w:val="0"/>
              <w:keepLines w:val="0"/>
              <w:widowControl w:val="0"/>
              <w:shd w:val="clear" w:color="auto" w:fill="auto"/>
              <w:bidi w:val="0"/>
              <w:spacing w:before="0" w:after="0" w:line="173" w:lineRule="exact"/>
              <w:ind w:left="0" w:right="0" w:firstLine="0"/>
              <w:jc w:val="center"/>
              <w:rPr>
                <w:sz w:val="14"/>
                <w:szCs w:val="14"/>
              </w:rPr>
            </w:pPr>
            <w:r>
              <w:rPr>
                <w:color w:val="000000"/>
                <w:spacing w:val="0"/>
                <w:w w:val="100"/>
                <w:position w:val="0"/>
                <w:sz w:val="14"/>
                <w:szCs w:val="14"/>
              </w:rPr>
              <w:t xml:space="preserve">预算数 </w:t>
            </w:r>
            <w:r>
              <w:rPr>
                <w:rFonts w:ascii="Times New Roman" w:eastAsia="Times New Roman" w:hAnsi="Times New Roman" w:cs="Times New Roman"/>
                <w:color w:val="000000"/>
                <w:spacing w:val="0"/>
                <w:w w:val="100"/>
                <w:position w:val="0"/>
                <w:sz w:val="14"/>
                <w:szCs w:val="14"/>
                <w:u w:val="single"/>
              </w:rPr>
              <w:t>(</w:t>
            </w:r>
            <w:r>
              <w:rPr>
                <w:color w:val="000000"/>
                <w:spacing w:val="0"/>
                <w:w w:val="100"/>
                <w:position w:val="0"/>
                <w:sz w:val="14"/>
                <w:szCs w:val="14"/>
                <w:u w:val="single"/>
              </w:rPr>
              <w:t>人民币百万元</w:t>
            </w:r>
            <w:r>
              <w:rPr>
                <w:color w:val="000000"/>
                <w:spacing w:val="0"/>
                <w:w w:val="100"/>
                <w:position w:val="0"/>
                <w:sz w:val="14"/>
                <w:szCs w:val="14"/>
                <w:u w:val="single"/>
              </w:rPr>
              <w:t>)</w:t>
            </w:r>
          </w:p>
        </w:tc>
        <w:tc>
          <w:tcPr>
            <w:tcBorders/>
            <w:shd w:val="clear" w:color="auto" w:fill="FFFFFF"/>
            <w:vAlign w:val="top"/>
          </w:tcPr>
          <w:p>
            <w:pPr>
              <w:pStyle w:val="Style22"/>
              <w:keepNext w:val="0"/>
              <w:keepLines w:val="0"/>
              <w:widowControl w:val="0"/>
              <w:shd w:val="clear" w:color="auto" w:fill="auto"/>
              <w:bidi w:val="0"/>
              <w:spacing w:before="0" w:after="0" w:line="178" w:lineRule="exact"/>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2020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4"/>
                <w:szCs w:val="14"/>
                <w:u w:val="single"/>
              </w:rPr>
              <w:t>12</w:t>
            </w:r>
            <w:r>
              <w:rPr>
                <w:color w:val="000000"/>
                <w:spacing w:val="0"/>
                <w:w w:val="100"/>
                <w:position w:val="0"/>
                <w:sz w:val="14"/>
                <w:szCs w:val="14"/>
                <w:u w:val="single"/>
              </w:rPr>
              <w:t>月</w:t>
            </w:r>
            <w:r>
              <w:rPr>
                <w:rFonts w:ascii="Times New Roman" w:eastAsia="Times New Roman" w:hAnsi="Times New Roman" w:cs="Times New Roman"/>
                <w:color w:val="000000"/>
                <w:spacing w:val="0"/>
                <w:w w:val="100"/>
                <w:position w:val="0"/>
                <w:sz w:val="14"/>
                <w:szCs w:val="14"/>
                <w:u w:val="single"/>
              </w:rPr>
              <w:t>31</w:t>
            </w:r>
            <w:r>
              <w:rPr>
                <w:color w:val="000000"/>
                <w:spacing w:val="0"/>
                <w:w w:val="100"/>
                <w:position w:val="0"/>
                <w:sz w:val="14"/>
                <w:szCs w:val="14"/>
                <w:u w:val="single"/>
              </w:rPr>
              <w:t>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u w:val="single"/>
              </w:rPr>
              <w:t>本年增加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本年转入</w:t>
            </w:r>
          </w:p>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u w:val="single"/>
              </w:rPr>
              <w:t>固定资产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u w:val="single"/>
              </w:rPr>
              <w:t>其他减少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2021 </w:t>
            </w:r>
            <w:r>
              <w:rPr>
                <w:color w:val="000000"/>
                <w:spacing w:val="0"/>
                <w:w w:val="100"/>
                <w:position w:val="0"/>
                <w:sz w:val="14"/>
                <w:szCs w:val="14"/>
              </w:rPr>
              <w:t>年</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u w:val="single"/>
              </w:rPr>
              <w:t>12</w:t>
            </w:r>
            <w:r>
              <w:rPr>
                <w:color w:val="000000"/>
                <w:spacing w:val="0"/>
                <w:w w:val="100"/>
                <w:position w:val="0"/>
                <w:sz w:val="14"/>
                <w:szCs w:val="14"/>
                <w:u w:val="single"/>
              </w:rPr>
              <w:t>月</w:t>
            </w:r>
            <w:r>
              <w:rPr>
                <w:rFonts w:ascii="Times New Roman" w:eastAsia="Times New Roman" w:hAnsi="Times New Roman" w:cs="Times New Roman"/>
                <w:color w:val="000000"/>
                <w:spacing w:val="0"/>
                <w:w w:val="100"/>
                <w:position w:val="0"/>
                <w:sz w:val="14"/>
                <w:szCs w:val="14"/>
                <w:u w:val="single"/>
              </w:rPr>
              <w:t>31</w:t>
            </w:r>
            <w:r>
              <w:rPr>
                <w:color w:val="000000"/>
                <w:spacing w:val="0"/>
                <w:w w:val="100"/>
                <w:position w:val="0"/>
                <w:sz w:val="14"/>
                <w:szCs w:val="14"/>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工程投入占</w:t>
            </w:r>
          </w:p>
          <w:p>
            <w:pPr>
              <w:pStyle w:val="Style2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u w:val="single"/>
              </w:rPr>
              <w:t>预算的比例</w:t>
            </w:r>
          </w:p>
        </w:tc>
        <w:tc>
          <w:tcPr>
            <w:tcBorders/>
            <w:shd w:val="clear" w:color="auto" w:fill="FFFFFF"/>
            <w:vAlign w:val="top"/>
          </w:tcPr>
          <w:p>
            <w:pPr>
              <w:pStyle w:val="Style22"/>
              <w:keepNext w:val="0"/>
              <w:keepLines w:val="0"/>
              <w:widowControl w:val="0"/>
              <w:shd w:val="clear" w:color="auto" w:fill="auto"/>
              <w:bidi w:val="0"/>
              <w:spacing w:before="0" w:after="0" w:line="173" w:lineRule="exact"/>
              <w:ind w:left="0" w:right="0" w:firstLine="0"/>
              <w:jc w:val="center"/>
              <w:rPr>
                <w:sz w:val="14"/>
                <w:szCs w:val="14"/>
              </w:rPr>
            </w:pPr>
            <w:r>
              <w:rPr>
                <w:color w:val="000000"/>
                <w:spacing w:val="0"/>
                <w:w w:val="100"/>
                <w:position w:val="0"/>
                <w:sz w:val="14"/>
                <w:szCs w:val="14"/>
              </w:rPr>
              <w:t xml:space="preserve">借款费用资本 </w:t>
            </w:r>
            <w:r>
              <w:rPr>
                <w:color w:val="000000"/>
                <w:spacing w:val="0"/>
                <w:w w:val="100"/>
                <w:position w:val="0"/>
                <w:sz w:val="14"/>
                <w:szCs w:val="14"/>
                <w:u w:val="single"/>
              </w:rPr>
              <w:t>化累计金额</w:t>
            </w:r>
          </w:p>
        </w:tc>
        <w:tc>
          <w:tcPr>
            <w:tcBorders/>
            <w:shd w:val="clear" w:color="auto" w:fill="FFFFFF"/>
            <w:vAlign w:val="top"/>
          </w:tcPr>
          <w:p>
            <w:pPr>
              <w:pStyle w:val="Style22"/>
              <w:keepNext w:val="0"/>
              <w:keepLines w:val="0"/>
              <w:widowControl w:val="0"/>
              <w:shd w:val="clear" w:color="auto" w:fill="auto"/>
              <w:bidi w:val="0"/>
              <w:spacing w:before="0" w:after="0" w:line="182" w:lineRule="exact"/>
              <w:ind w:left="0" w:right="0" w:firstLine="0"/>
              <w:jc w:val="center"/>
              <w:rPr>
                <w:sz w:val="14"/>
                <w:szCs w:val="14"/>
              </w:rPr>
            </w:pPr>
            <w:r>
              <w:rPr>
                <w:color w:val="000000"/>
                <w:spacing w:val="0"/>
                <w:w w:val="100"/>
                <w:position w:val="0"/>
                <w:sz w:val="14"/>
                <w:szCs w:val="14"/>
              </w:rPr>
              <w:t>借款费用 资本化金额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u w:val="single"/>
              </w:rPr>
              <w:t>资金来源</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187" w:lineRule="exact"/>
              <w:ind w:left="160" w:right="0" w:hanging="160"/>
              <w:jc w:val="left"/>
              <w:rPr>
                <w:sz w:val="14"/>
                <w:szCs w:val="14"/>
              </w:rPr>
            </w:pPr>
            <w:r>
              <w:rPr>
                <w:rFonts w:ascii="Times New Roman" w:eastAsia="Times New Roman" w:hAnsi="Times New Roman" w:cs="Times New Roman"/>
                <w:color w:val="000000"/>
                <w:spacing w:val="0"/>
                <w:w w:val="100"/>
                <w:position w:val="0"/>
                <w:sz w:val="14"/>
                <w:szCs w:val="14"/>
              </w:rPr>
              <w:t>2021</w:t>
            </w:r>
            <w:r>
              <w:rPr>
                <w:color w:val="000000"/>
                <w:spacing w:val="0"/>
                <w:w w:val="100"/>
                <w:position w:val="0"/>
                <w:sz w:val="14"/>
                <w:szCs w:val="14"/>
              </w:rPr>
              <w:t>年中国联通陕西西安数据中心二期</w:t>
            </w:r>
            <w:r>
              <w:rPr>
                <w:rFonts w:ascii="Times New Roman" w:eastAsia="Times New Roman" w:hAnsi="Times New Roman" w:cs="Times New Roman"/>
                <w:color w:val="000000"/>
                <w:spacing w:val="0"/>
                <w:w w:val="100"/>
                <w:position w:val="0"/>
                <w:sz w:val="14"/>
                <w:szCs w:val="14"/>
              </w:rPr>
              <w:t>6</w:t>
            </w:r>
            <w:r>
              <w:rPr>
                <w:color w:val="000000"/>
                <w:spacing w:val="0"/>
                <w:w w:val="100"/>
                <w:position w:val="0"/>
                <w:sz w:val="14"/>
                <w:szCs w:val="14"/>
              </w:rPr>
              <w:t>号 楼新建工程</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251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143,101,925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143,101,925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14"/>
                <w:szCs w:val="14"/>
              </w:rPr>
            </w:pPr>
            <w:r>
              <w:rPr>
                <w:rFonts w:ascii="Times New Roman" w:eastAsia="Times New Roman" w:hAnsi="Times New Roman" w:cs="Times New Roman"/>
                <w:color w:val="000000"/>
                <w:spacing w:val="0"/>
                <w:w w:val="100"/>
                <w:position w:val="0"/>
                <w:sz w:val="14"/>
                <w:szCs w:val="14"/>
              </w:rPr>
              <w:t>1,374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自筹资金及借款</w:t>
            </w:r>
          </w:p>
        </w:tc>
      </w:tr>
      <w:tr>
        <w:trPr>
          <w:trHeight w:val="1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2017</w:t>
            </w:r>
            <w:r>
              <w:rPr>
                <w:color w:val="000000"/>
                <w:spacing w:val="0"/>
                <w:w w:val="100"/>
                <w:position w:val="0"/>
                <w:sz w:val="14"/>
                <w:szCs w:val="14"/>
              </w:rPr>
              <w:t>年中国联通华南信息产业运营中心工程</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395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153,433,114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124,037,163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277,470,277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2,900,150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159,934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自筹资金及借款</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2021</w:t>
            </w:r>
            <w:r>
              <w:rPr>
                <w:color w:val="000000"/>
                <w:spacing w:val="0"/>
                <w:w w:val="100"/>
                <w:position w:val="0"/>
                <w:sz w:val="14"/>
                <w:szCs w:val="14"/>
              </w:rPr>
              <w:t>年中国联通宁波市分公司</w:t>
            </w:r>
            <w:r>
              <w:rPr>
                <w:rFonts w:ascii="Times New Roman" w:eastAsia="Times New Roman" w:hAnsi="Times New Roman" w:cs="Times New Roman"/>
                <w:color w:val="000000"/>
                <w:spacing w:val="0"/>
                <w:w w:val="100"/>
                <w:position w:val="0"/>
                <w:sz w:val="14"/>
                <w:szCs w:val="14"/>
              </w:rPr>
              <w:t>5G</w:t>
            </w:r>
            <w:r>
              <w:rPr>
                <w:color w:val="000000"/>
                <w:spacing w:val="0"/>
                <w:w w:val="100"/>
                <w:position w:val="0"/>
                <w:sz w:val="14"/>
                <w:szCs w:val="14"/>
              </w:rPr>
              <w:t>网络无线</w:t>
            </w:r>
          </w:p>
          <w:p>
            <w:pPr>
              <w:pStyle w:val="Style2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网新建二期工程</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100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95,860,985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81,024,607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14,836,378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17,854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17,854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自筹资金及借款</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182" w:lineRule="exact"/>
              <w:ind w:left="160" w:right="0" w:hanging="160"/>
              <w:jc w:val="left"/>
              <w:rPr>
                <w:sz w:val="14"/>
                <w:szCs w:val="14"/>
              </w:rPr>
            </w:pPr>
            <w:r>
              <w:rPr>
                <w:color w:val="000000"/>
                <w:spacing w:val="0"/>
                <w:w w:val="100"/>
                <w:position w:val="0"/>
                <w:sz w:val="14"/>
                <w:szCs w:val="14"/>
              </w:rPr>
              <w:t>中国联通</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怀来</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大数据创新产业园新建一期项 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229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250,104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91,959,046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92,209,150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40%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103,896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103,896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自筹资金及借款</w:t>
            </w:r>
          </w:p>
        </w:tc>
      </w:tr>
      <w:tr>
        <w:trPr>
          <w:trHeight w:val="365" w:hRule="exact"/>
        </w:trPr>
        <w:tc>
          <w:tcPr>
            <w:tcBorders/>
            <w:shd w:val="clear" w:color="auto" w:fill="FFFFFF"/>
            <w:vAlign w:val="top"/>
          </w:tcPr>
          <w:p>
            <w:pPr>
              <w:pStyle w:val="Style22"/>
              <w:keepNext w:val="0"/>
              <w:keepLines w:val="0"/>
              <w:widowControl w:val="0"/>
              <w:shd w:val="clear" w:color="auto" w:fill="auto"/>
              <w:bidi w:val="0"/>
              <w:spacing w:before="0" w:after="0" w:line="192" w:lineRule="exact"/>
              <w:ind w:left="160" w:right="0" w:hanging="160"/>
              <w:jc w:val="left"/>
              <w:rPr>
                <w:sz w:val="14"/>
                <w:szCs w:val="14"/>
              </w:rPr>
            </w:pPr>
            <w:r>
              <w:rPr>
                <w:rFonts w:ascii="Times New Roman" w:eastAsia="Times New Roman" w:hAnsi="Times New Roman" w:cs="Times New Roman"/>
                <w:color w:val="000000"/>
                <w:spacing w:val="0"/>
                <w:w w:val="100"/>
                <w:position w:val="0"/>
                <w:sz w:val="14"/>
                <w:szCs w:val="14"/>
              </w:rPr>
              <w:t>2021</w:t>
            </w:r>
            <w:r>
              <w:rPr>
                <w:color w:val="000000"/>
                <w:spacing w:val="0"/>
                <w:w w:val="100"/>
                <w:position w:val="0"/>
                <w:sz w:val="14"/>
                <w:szCs w:val="14"/>
              </w:rPr>
              <w:t>年中国联通山西忻州市</w:t>
            </w:r>
            <w:r>
              <w:rPr>
                <w:rFonts w:ascii="Times New Roman" w:eastAsia="Times New Roman" w:hAnsi="Times New Roman" w:cs="Times New Roman"/>
                <w:color w:val="000000"/>
                <w:spacing w:val="0"/>
                <w:w w:val="100"/>
                <w:position w:val="0"/>
                <w:sz w:val="14"/>
                <w:szCs w:val="14"/>
              </w:rPr>
              <w:t>5G</w:t>
            </w:r>
            <w:r>
              <w:rPr>
                <w:color w:val="000000"/>
                <w:spacing w:val="0"/>
                <w:w w:val="100"/>
                <w:position w:val="0"/>
                <w:sz w:val="14"/>
                <w:szCs w:val="14"/>
              </w:rPr>
              <w:t>无线网四期 新建宏站项目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82,866,273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36,835,925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46,030,348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自筹资金</w:t>
            </w:r>
          </w:p>
        </w:tc>
      </w:tr>
      <w:tr>
        <w:trPr>
          <w:trHeight w:val="365" w:hRule="exact"/>
        </w:trPr>
        <w:tc>
          <w:tcPr>
            <w:tcBorders/>
            <w:shd w:val="clear" w:color="auto" w:fill="FFFFFF"/>
            <w:vAlign w:val="top"/>
          </w:tcPr>
          <w:p>
            <w:pPr>
              <w:pStyle w:val="Style22"/>
              <w:keepNext w:val="0"/>
              <w:keepLines w:val="0"/>
              <w:widowControl w:val="0"/>
              <w:shd w:val="clear" w:color="auto" w:fill="auto"/>
              <w:bidi w:val="0"/>
              <w:spacing w:before="0" w:after="0" w:line="187" w:lineRule="exact"/>
              <w:ind w:left="160" w:right="0" w:hanging="160"/>
              <w:jc w:val="left"/>
              <w:rPr>
                <w:sz w:val="14"/>
                <w:szCs w:val="14"/>
              </w:rPr>
            </w:pP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4"/>
                <w:szCs w:val="14"/>
              </w:rPr>
              <w:t>年中国联通</w:t>
            </w:r>
            <w:r>
              <w:rPr>
                <w:rFonts w:ascii="Times New Roman" w:eastAsia="Times New Roman" w:hAnsi="Times New Roman" w:cs="Times New Roman"/>
                <w:color w:val="000000"/>
                <w:spacing w:val="0"/>
                <w:w w:val="100"/>
                <w:position w:val="0"/>
                <w:sz w:val="14"/>
                <w:szCs w:val="14"/>
              </w:rPr>
              <w:t>China169</w:t>
            </w:r>
            <w:r>
              <w:rPr>
                <w:color w:val="000000"/>
                <w:spacing w:val="0"/>
                <w:w w:val="100"/>
                <w:position w:val="0"/>
                <w:sz w:val="14"/>
                <w:szCs w:val="14"/>
              </w:rPr>
              <w:t>骨干网北京扩容工 程北京市分公司单项工程</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72,077,914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72,077,914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100,468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100,468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自筹资金及借款</w:t>
            </w:r>
          </w:p>
        </w:tc>
      </w:tr>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178" w:lineRule="exact"/>
              <w:ind w:left="160" w:right="0" w:hanging="160"/>
              <w:jc w:val="left"/>
              <w:rPr>
                <w:sz w:val="14"/>
                <w:szCs w:val="14"/>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4"/>
                <w:szCs w:val="14"/>
              </w:rPr>
              <w:t xml:space="preserve">年中国联通重庆市分公司水土 </w:t>
            </w:r>
            <w:r>
              <w:rPr>
                <w:rFonts w:ascii="Times New Roman" w:eastAsia="Times New Roman" w:hAnsi="Times New Roman" w:cs="Times New Roman"/>
                <w:color w:val="000000"/>
                <w:spacing w:val="0"/>
                <w:w w:val="100"/>
                <w:position w:val="0"/>
                <w:sz w:val="14"/>
                <w:szCs w:val="14"/>
              </w:rPr>
              <w:t>IDC</w:t>
            </w:r>
            <w:r>
              <w:rPr>
                <w:color w:val="000000"/>
                <w:spacing w:val="0"/>
                <w:w w:val="100"/>
                <w:position w:val="0"/>
                <w:sz w:val="14"/>
                <w:szCs w:val="14"/>
              </w:rPr>
              <w:t>三期 新建工程</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256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450,483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69,751,327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70,201,810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65,293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63,731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自筹资金及借款</w:t>
            </w:r>
          </w:p>
        </w:tc>
      </w:tr>
      <w:tr>
        <w:trPr>
          <w:trHeight w:val="36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4"/>
                <w:szCs w:val="14"/>
              </w:rPr>
              <w:t>年中国联通福建产业互联网科技园</w:t>
            </w:r>
            <w:r>
              <w:rPr>
                <w:rFonts w:ascii="Times New Roman" w:eastAsia="Times New Roman" w:hAnsi="Times New Roman" w:cs="Times New Roman"/>
                <w:color w:val="000000"/>
                <w:spacing w:val="0"/>
                <w:w w:val="100"/>
                <w:position w:val="0"/>
                <w:sz w:val="14"/>
                <w:szCs w:val="14"/>
              </w:rPr>
              <w:t>DC1</w:t>
            </w:r>
          </w:p>
          <w:p>
            <w:pPr>
              <w:pStyle w:val="Style2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机房楼土建工程</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149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10,728,563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69,692,916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80,421,479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65,704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65,704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自筹资金及借款</w:t>
            </w:r>
          </w:p>
        </w:tc>
      </w:tr>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197" w:lineRule="exact"/>
              <w:ind w:left="160" w:right="0" w:hanging="160"/>
              <w:jc w:val="left"/>
              <w:rPr>
                <w:sz w:val="14"/>
                <w:szCs w:val="14"/>
              </w:rPr>
            </w:pP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4"/>
                <w:szCs w:val="14"/>
              </w:rPr>
              <w:t>年中国联通</w:t>
            </w:r>
            <w:r>
              <w:rPr>
                <w:rFonts w:ascii="Times New Roman" w:eastAsia="Times New Roman" w:hAnsi="Times New Roman" w:cs="Times New Roman"/>
                <w:color w:val="000000"/>
                <w:spacing w:val="0"/>
                <w:w w:val="100"/>
                <w:position w:val="0"/>
                <w:sz w:val="14"/>
                <w:szCs w:val="14"/>
              </w:rPr>
              <w:t>China169</w:t>
            </w:r>
            <w:r>
              <w:rPr>
                <w:color w:val="000000"/>
                <w:spacing w:val="0"/>
                <w:w w:val="100"/>
                <w:position w:val="0"/>
                <w:sz w:val="14"/>
                <w:szCs w:val="14"/>
              </w:rPr>
              <w:t>骨干网陕甘宁青新 扩容工程陕西省分公司单项工程</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66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63,152,230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63,152,230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14"/>
                <w:szCs w:val="14"/>
              </w:rPr>
            </w:pPr>
            <w:r>
              <w:rPr>
                <w:rFonts w:ascii="Times New Roman" w:eastAsia="Times New Roman" w:hAnsi="Times New Roman" w:cs="Times New Roman"/>
                <w:color w:val="000000"/>
                <w:spacing w:val="0"/>
                <w:w w:val="100"/>
                <w:position w:val="0"/>
                <w:sz w:val="14"/>
                <w:szCs w:val="14"/>
              </w:rPr>
              <w:t>915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自筹资金及借款</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2021</w:t>
            </w:r>
            <w:r>
              <w:rPr>
                <w:color w:val="000000"/>
                <w:spacing w:val="0"/>
                <w:w w:val="100"/>
                <w:position w:val="0"/>
                <w:sz w:val="14"/>
                <w:szCs w:val="14"/>
              </w:rPr>
              <w:t>年中国联通浙江温州</w:t>
            </w:r>
            <w:r>
              <w:rPr>
                <w:rFonts w:ascii="Times New Roman" w:eastAsia="Times New Roman" w:hAnsi="Times New Roman" w:cs="Times New Roman"/>
                <w:color w:val="000000"/>
                <w:spacing w:val="0"/>
                <w:w w:val="100"/>
                <w:position w:val="0"/>
                <w:sz w:val="14"/>
                <w:szCs w:val="14"/>
              </w:rPr>
              <w:t>5G</w:t>
            </w:r>
            <w:r>
              <w:rPr>
                <w:color w:val="000000"/>
                <w:spacing w:val="0"/>
                <w:w w:val="100"/>
                <w:position w:val="0"/>
                <w:sz w:val="14"/>
                <w:szCs w:val="14"/>
              </w:rPr>
              <w:t>无线网新建第</w:t>
            </w:r>
          </w:p>
          <w:p>
            <w:pPr>
              <w:pStyle w:val="Style2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四期工程</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61,987,675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61,987,675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24,512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24,512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自筹资金及借款</w:t>
            </w: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shd w:val="clear" w:color="auto" w:fill="FFFFFF"/>
            <w:vAlign w:val="bottom"/>
          </w:tcPr>
          <w:p>
            <w:pPr>
              <w:pStyle w:val="Style22"/>
              <w:keepNext w:val="0"/>
              <w:keepLines w:val="0"/>
              <w:widowControl w:val="0"/>
              <w:shd w:val="clear" w:color="auto" w:fill="auto"/>
              <w:tabs>
                <w:tab w:pos="485" w:val="left"/>
              </w:tabs>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1,686</w:t>
              <w:tab/>
            </w:r>
            <w:r>
              <w:rPr>
                <w:rFonts w:ascii="Times New Roman" w:eastAsia="Times New Roman" w:hAnsi="Times New Roman" w:cs="Times New Roman"/>
                <w:color w:val="000000"/>
                <w:spacing w:val="0"/>
                <w:w w:val="100"/>
                <w:position w:val="0"/>
                <w:sz w:val="14"/>
                <w:szCs w:val="14"/>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164,862,264</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874,487,454</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117,860,532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921,489,186</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3,280,166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538,388</w:t>
            </w:r>
          </w:p>
        </w:tc>
        <w:tc>
          <w:tcPr>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300" w:line="240" w:lineRule="auto"/>
        <w:ind w:left="0" w:right="1860" w:firstLine="0"/>
        <w:jc w:val="right"/>
        <w:rPr>
          <w:sz w:val="22"/>
          <w:szCs w:val="22"/>
        </w:rPr>
        <w:sectPr>
          <w:footnotePr>
            <w:pos w:val="pageBottom"/>
            <w:numFmt w:val="decimal"/>
            <w:numRestart w:val="continuous"/>
          </w:footnotePr>
          <w:pgSz w:w="16840" w:h="11900" w:orient="landscape"/>
          <w:pgMar w:top="1596" w:right="558" w:bottom="1515" w:left="841" w:header="0" w:footer="3" w:gutter="0"/>
          <w:cols w:space="720"/>
          <w:noEndnote/>
          <w:rtlGutter w:val="0"/>
          <w:docGrid w:linePitch="360"/>
        </w:sectPr>
      </w:pPr>
      <w:r>
        <mc:AlternateContent>
          <mc:Choice Requires="wps">
            <w:drawing>
              <wp:anchor distT="0" distB="0" distL="0" distR="0" simplePos="0" relativeHeight="125829397" behindDoc="0" locked="0" layoutInCell="1" allowOverlap="1">
                <wp:simplePos x="0" y="0"/>
                <wp:positionH relativeFrom="page">
                  <wp:posOffset>994410</wp:posOffset>
                </wp:positionH>
                <wp:positionV relativeFrom="paragraph">
                  <wp:posOffset>12700</wp:posOffset>
                </wp:positionV>
                <wp:extent cx="3416935" cy="194945"/>
                <wp:wrapSquare wrapText="right"/>
                <wp:docPr id="38" name="Shape 38"/>
                <a:graphic xmlns:a="http://schemas.openxmlformats.org/drawingml/2006/main">
                  <a:graphicData uri="http://schemas.microsoft.com/office/word/2010/wordprocessingShape">
                    <wps:wsp>
                      <wps:cNvSpPr txBox="1"/>
                      <wps:spPr>
                        <a:xfrm>
                          <a:ext cx="3416935" cy="1949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本集团对技术、性能上明显落后或已终止建设、</w:t>
                            </w:r>
                          </w:p>
                        </w:txbxContent>
                      </wps:txbx>
                      <wps:bodyPr wrap="none" lIns="0" tIns="0" rIns="0" bIns="0">
                        <a:noAutoFit/>
                      </wps:bodyPr>
                    </wps:wsp>
                  </a:graphicData>
                </a:graphic>
              </wp:anchor>
            </w:drawing>
          </mc:Choice>
          <mc:Fallback>
            <w:pict>
              <v:shape id="_x0000_s1064" type="#_x0000_t202" style="position:absolute;margin-left:78.299999999999997pt;margin-top:1.pt;width:269.05000000000001pt;height:15.35pt;z-index:-125829356;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本集团对技术、性能上明显落后或已终止建设、</w:t>
                      </w:r>
                    </w:p>
                  </w:txbxContent>
                </v:textbox>
                <w10:wrap type="square" side="right" anchorx="page"/>
              </v:shape>
            </w:pict>
          </mc:Fallback>
        </mc:AlternateContent>
      </w:r>
      <w:r>
        <w:rPr>
          <w:color w:val="000000"/>
          <w:spacing w:val="0"/>
          <w:w w:val="100"/>
          <w:position w:val="0"/>
          <w:sz w:val="22"/>
          <w:szCs w:val="22"/>
        </w:rPr>
        <w:t>预计将不能为本集团带来未来经济收益的在建工程计提资产减值准备。</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6" w:val="left"/>
        </w:tabs>
        <w:bidi w:val="0"/>
        <w:spacing w:before="0" w:after="28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6" w:val="left"/>
        </w:tabs>
        <w:bidi w:val="0"/>
        <w:spacing w:before="0" w:after="320" w:line="240" w:lineRule="auto"/>
        <w:ind w:left="0" w:right="0" w:firstLine="0"/>
        <w:jc w:val="left"/>
        <w:rPr>
          <w:sz w:val="22"/>
          <w:szCs w:val="22"/>
        </w:rPr>
      </w:pPr>
      <w:bookmarkStart w:id="1147" w:name="bookmark1147"/>
      <w:r>
        <w:rPr>
          <w:rFonts w:ascii="Times New Roman" w:eastAsia="Times New Roman" w:hAnsi="Times New Roman" w:cs="Times New Roman"/>
          <w:color w:val="000000"/>
          <w:spacing w:val="0"/>
          <w:w w:val="100"/>
          <w:position w:val="0"/>
          <w:sz w:val="24"/>
          <w:szCs w:val="24"/>
          <w:shd w:val="clear" w:color="auto" w:fill="FFFFFF"/>
        </w:rPr>
        <w:t>1</w:t>
      </w:r>
      <w:bookmarkEnd w:id="1147"/>
      <w:r>
        <w:rPr>
          <w:rFonts w:ascii="Times New Roman" w:eastAsia="Times New Roman" w:hAnsi="Times New Roman" w:cs="Times New Roman"/>
          <w:color w:val="000000"/>
          <w:spacing w:val="0"/>
          <w:w w:val="100"/>
          <w:position w:val="0"/>
          <w:sz w:val="24"/>
          <w:szCs w:val="24"/>
          <w:shd w:val="clear" w:color="auto" w:fill="FFFFFF"/>
        </w:rPr>
        <w:t>3</w:t>
      </w:r>
      <w:r>
        <w:rPr>
          <w:color w:val="000000"/>
          <w:spacing w:val="0"/>
          <w:w w:val="100"/>
          <w:position w:val="0"/>
          <w:sz w:val="22"/>
          <w:szCs w:val="22"/>
          <w:shd w:val="clear" w:color="auto" w:fill="FFFFFF"/>
        </w:rPr>
        <w:t>、</w:t>
      </w:r>
      <w:r>
        <w:rPr>
          <w:color w:val="000000"/>
          <w:spacing w:val="0"/>
          <w:w w:val="100"/>
          <w:position w:val="0"/>
          <w:sz w:val="22"/>
          <w:szCs w:val="22"/>
        </w:rPr>
        <w:tab/>
        <w:t>在建工程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工程物资</w:t>
      </w:r>
    </w:p>
    <w:tbl>
      <w:tblPr>
        <w:tblOverlap w:val="never"/>
        <w:jc w:val="right"/>
        <w:tblLayout w:type="fixed"/>
      </w:tblPr>
      <w:tblGrid>
        <w:gridCol w:w="1915"/>
        <w:gridCol w:w="1752"/>
        <w:gridCol w:w="1459"/>
        <w:gridCol w:w="1430"/>
        <w:gridCol w:w="1478"/>
        <w:gridCol w:w="1392"/>
      </w:tblGrid>
      <w:tr>
        <w:trPr>
          <w:trHeight w:val="754" w:hRule="exact"/>
        </w:trPr>
        <w:tc>
          <w:tcPr>
            <w:tcBorders/>
            <w:shd w:val="clear" w:color="auto" w:fill="FFFFFF"/>
            <w:vAlign w:val="top"/>
          </w:tcPr>
          <w:p>
            <w:pPr>
              <w:widowControl w:val="0"/>
              <w:rPr>
                <w:sz w:val="10"/>
                <w:szCs w:val="10"/>
              </w:rPr>
            </w:pPr>
          </w:p>
        </w:tc>
        <w:tc>
          <w:tcPr>
            <w:gridSpan w:val="4"/>
            <w:tcBorders/>
            <w:shd w:val="clear" w:color="auto" w:fill="FFFFFF"/>
            <w:vAlign w:val="top"/>
          </w:tcPr>
          <w:p>
            <w:pPr>
              <w:pStyle w:val="Style22"/>
              <w:keepNext w:val="0"/>
              <w:keepLines w:val="0"/>
              <w:widowControl w:val="0"/>
              <w:shd w:val="clear" w:color="auto" w:fill="auto"/>
              <w:bidi w:val="0"/>
              <w:spacing w:before="0" w:after="0" w:line="240" w:lineRule="auto"/>
              <w:ind w:left="0" w:right="240" w:firstLine="0"/>
              <w:jc w:val="righ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240" w:firstLine="0"/>
              <w:jc w:val="righ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1834" w:hRule="exact"/>
        </w:trPr>
        <w:tc>
          <w:tcPr>
            <w:gridSpan w:val="2"/>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工程设备</w:t>
            </w:r>
          </w:p>
          <w:p>
            <w:pPr>
              <w:pStyle w:val="Style2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工程材料</w:t>
            </w:r>
          </w:p>
          <w:p>
            <w:pPr>
              <w:pStyle w:val="Style2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小计</w:t>
            </w:r>
          </w:p>
          <w:p>
            <w:pPr>
              <w:pStyle w:val="Style2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减：工程物资减值准备</w:t>
            </w:r>
          </w:p>
          <w:p>
            <w:pPr>
              <w:pStyle w:val="Style2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工程物资合计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324,390,468</w:t>
            </w:r>
          </w:p>
          <w:p>
            <w:pPr>
              <w:pStyle w:val="Style22"/>
              <w:keepNext w:val="0"/>
              <w:keepLines w:val="0"/>
              <w:widowControl w:val="0"/>
              <w:shd w:val="clear" w:color="auto" w:fill="auto"/>
              <w:bidi w:val="0"/>
              <w:spacing w:before="0" w:after="6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16,490,160</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340,880,628</w:t>
            </w:r>
          </w:p>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7,070,005</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333,810,623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436,167,473</w:t>
            </w:r>
          </w:p>
          <w:p>
            <w:pPr>
              <w:pStyle w:val="Style22"/>
              <w:keepNext w:val="0"/>
              <w:keepLines w:val="0"/>
              <w:widowControl w:val="0"/>
              <w:shd w:val="clear" w:color="auto" w:fill="auto"/>
              <w:bidi w:val="0"/>
              <w:spacing w:before="0" w:after="6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22,893,752</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459,061,225</w:t>
            </w:r>
          </w:p>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6,769,688</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452,291,537</w:t>
            </w:r>
          </w:p>
        </w:tc>
      </w:tr>
      <w:tr>
        <w:trPr>
          <w:trHeight w:val="58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无形资产</w:t>
            </w:r>
          </w:p>
        </w:tc>
        <w:tc>
          <w:tcPr>
            <w:gridSpan w:val="5"/>
            <w:tcBorders/>
            <w:shd w:val="clear" w:color="auto" w:fill="FFFFFF"/>
            <w:vAlign w:val="top"/>
          </w:tcPr>
          <w:p>
            <w:pPr>
              <w:widowControl w:val="0"/>
              <w:rPr>
                <w:sz w:val="10"/>
                <w:szCs w:val="10"/>
              </w:rPr>
            </w:pPr>
          </w:p>
        </w:tc>
      </w:tr>
      <w:tr>
        <w:trPr>
          <w:trHeight w:val="72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u w:val="single"/>
              </w:rPr>
              <w:t>土地使用权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u w:val="single"/>
              </w:rPr>
              <w:t>计算机软件</w:t>
            </w:r>
          </w:p>
        </w:tc>
        <w:tc>
          <w:tcPr>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电路 </w:t>
            </w:r>
            <w:r>
              <w:rPr>
                <w:color w:val="000000"/>
                <w:spacing w:val="0"/>
                <w:w w:val="100"/>
                <w:position w:val="0"/>
                <w:sz w:val="18"/>
                <w:szCs w:val="18"/>
                <w:u w:val="single"/>
              </w:rPr>
              <w:t>及设备使用权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u w:val="single"/>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合计</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原值</w:t>
            </w:r>
          </w:p>
        </w:tc>
        <w:tc>
          <w:tcPr>
            <w:gridSpan w:val="5"/>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20,917,950,680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32,004,401,128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1,128,891,833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2,756,174,839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56,807,418,480</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本年增加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330,115,091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6,696,433,135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5,528,363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368,712,200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7,400,788,789</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购置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945,296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692,442,667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34,097,231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727,485,194</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在建工程转入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329,169,795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6,003,990,468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5,528,363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334,614,969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6,673,303,595</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本年处置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68,137,091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5,735,229,050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16,328,040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449,998,578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6,269,692,759</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年末余额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u w:val="single"/>
              </w:rPr>
              <w:t>21,179,928,680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32,965,605,213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1,118,092,156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2,674,888,461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57,938,514,510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累计摊销</w:t>
            </w:r>
          </w:p>
        </w:tc>
        <w:tc>
          <w:tcPr>
            <w:gridSpan w:val="5"/>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6,949,961,945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22,656,916,452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741,055,470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1,516,128,029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31,864,061,896</w:t>
            </w: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本年计提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469,691,251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3,487,593,842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56,482,265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419,892,095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4,433,659,453</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本年处置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45,409,120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5,167,050,714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14,564,145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305,553,069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5,532,577,048</w:t>
            </w:r>
          </w:p>
        </w:tc>
      </w:tr>
      <w:tr>
        <w:trP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年末余额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7,374,244,076</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20,977,459,580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782,973,590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1,630,467,055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30,765,144,301</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gridSpan w:val="5"/>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年初余额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861,534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886,244</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本年处置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363,654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388,364</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年末余额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497,880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497,880</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c>
          <w:tcPr>
            <w:gridSpan w:val="5"/>
            <w:tcBorders>
              <w:top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年末</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13,805,684,604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11,987,647,753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335,118,566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1,044,421,406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27,172,872,329</w:t>
            </w:r>
          </w:p>
        </w:tc>
      </w:tr>
      <w:tr>
        <w:trPr>
          <w:trHeight w:val="26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年初</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13,967,988,735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9,346,623,142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387,836,363</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1,240,022,100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24,942,470,340</w:t>
            </w:r>
          </w:p>
        </w:tc>
      </w:tr>
    </w:tbl>
    <w:p>
      <w:pPr>
        <w:spacing w:lineRule="exact" w:line="1"/>
        <w:rPr>
          <w:sz w:val="2"/>
          <w:szCs w:val="2"/>
        </w:rPr>
      </w:pPr>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8" w:val="left"/>
        </w:tabs>
        <w:bidi w:val="0"/>
        <w:spacing w:before="0" w:after="30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8" w:val="left"/>
        </w:tabs>
        <w:bidi w:val="0"/>
        <w:spacing w:before="0" w:after="3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w:t>
        <w:tab/>
        <w:t>长期待摊费用</w:t>
      </w:r>
    </w:p>
    <w:tbl>
      <w:tblPr>
        <w:tblOverlap w:val="never"/>
        <w:jc w:val="center"/>
        <w:tblLayout w:type="fixed"/>
      </w:tblPr>
      <w:tblGrid>
        <w:gridCol w:w="3355"/>
        <w:gridCol w:w="1574"/>
        <w:gridCol w:w="1531"/>
        <w:gridCol w:w="1526"/>
        <w:gridCol w:w="1416"/>
      </w:tblGrid>
      <w:tr>
        <w:trPr>
          <w:trHeight w:val="66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本年增加</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本年减少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791,539,333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506,899,021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381,790,777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916,647,577</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外市电引入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238,724,459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185,507,099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103,057,956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321,173,602</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长期预付线路租赁及其相关服务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265,667,137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88,307,153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78,640,783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275,333,507</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一次性不退还收入的直接相关成本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108,557,660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8,313,076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100,244,584</w:t>
            </w:r>
          </w:p>
        </w:tc>
      </w:tr>
      <w:tr>
        <w:trPr>
          <w:trHeight w:val="26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1,447,119,260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912,881,290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923,456,767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1,436,543,783</w:t>
            </w:r>
          </w:p>
        </w:tc>
      </w:tr>
      <w:tr>
        <w:trPr>
          <w:trHeight w:val="32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2,851,607,849</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1,693,594,563</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1,495,259,359</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3,049,943,053</w:t>
            </w:r>
          </w:p>
        </w:tc>
      </w:tr>
    </w:tbl>
    <w:p>
      <w:pPr>
        <w:widowControl w:val="0"/>
        <w:spacing w:after="239" w:line="1" w:lineRule="exact"/>
      </w:pPr>
    </w:p>
    <w:p>
      <w:pPr>
        <w:pStyle w:val="Style5"/>
        <w:keepNext w:val="0"/>
        <w:keepLines w:val="0"/>
        <w:widowControl w:val="0"/>
        <w:shd w:val="clear" w:color="auto" w:fill="auto"/>
        <w:tabs>
          <w:tab w:pos="678" w:val="left"/>
        </w:tabs>
        <w:bidi w:val="0"/>
        <w:spacing w:before="0" w:after="300" w:line="240" w:lineRule="auto"/>
        <w:ind w:left="0" w:right="0" w:firstLine="0"/>
        <w:jc w:val="left"/>
        <w:rPr>
          <w:sz w:val="22"/>
          <w:szCs w:val="22"/>
        </w:rPr>
      </w:pPr>
      <w:bookmarkStart w:id="1148" w:name="bookmark1148"/>
      <w:r>
        <w:rPr>
          <w:rFonts w:ascii="Times New Roman" w:eastAsia="Times New Roman" w:hAnsi="Times New Roman" w:cs="Times New Roman"/>
          <w:color w:val="000000"/>
          <w:spacing w:val="0"/>
          <w:w w:val="100"/>
          <w:position w:val="0"/>
          <w:sz w:val="24"/>
          <w:szCs w:val="24"/>
          <w:shd w:val="clear" w:color="auto" w:fill="FFFFFF"/>
        </w:rPr>
        <w:t>1</w:t>
      </w:r>
      <w:bookmarkEnd w:id="1148"/>
      <w:r>
        <w:rPr>
          <w:rFonts w:ascii="Times New Roman" w:eastAsia="Times New Roman" w:hAnsi="Times New Roman" w:cs="Times New Roman"/>
          <w:color w:val="000000"/>
          <w:spacing w:val="0"/>
          <w:w w:val="100"/>
          <w:position w:val="0"/>
          <w:sz w:val="24"/>
          <w:szCs w:val="24"/>
          <w:shd w:val="clear" w:color="auto" w:fill="FFFFFF"/>
        </w:rPr>
        <w:t>6</w:t>
      </w:r>
      <w:r>
        <w:rPr>
          <w:color w:val="000000"/>
          <w:spacing w:val="0"/>
          <w:w w:val="100"/>
          <w:position w:val="0"/>
          <w:sz w:val="22"/>
          <w:szCs w:val="22"/>
          <w:shd w:val="clear" w:color="auto" w:fill="FFFFFF"/>
        </w:rPr>
        <w:t>、</w:t>
      </w:r>
      <w:r>
        <w:rPr>
          <w:color w:val="000000"/>
          <w:spacing w:val="0"/>
          <w:w w:val="100"/>
          <w:position w:val="0"/>
          <w:sz w:val="22"/>
          <w:szCs w:val="22"/>
        </w:rPr>
        <w:tab/>
        <w:t>其他非流动资产</w:t>
      </w:r>
    </w:p>
    <w:tbl>
      <w:tblPr>
        <w:tblOverlap w:val="never"/>
        <w:jc w:val="center"/>
        <w:tblLayout w:type="fixed"/>
      </w:tblPr>
      <w:tblGrid>
        <w:gridCol w:w="3782"/>
        <w:gridCol w:w="1987"/>
        <w:gridCol w:w="2011"/>
        <w:gridCol w:w="1598"/>
      </w:tblGrid>
      <w:tr>
        <w:trPr>
          <w:trHeight w:val="7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4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增量佣金支出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748,340,957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1,261,823,263</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增量宽带及</w:t>
            </w:r>
            <w:r>
              <w:rPr>
                <w:rFonts w:ascii="Times New Roman" w:eastAsia="Times New Roman" w:hAnsi="Times New Roman" w:cs="Times New Roman"/>
                <w:color w:val="000000"/>
                <w:spacing w:val="0"/>
                <w:w w:val="100"/>
                <w:position w:val="0"/>
                <w:sz w:val="24"/>
                <w:szCs w:val="24"/>
              </w:rPr>
              <w:t>IPTV</w:t>
            </w:r>
            <w:r>
              <w:rPr>
                <w:color w:val="000000"/>
                <w:spacing w:val="0"/>
                <w:w w:val="100"/>
                <w:position w:val="0"/>
                <w:sz w:val="22"/>
                <w:szCs w:val="22"/>
              </w:rPr>
              <w:t>服务支出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(b)</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3,276,915,727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2,409,994,994</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预缴及待抵扣增值税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(22)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170,598,505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441,628,741</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长期合同资产 </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回收期超过一年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的应收合约用户终端款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71,625,563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102,929,230</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628,461,420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584,225,658</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4,895,942,172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4,800,601,886</w:t>
            </w:r>
          </w:p>
        </w:tc>
      </w:tr>
    </w:tbl>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增量佣金支出</w:t>
      </w:r>
    </w:p>
    <w:p>
      <w:pPr>
        <w:widowControl w:val="0"/>
        <w:spacing w:after="239" w:line="1" w:lineRule="exact"/>
      </w:pPr>
    </w:p>
    <w:p>
      <w:pPr>
        <w:pStyle w:val="Style5"/>
        <w:keepNext w:val="0"/>
        <w:keepLines w:val="0"/>
        <w:widowControl w:val="0"/>
        <w:shd w:val="clear" w:color="auto" w:fill="auto"/>
        <w:bidi w:val="0"/>
        <w:spacing w:before="0" w:after="240" w:line="310" w:lineRule="exact"/>
        <w:ind w:left="700" w:right="0" w:firstLine="20"/>
        <w:jc w:val="both"/>
        <w:rPr>
          <w:sz w:val="22"/>
          <w:szCs w:val="22"/>
        </w:rPr>
      </w:pPr>
      <w:r>
        <w:rPr>
          <w:color w:val="000000"/>
          <w:spacing w:val="0"/>
          <w:w w:val="100"/>
          <w:position w:val="0"/>
          <w:sz w:val="22"/>
          <w:szCs w:val="22"/>
        </w:rPr>
        <w:t>增量佣金支出主要指为取得用户合同而支付给渠道商的增量佣金支出。本集团将预期能够 收回的增量佣金支出资本化，并在相关收入确认时进行摊销，将摊销期限未超过一年的相 关支出于其发生时计入当期损益。</w:t>
      </w:r>
    </w:p>
    <w:p>
      <w:pPr>
        <w:pStyle w:val="Style5"/>
        <w:keepNext w:val="0"/>
        <w:keepLines w:val="0"/>
        <w:widowControl w:val="0"/>
        <w:shd w:val="clear" w:color="auto" w:fill="auto"/>
        <w:bidi w:val="0"/>
        <w:spacing w:before="0" w:after="300" w:line="322" w:lineRule="exact"/>
        <w:ind w:left="700" w:right="0" w:firstLine="20"/>
        <w:jc w:val="both"/>
        <w:rPr>
          <w:sz w:val="22"/>
          <w:szCs w:val="22"/>
        </w:rPr>
      </w:pPr>
      <w:r>
        <w:rPr>
          <w:color w:val="000000"/>
          <w:spacing w:val="0"/>
          <w:w w:val="100"/>
          <w:position w:val="0"/>
          <w:sz w:val="22"/>
          <w:szCs w:val="22"/>
        </w:rPr>
        <w:t>本集团资本化的佣金支出当期摊销金额约人民币</w:t>
      </w:r>
      <w:r>
        <w:rPr>
          <w:rFonts w:ascii="Times New Roman" w:eastAsia="Times New Roman" w:hAnsi="Times New Roman" w:cs="Times New Roman"/>
          <w:color w:val="000000"/>
          <w:spacing w:val="0"/>
          <w:w w:val="100"/>
          <w:position w:val="0"/>
          <w:sz w:val="24"/>
          <w:szCs w:val="24"/>
        </w:rPr>
        <w:t>9.39</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年度：约人民币</w:t>
      </w:r>
      <w:r>
        <w:rPr>
          <w:rFonts w:ascii="Times New Roman" w:eastAsia="Times New Roman" w:hAnsi="Times New Roman" w:cs="Times New Roman"/>
          <w:color w:val="000000"/>
          <w:spacing w:val="0"/>
          <w:w w:val="100"/>
          <w:position w:val="0"/>
          <w:sz w:val="24"/>
          <w:szCs w:val="24"/>
        </w:rPr>
        <w:t>11.52</w:t>
      </w:r>
      <w:r>
        <w:rPr>
          <w:color w:val="000000"/>
          <w:spacing w:val="0"/>
          <w:w w:val="100"/>
          <w:position w:val="0"/>
          <w:sz w:val="22"/>
          <w:szCs w:val="22"/>
        </w:rPr>
        <w:t>亿 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。年初及年末资本化的佣金支出未发生减值。</w:t>
      </w:r>
    </w:p>
    <w:p>
      <w:pPr>
        <w:pStyle w:val="Style5"/>
        <w:keepNext w:val="0"/>
        <w:keepLines w:val="0"/>
        <w:widowControl w:val="0"/>
        <w:shd w:val="clear" w:color="auto" w:fill="auto"/>
        <w:bidi w:val="0"/>
        <w:spacing w:before="0" w:after="240" w:line="271" w:lineRule="auto"/>
        <w:ind w:left="700" w:right="0" w:firstLine="20"/>
        <w:jc w:val="both"/>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增量宽带及</w:t>
      </w:r>
      <w:r>
        <w:rPr>
          <w:rFonts w:ascii="Times New Roman" w:eastAsia="Times New Roman" w:hAnsi="Times New Roman" w:cs="Times New Roman"/>
          <w:color w:val="000000"/>
          <w:spacing w:val="0"/>
          <w:w w:val="100"/>
          <w:position w:val="0"/>
          <w:sz w:val="24"/>
          <w:szCs w:val="24"/>
        </w:rPr>
        <w:t>IPTV</w:t>
      </w:r>
      <w:r>
        <w:rPr>
          <w:color w:val="000000"/>
          <w:spacing w:val="0"/>
          <w:w w:val="100"/>
          <w:position w:val="0"/>
          <w:sz w:val="22"/>
          <w:szCs w:val="22"/>
        </w:rPr>
        <w:t>服务支出</w:t>
      </w:r>
    </w:p>
    <w:p>
      <w:pPr>
        <w:pStyle w:val="Style5"/>
        <w:keepNext w:val="0"/>
        <w:keepLines w:val="0"/>
        <w:widowControl w:val="0"/>
        <w:shd w:val="clear" w:color="auto" w:fill="auto"/>
        <w:bidi w:val="0"/>
        <w:spacing w:before="0" w:after="260" w:line="312" w:lineRule="exact"/>
        <w:ind w:left="700" w:right="0" w:firstLine="20"/>
        <w:jc w:val="both"/>
        <w:rPr>
          <w:sz w:val="22"/>
          <w:szCs w:val="22"/>
        </w:rPr>
      </w:pPr>
      <w:r>
        <w:rPr>
          <w:color w:val="000000"/>
          <w:spacing w:val="0"/>
          <w:w w:val="100"/>
          <w:position w:val="0"/>
          <w:sz w:val="22"/>
          <w:szCs w:val="22"/>
        </w:rPr>
        <w:t>增量宽带及</w:t>
      </w:r>
      <w:r>
        <w:rPr>
          <w:rFonts w:ascii="Times New Roman" w:eastAsia="Times New Roman" w:hAnsi="Times New Roman" w:cs="Times New Roman"/>
          <w:color w:val="000000"/>
          <w:spacing w:val="0"/>
          <w:w w:val="100"/>
          <w:position w:val="0"/>
          <w:sz w:val="24"/>
          <w:szCs w:val="24"/>
        </w:rPr>
        <w:t>IPTV</w:t>
      </w:r>
      <w:r>
        <w:rPr>
          <w:color w:val="000000"/>
          <w:spacing w:val="0"/>
          <w:w w:val="100"/>
          <w:position w:val="0"/>
          <w:sz w:val="22"/>
          <w:szCs w:val="22"/>
        </w:rPr>
        <w:t>服务支出主要指为提供宽带和</w:t>
      </w:r>
      <w:r>
        <w:rPr>
          <w:rFonts w:ascii="Times New Roman" w:eastAsia="Times New Roman" w:hAnsi="Times New Roman" w:cs="Times New Roman"/>
          <w:color w:val="000000"/>
          <w:spacing w:val="0"/>
          <w:w w:val="100"/>
          <w:position w:val="0"/>
          <w:sz w:val="24"/>
          <w:szCs w:val="24"/>
        </w:rPr>
        <w:t>IPTV</w:t>
      </w:r>
      <w:r>
        <w:rPr>
          <w:color w:val="000000"/>
          <w:spacing w:val="0"/>
          <w:w w:val="100"/>
          <w:position w:val="0"/>
          <w:sz w:val="22"/>
          <w:szCs w:val="22"/>
        </w:rPr>
        <w:t>服务，为用户开通宽带和</w:t>
      </w:r>
      <w:r>
        <w:rPr>
          <w:rFonts w:ascii="Times New Roman" w:eastAsia="Times New Roman" w:hAnsi="Times New Roman" w:cs="Times New Roman"/>
          <w:color w:val="000000"/>
          <w:spacing w:val="0"/>
          <w:w w:val="100"/>
          <w:position w:val="0"/>
          <w:sz w:val="24"/>
          <w:szCs w:val="24"/>
        </w:rPr>
        <w:t>IPTV</w:t>
      </w:r>
      <w:r>
        <w:rPr>
          <w:color w:val="000000"/>
          <w:spacing w:val="0"/>
          <w:w w:val="100"/>
          <w:position w:val="0"/>
          <w:sz w:val="22"/>
          <w:szCs w:val="22"/>
        </w:rPr>
        <w:t>而发 生的终端等直接相关成本，在预计服务期内进行摊销。该资本化的直接相关成本当期摊销 金额约为人民币</w:t>
      </w:r>
      <w:r>
        <w:rPr>
          <w:rFonts w:ascii="Times New Roman" w:eastAsia="Times New Roman" w:hAnsi="Times New Roman" w:cs="Times New Roman"/>
          <w:color w:val="000000"/>
          <w:spacing w:val="0"/>
          <w:w w:val="100"/>
          <w:position w:val="0"/>
          <w:sz w:val="24"/>
          <w:szCs w:val="24"/>
        </w:rPr>
        <w:t>26.88</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年度：约人民币</w:t>
      </w:r>
      <w:r>
        <w:rPr>
          <w:rFonts w:ascii="Times New Roman" w:eastAsia="Times New Roman" w:hAnsi="Times New Roman" w:cs="Times New Roman"/>
          <w:color w:val="000000"/>
          <w:spacing w:val="0"/>
          <w:w w:val="100"/>
          <w:position w:val="0"/>
          <w:sz w:val="24"/>
          <w:szCs w:val="24"/>
        </w:rPr>
        <w:t>25.24</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。年初及年末资本化的增量宽 带及</w:t>
      </w:r>
      <w:r>
        <w:rPr>
          <w:rFonts w:ascii="Times New Roman" w:eastAsia="Times New Roman" w:hAnsi="Times New Roman" w:cs="Times New Roman"/>
          <w:color w:val="000000"/>
          <w:spacing w:val="0"/>
          <w:w w:val="100"/>
          <w:position w:val="0"/>
          <w:sz w:val="24"/>
          <w:szCs w:val="24"/>
        </w:rPr>
        <w:t>IPTV</w:t>
      </w:r>
      <w:r>
        <w:rPr>
          <w:color w:val="000000"/>
          <w:spacing w:val="0"/>
          <w:w w:val="100"/>
          <w:position w:val="0"/>
          <w:sz w:val="22"/>
          <w:szCs w:val="22"/>
        </w:rPr>
        <w:t>服务支出未发生减值。</w:t>
      </w:r>
    </w:p>
    <w:p>
      <w:pPr>
        <w:pStyle w:val="Style97"/>
        <w:keepNext/>
        <w:keepLines/>
        <w:widowControl w:val="0"/>
        <w:shd w:val="clear" w:color="auto" w:fill="auto"/>
        <w:bidi w:val="0"/>
        <w:spacing w:before="0" w:after="0" w:line="240" w:lineRule="auto"/>
        <w:ind w:left="0" w:right="0" w:firstLine="0"/>
        <w:jc w:val="both"/>
      </w:pPr>
      <w:bookmarkStart w:id="1149" w:name="bookmark1149"/>
      <w:bookmarkStart w:id="1150" w:name="bookmark1150"/>
      <w:bookmarkStart w:id="1151" w:name="bookmark1151"/>
      <w:r>
        <w:rPr>
          <w:color w:val="000000"/>
          <w:spacing w:val="0"/>
          <w:w w:val="100"/>
          <w:position w:val="0"/>
        </w:rPr>
        <w:t>财务报表附注</w:t>
      </w:r>
      <w:bookmarkEnd w:id="1149"/>
      <w:bookmarkEnd w:id="1150"/>
      <w:bookmarkEnd w:id="1151"/>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both"/>
        <w:rPr>
          <w:sz w:val="24"/>
          <w:szCs w:val="24"/>
        </w:rPr>
      </w:pPr>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152"/>
      <w:bookmarkEnd w:id="1153"/>
      <w:bookmarkEnd w:id="1154"/>
    </w:p>
    <w:p>
      <w:pPr>
        <w:pStyle w:val="Style97"/>
        <w:keepNext/>
        <w:keepLines/>
        <w:widowControl w:val="0"/>
        <w:shd w:val="clear" w:color="auto" w:fill="auto"/>
        <w:tabs>
          <w:tab w:pos="695" w:val="left"/>
        </w:tabs>
        <w:bidi w:val="0"/>
        <w:spacing w:before="0" w:after="300" w:line="240" w:lineRule="auto"/>
        <w:ind w:left="0" w:right="0" w:firstLine="0"/>
        <w:jc w:val="both"/>
      </w:pPr>
      <w:bookmarkStart w:id="1155" w:name="bookmark1155"/>
      <w:bookmarkStart w:id="1156" w:name="bookmark1156"/>
      <w:bookmarkStart w:id="1157" w:name="bookmark1157"/>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155"/>
      <w:bookmarkEnd w:id="1156"/>
      <w:bookmarkEnd w:id="1157"/>
    </w:p>
    <w:p>
      <w:pPr>
        <w:pStyle w:val="Style97"/>
        <w:keepNext/>
        <w:keepLines/>
        <w:widowControl w:val="0"/>
        <w:shd w:val="clear" w:color="auto" w:fill="auto"/>
        <w:tabs>
          <w:tab w:pos="695" w:val="left"/>
        </w:tabs>
        <w:bidi w:val="0"/>
        <w:spacing w:before="0" w:after="300" w:line="240" w:lineRule="auto"/>
        <w:ind w:left="0" w:right="0" w:firstLine="0"/>
        <w:jc w:val="both"/>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sz w:val="24"/>
          <w:szCs w:val="24"/>
          <w:shd w:val="clear" w:color="auto" w:fill="FFFFFF"/>
        </w:rPr>
        <w:t>1</w:t>
      </w:r>
      <w:bookmarkEnd w:id="1160"/>
      <w:r>
        <w:rPr>
          <w:rFonts w:ascii="Times New Roman" w:eastAsia="Times New Roman" w:hAnsi="Times New Roman" w:cs="Times New Roman"/>
          <w:color w:val="000000"/>
          <w:spacing w:val="0"/>
          <w:w w:val="100"/>
          <w:position w:val="0"/>
          <w:sz w:val="24"/>
          <w:szCs w:val="24"/>
          <w:shd w:val="clear" w:color="auto" w:fill="FFFFFF"/>
        </w:rPr>
        <w:t>7</w:t>
      </w:r>
      <w:r>
        <w:rPr>
          <w:color w:val="000000"/>
          <w:spacing w:val="0"/>
          <w:w w:val="100"/>
          <w:position w:val="0"/>
          <w:shd w:val="clear" w:color="auto" w:fill="FFFFFF"/>
        </w:rPr>
        <w:t>、</w:t>
      </w:r>
      <w:r>
        <w:rPr>
          <w:color w:val="000000"/>
          <w:spacing w:val="0"/>
          <w:w w:val="100"/>
          <w:position w:val="0"/>
        </w:rPr>
        <w:tab/>
        <w:t>短期借款</w:t>
      </w:r>
      <w:bookmarkEnd w:id="1158"/>
      <w:bookmarkEnd w:id="1159"/>
      <w:bookmarkEnd w:id="1161"/>
    </w:p>
    <w:tbl>
      <w:tblPr>
        <w:tblOverlap w:val="never"/>
        <w:jc w:val="right"/>
        <w:tblLayout w:type="fixed"/>
      </w:tblPr>
      <w:tblGrid>
        <w:gridCol w:w="2016"/>
        <w:gridCol w:w="2904"/>
        <w:gridCol w:w="2798"/>
        <w:gridCol w:w="1685"/>
      </w:tblGrid>
      <w:tr>
        <w:trPr>
          <w:trHeight w:val="7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rPr>
              <w:t>币种</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0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人民币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385,264,597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740,000,000</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385,264,597</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740,000,000</w:t>
            </w:r>
          </w:p>
        </w:tc>
      </w:tr>
    </w:tbl>
    <w:p>
      <w:pPr>
        <w:widowControl w:val="0"/>
        <w:spacing w:after="219" w:line="1" w:lineRule="exact"/>
      </w:pPr>
    </w:p>
    <w:p>
      <w:pPr>
        <w:pStyle w:val="Style89"/>
        <w:keepNext w:val="0"/>
        <w:keepLines w:val="0"/>
        <w:widowControl w:val="0"/>
        <w:shd w:val="clear" w:color="auto" w:fill="auto"/>
        <w:bidi w:val="0"/>
        <w:spacing w:before="0" w:after="300" w:line="312" w:lineRule="exact"/>
        <w:ind w:left="720" w:right="0" w:firstLine="20"/>
        <w:jc w:val="left"/>
        <w:rPr>
          <w:sz w:val="22"/>
          <w:szCs w:val="22"/>
        </w:rPr>
      </w:pPr>
      <w:r>
        <w:rPr>
          <w:rFonts w:ascii="SimSun" w:eastAsia="SimSun" w:hAnsi="SimSun" w:cs="SimSun"/>
          <w:color w:val="000000"/>
          <w:spacing w:val="0"/>
          <w:w w:val="100"/>
          <w:position w:val="0"/>
          <w:sz w:val="22"/>
          <w:szCs w:val="22"/>
          <w:u w:val="none"/>
        </w:rPr>
        <w:t>于</w:t>
      </w:r>
      <w:r>
        <w:rPr>
          <w:color w:val="000000"/>
          <w:spacing w:val="0"/>
          <w:w w:val="100"/>
          <w:position w:val="0"/>
          <w:sz w:val="24"/>
          <w:szCs w:val="24"/>
          <w:u w:val="none"/>
        </w:rPr>
        <w:t>2021</w:t>
      </w:r>
      <w:r>
        <w:rPr>
          <w:rFonts w:ascii="SimSun" w:eastAsia="SimSun" w:hAnsi="SimSun" w:cs="SimSun"/>
          <w:color w:val="000000"/>
          <w:spacing w:val="0"/>
          <w:w w:val="100"/>
          <w:position w:val="0"/>
          <w:sz w:val="22"/>
          <w:szCs w:val="22"/>
          <w:u w:val="none"/>
        </w:rPr>
        <w:t>年</w:t>
      </w:r>
      <w:r>
        <w:rPr>
          <w:color w:val="000000"/>
          <w:spacing w:val="0"/>
          <w:w w:val="100"/>
          <w:position w:val="0"/>
          <w:sz w:val="24"/>
          <w:szCs w:val="24"/>
          <w:u w:val="none"/>
        </w:rPr>
        <w:t>12</w:t>
      </w:r>
      <w:r>
        <w:rPr>
          <w:rFonts w:ascii="SimSun" w:eastAsia="SimSun" w:hAnsi="SimSun" w:cs="SimSun"/>
          <w:color w:val="000000"/>
          <w:spacing w:val="0"/>
          <w:w w:val="100"/>
          <w:position w:val="0"/>
          <w:sz w:val="22"/>
          <w:szCs w:val="22"/>
          <w:u w:val="none"/>
        </w:rPr>
        <w:t>月</w:t>
      </w:r>
      <w:r>
        <w:rPr>
          <w:color w:val="000000"/>
          <w:spacing w:val="0"/>
          <w:w w:val="100"/>
          <w:position w:val="0"/>
          <w:sz w:val="24"/>
          <w:szCs w:val="24"/>
          <w:u w:val="none"/>
        </w:rPr>
        <w:t>31</w:t>
      </w:r>
      <w:r>
        <w:rPr>
          <w:rFonts w:ascii="SimSun" w:eastAsia="SimSun" w:hAnsi="SimSun" w:cs="SimSun"/>
          <w:color w:val="000000"/>
          <w:spacing w:val="0"/>
          <w:w w:val="100"/>
          <w:position w:val="0"/>
          <w:sz w:val="22"/>
          <w:szCs w:val="22"/>
          <w:u w:val="none"/>
        </w:rPr>
        <w:t>日，人民币短期借款年利率为</w:t>
      </w:r>
      <w:r>
        <w:rPr>
          <w:color w:val="000000"/>
          <w:spacing w:val="0"/>
          <w:w w:val="100"/>
          <w:position w:val="0"/>
          <w:sz w:val="24"/>
          <w:szCs w:val="24"/>
          <w:u w:val="none"/>
        </w:rPr>
        <w:t>1.80% ~ 1.85%（2020</w:t>
      </w:r>
      <w:r>
        <w:rPr>
          <w:rFonts w:ascii="SimSun" w:eastAsia="SimSun" w:hAnsi="SimSun" w:cs="SimSun"/>
          <w:color w:val="000000"/>
          <w:spacing w:val="0"/>
          <w:w w:val="100"/>
          <w:position w:val="0"/>
          <w:sz w:val="22"/>
          <w:szCs w:val="22"/>
          <w:u w:val="none"/>
        </w:rPr>
        <w:t>年</w:t>
      </w:r>
      <w:r>
        <w:rPr>
          <w:color w:val="000000"/>
          <w:spacing w:val="0"/>
          <w:w w:val="100"/>
          <w:position w:val="0"/>
          <w:sz w:val="24"/>
          <w:szCs w:val="24"/>
          <w:u w:val="none"/>
        </w:rPr>
        <w:t>12</w:t>
      </w:r>
      <w:r>
        <w:rPr>
          <w:rFonts w:ascii="SimSun" w:eastAsia="SimSun" w:hAnsi="SimSun" w:cs="SimSun"/>
          <w:color w:val="000000"/>
          <w:spacing w:val="0"/>
          <w:w w:val="100"/>
          <w:position w:val="0"/>
          <w:sz w:val="22"/>
          <w:szCs w:val="22"/>
          <w:u w:val="none"/>
        </w:rPr>
        <w:t>月</w:t>
      </w:r>
      <w:r>
        <w:rPr>
          <w:color w:val="000000"/>
          <w:spacing w:val="0"/>
          <w:w w:val="100"/>
          <w:position w:val="0"/>
          <w:sz w:val="24"/>
          <w:szCs w:val="24"/>
          <w:u w:val="none"/>
        </w:rPr>
        <w:t>31</w:t>
      </w:r>
      <w:r>
        <w:rPr>
          <w:rFonts w:ascii="SimSun" w:eastAsia="SimSun" w:hAnsi="SimSun" w:cs="SimSun"/>
          <w:color w:val="000000"/>
          <w:spacing w:val="0"/>
          <w:w w:val="100"/>
          <w:position w:val="0"/>
          <w:sz w:val="22"/>
          <w:szCs w:val="22"/>
          <w:u w:val="none"/>
        </w:rPr>
        <w:t xml:space="preserve">日： </w:t>
      </w:r>
      <w:r>
        <w:rPr>
          <w:color w:val="000000"/>
          <w:spacing w:val="0"/>
          <w:w w:val="100"/>
          <w:position w:val="0"/>
          <w:sz w:val="24"/>
          <w:szCs w:val="24"/>
          <w:u w:val="none"/>
        </w:rPr>
        <w:t>1.85%）</w:t>
      </w:r>
      <w:r>
        <w:rPr>
          <w:rFonts w:ascii="SimSun" w:eastAsia="SimSun" w:hAnsi="SimSun" w:cs="SimSun"/>
          <w:color w:val="000000"/>
          <w:spacing w:val="0"/>
          <w:w w:val="100"/>
          <w:position w:val="0"/>
          <w:sz w:val="22"/>
          <w:szCs w:val="22"/>
          <w:u w:val="none"/>
        </w:rPr>
        <w:t>。</w:t>
      </w:r>
    </w:p>
    <w:p>
      <w:pPr>
        <w:pStyle w:val="Style97"/>
        <w:keepNext/>
        <w:keepLines/>
        <w:widowControl w:val="0"/>
        <w:shd w:val="clear" w:color="auto" w:fill="auto"/>
        <w:bidi w:val="0"/>
        <w:spacing w:before="0" w:after="300" w:line="240" w:lineRule="auto"/>
        <w:ind w:left="0" w:right="0" w:firstLine="720"/>
        <w:jc w:val="both"/>
      </w:pPr>
      <w:bookmarkStart w:id="1162" w:name="bookmark1162"/>
      <w:bookmarkStart w:id="1163" w:name="bookmark1163"/>
      <w:bookmarkStart w:id="1164" w:name="bookmark1164"/>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日，本集团无银行保证借款。</w:t>
      </w:r>
      <w:bookmarkEnd w:id="1162"/>
      <w:bookmarkEnd w:id="1163"/>
      <w:bookmarkEnd w:id="1164"/>
    </w:p>
    <w:p>
      <w:pPr>
        <w:pStyle w:val="Style97"/>
        <w:keepNext/>
        <w:keepLines/>
        <w:widowControl w:val="0"/>
        <w:shd w:val="clear" w:color="auto" w:fill="auto"/>
        <w:bidi w:val="0"/>
        <w:spacing w:before="0" w:after="300" w:line="240" w:lineRule="auto"/>
        <w:ind w:left="0" w:right="0" w:firstLine="720"/>
        <w:jc w:val="both"/>
      </w:pPr>
      <w:bookmarkStart w:id="1165" w:name="bookmark1165"/>
      <w:bookmarkStart w:id="1166" w:name="bookmark1166"/>
      <w:bookmarkStart w:id="1167" w:name="bookmark1167"/>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日，本集团无已到期但尚未偿还的短期借款。</w:t>
      </w:r>
      <w:bookmarkEnd w:id="1165"/>
      <w:bookmarkEnd w:id="1166"/>
      <w:bookmarkEnd w:id="1167"/>
    </w:p>
    <w:p>
      <w:pPr>
        <w:pStyle w:val="Style97"/>
        <w:keepNext/>
        <w:keepLines/>
        <w:widowControl w:val="0"/>
        <w:shd w:val="clear" w:color="auto" w:fill="auto"/>
        <w:tabs>
          <w:tab w:pos="695" w:val="left"/>
        </w:tabs>
        <w:bidi w:val="0"/>
        <w:spacing w:before="0" w:after="30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sz w:val="24"/>
          <w:szCs w:val="24"/>
          <w:shd w:val="clear" w:color="auto" w:fill="FFFFFF"/>
        </w:rPr>
        <w:t>1</w:t>
      </w:r>
      <w:bookmarkEnd w:id="1170"/>
      <w:r>
        <w:rPr>
          <w:rFonts w:ascii="Times New Roman" w:eastAsia="Times New Roman" w:hAnsi="Times New Roman" w:cs="Times New Roman"/>
          <w:color w:val="000000"/>
          <w:spacing w:val="0"/>
          <w:w w:val="100"/>
          <w:position w:val="0"/>
          <w:sz w:val="24"/>
          <w:szCs w:val="24"/>
          <w:shd w:val="clear" w:color="auto" w:fill="FFFFFF"/>
        </w:rPr>
        <w:t>8</w:t>
      </w:r>
      <w:r>
        <w:rPr>
          <w:color w:val="000000"/>
          <w:spacing w:val="0"/>
          <w:w w:val="100"/>
          <w:position w:val="0"/>
          <w:shd w:val="clear" w:color="auto" w:fill="FFFFFF"/>
        </w:rPr>
        <w:t>、</w:t>
      </w:r>
      <w:r>
        <w:rPr>
          <w:color w:val="000000"/>
          <w:spacing w:val="0"/>
          <w:w w:val="100"/>
          <w:position w:val="0"/>
        </w:rPr>
        <w:tab/>
        <w:t>应付票据</w:t>
      </w:r>
      <w:bookmarkEnd w:id="1168"/>
      <w:bookmarkEnd w:id="1169"/>
      <w:bookmarkEnd w:id="1171"/>
    </w:p>
    <w:p>
      <w:pPr>
        <w:pStyle w:val="Style89"/>
        <w:keepNext w:val="0"/>
        <w:keepLines w:val="0"/>
        <w:widowControl w:val="0"/>
        <w:shd w:val="clear" w:color="auto" w:fill="auto"/>
        <w:tabs>
          <w:tab w:pos="8752" w:val="left"/>
        </w:tabs>
        <w:bidi w:val="0"/>
        <w:spacing w:before="0" w:after="0" w:line="240" w:lineRule="auto"/>
        <w:ind w:left="6960" w:right="0" w:firstLine="0"/>
        <w:jc w:val="left"/>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tab/>
      </w: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tabs>
          <w:tab w:pos="8752" w:val="left"/>
        </w:tabs>
        <w:bidi w:val="0"/>
        <w:spacing w:before="0" w:after="300" w:line="240" w:lineRule="auto"/>
        <w:ind w:left="6780" w:right="0" w:firstLine="0"/>
        <w:jc w:val="left"/>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tab/>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89"/>
        <w:keepNext w:val="0"/>
        <w:keepLines w:val="0"/>
        <w:widowControl w:val="0"/>
        <w:shd w:val="clear" w:color="auto" w:fill="auto"/>
        <w:tabs>
          <w:tab w:pos="7480" w:val="center"/>
          <w:tab w:pos="9347" w:val="center"/>
        </w:tabs>
        <w:bidi w:val="0"/>
        <w:spacing w:before="0" w:after="0" w:line="240" w:lineRule="auto"/>
        <w:ind w:left="0" w:right="0" w:firstLine="720"/>
        <w:jc w:val="left"/>
      </w:pPr>
      <w:r>
        <w:rPr>
          <w:rFonts w:ascii="SimSun" w:eastAsia="SimSun" w:hAnsi="SimSun" w:cs="SimSun"/>
          <w:color w:val="000000"/>
          <w:spacing w:val="0"/>
          <w:w w:val="100"/>
          <w:position w:val="0"/>
          <w:sz w:val="22"/>
          <w:szCs w:val="22"/>
          <w:u w:val="none"/>
        </w:rPr>
        <w:t>商业承兑汇票</w:t>
        <w:tab/>
      </w:r>
      <w:r>
        <w:rPr>
          <w:color w:val="000000"/>
          <w:spacing w:val="0"/>
          <w:w w:val="100"/>
          <w:position w:val="0"/>
          <w:sz w:val="24"/>
          <w:szCs w:val="24"/>
          <w:u w:val="none"/>
        </w:rPr>
        <w:t>4,052,118,000</w:t>
        <w:tab/>
        <w:t>3,245,809,599</w:t>
      </w:r>
    </w:p>
    <w:p>
      <w:pPr>
        <w:pStyle w:val="Style89"/>
        <w:keepNext w:val="0"/>
        <w:keepLines w:val="0"/>
        <w:widowControl w:val="0"/>
        <w:shd w:val="clear" w:color="auto" w:fill="auto"/>
        <w:tabs>
          <w:tab w:pos="7480" w:val="center"/>
          <w:tab w:pos="9347" w:val="center"/>
        </w:tabs>
        <w:bidi w:val="0"/>
        <w:spacing w:before="0" w:after="0" w:line="240" w:lineRule="auto"/>
        <w:ind w:left="0" w:right="0" w:firstLine="720"/>
        <w:jc w:val="left"/>
      </w:pPr>
      <w:r>
        <w:rPr>
          <w:rFonts w:ascii="SimSun" w:eastAsia="SimSun" w:hAnsi="SimSun" w:cs="SimSun"/>
          <w:color w:val="000000"/>
          <w:spacing w:val="0"/>
          <w:w w:val="100"/>
          <w:position w:val="0"/>
          <w:sz w:val="22"/>
          <w:szCs w:val="22"/>
          <w:u w:val="none"/>
        </w:rPr>
        <w:t>银行承兑汇票</w:t>
        <w:tab/>
      </w:r>
      <w:r>
        <w:rPr>
          <w:color w:val="000000"/>
          <w:spacing w:val="0"/>
          <w:w w:val="100"/>
          <w:position w:val="0"/>
          <w:sz w:val="24"/>
          <w:szCs w:val="24"/>
        </w:rPr>
        <w:t>2,271,137,124</w:t>
        <w:tab/>
        <w:t>2,235,982,563</w:t>
      </w:r>
    </w:p>
    <w:p>
      <w:pPr>
        <w:pStyle w:val="Style89"/>
        <w:keepNext w:val="0"/>
        <w:keepLines w:val="0"/>
        <w:widowControl w:val="0"/>
        <w:shd w:val="clear" w:color="auto" w:fill="auto"/>
        <w:tabs>
          <w:tab w:pos="7480" w:val="center"/>
          <w:tab w:pos="9347" w:val="center"/>
        </w:tabs>
        <w:bidi w:val="0"/>
        <w:spacing w:before="0" w:after="300" w:line="240" w:lineRule="auto"/>
        <w:ind w:left="0" w:right="0" w:firstLine="720"/>
        <w:jc w:val="left"/>
      </w:pPr>
      <w:r>
        <w:rPr>
          <w:rFonts w:ascii="SimSun" w:eastAsia="SimSun" w:hAnsi="SimSun" w:cs="SimSun"/>
          <w:color w:val="000000"/>
          <w:spacing w:val="0"/>
          <w:w w:val="100"/>
          <w:position w:val="0"/>
          <w:sz w:val="22"/>
          <w:szCs w:val="22"/>
          <w:u w:val="none"/>
        </w:rPr>
        <w:t>合计</w:t>
        <w:tab/>
      </w:r>
      <w:r>
        <w:rPr>
          <w:color w:val="000000"/>
          <w:spacing w:val="0"/>
          <w:w w:val="100"/>
          <w:position w:val="0"/>
          <w:sz w:val="24"/>
          <w:szCs w:val="24"/>
        </w:rPr>
        <w:t>6,323,255</w:t>
      </w:r>
      <w:r>
        <w:rPr>
          <w:rFonts w:ascii="SimSun" w:eastAsia="SimSun" w:hAnsi="SimSun" w:cs="SimSun"/>
          <w:color w:val="000000"/>
          <w:spacing w:val="0"/>
          <w:w w:val="100"/>
          <w:position w:val="0"/>
          <w:sz w:val="22"/>
          <w:szCs w:val="22"/>
        </w:rPr>
        <w:t>可</w:t>
        <w:tab/>
      </w:r>
      <w:r>
        <w:rPr>
          <w:color w:val="000000"/>
          <w:spacing w:val="0"/>
          <w:w w:val="100"/>
          <w:position w:val="0"/>
          <w:sz w:val="24"/>
          <w:szCs w:val="24"/>
        </w:rPr>
        <w:t>5,481,792,162</w:t>
      </w:r>
    </w:p>
    <w:p>
      <w:pPr>
        <w:pStyle w:val="Style97"/>
        <w:keepNext/>
        <w:keepLines/>
        <w:widowControl w:val="0"/>
        <w:shd w:val="clear" w:color="auto" w:fill="auto"/>
        <w:bidi w:val="0"/>
        <w:spacing w:before="0" w:after="300" w:line="240" w:lineRule="auto"/>
        <w:ind w:left="0" w:right="0" w:firstLine="720"/>
        <w:jc w:val="left"/>
      </w:pPr>
      <w:bookmarkStart w:id="1172" w:name="bookmark1172"/>
      <w:bookmarkStart w:id="1173" w:name="bookmark1173"/>
      <w:bookmarkStart w:id="1174" w:name="bookmark1174"/>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日，本集团应付票据均在一年内到期，不存在已到期未支付票据。</w:t>
      </w:r>
      <w:bookmarkEnd w:id="1172"/>
      <w:bookmarkEnd w:id="1173"/>
      <w:bookmarkEnd w:id="1174"/>
    </w:p>
    <w:p>
      <w:pPr>
        <w:pStyle w:val="Style97"/>
        <w:keepNext/>
        <w:keepLines/>
        <w:widowControl w:val="0"/>
        <w:shd w:val="clear" w:color="auto" w:fill="auto"/>
        <w:tabs>
          <w:tab w:pos="695" w:val="left"/>
        </w:tabs>
        <w:bidi w:val="0"/>
        <w:spacing w:before="0" w:after="30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sz w:val="24"/>
          <w:szCs w:val="24"/>
          <w:shd w:val="clear" w:color="auto" w:fill="FFFFFF"/>
        </w:rPr>
        <w:t>1</w:t>
      </w:r>
      <w:bookmarkEnd w:id="1177"/>
      <w:r>
        <w:rPr>
          <w:rFonts w:ascii="Times New Roman" w:eastAsia="Times New Roman" w:hAnsi="Times New Roman" w:cs="Times New Roman"/>
          <w:color w:val="000000"/>
          <w:spacing w:val="0"/>
          <w:w w:val="100"/>
          <w:position w:val="0"/>
          <w:sz w:val="24"/>
          <w:szCs w:val="24"/>
          <w:shd w:val="clear" w:color="auto" w:fill="FFFFFF"/>
        </w:rPr>
        <w:t>9</w:t>
      </w:r>
      <w:r>
        <w:rPr>
          <w:color w:val="000000"/>
          <w:spacing w:val="0"/>
          <w:w w:val="100"/>
          <w:position w:val="0"/>
          <w:shd w:val="clear" w:color="auto" w:fill="FFFFFF"/>
        </w:rPr>
        <w:t>、</w:t>
      </w:r>
      <w:r>
        <w:rPr>
          <w:color w:val="000000"/>
          <w:spacing w:val="0"/>
          <w:w w:val="100"/>
          <w:position w:val="0"/>
        </w:rPr>
        <w:tab/>
        <w:t>应付账款</w:t>
      </w:r>
      <w:bookmarkEnd w:id="1175"/>
      <w:bookmarkEnd w:id="1176"/>
      <w:bookmarkEnd w:id="1178"/>
    </w:p>
    <w:p>
      <w:pPr>
        <w:pStyle w:val="Style89"/>
        <w:keepNext w:val="0"/>
        <w:keepLines w:val="0"/>
        <w:widowControl w:val="0"/>
        <w:shd w:val="clear" w:color="auto" w:fill="auto"/>
        <w:tabs>
          <w:tab w:pos="8752" w:val="left"/>
        </w:tabs>
        <w:bidi w:val="0"/>
        <w:spacing w:before="0" w:after="0" w:line="240" w:lineRule="auto"/>
        <w:ind w:left="6960" w:right="0" w:firstLine="0"/>
        <w:jc w:val="left"/>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tab/>
      </w: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tabs>
          <w:tab w:pos="8752" w:val="left"/>
        </w:tabs>
        <w:bidi w:val="0"/>
        <w:spacing w:before="0" w:after="300" w:line="240" w:lineRule="auto"/>
        <w:ind w:left="6780" w:right="0" w:firstLine="0"/>
        <w:jc w:val="left"/>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tab/>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bl>
      <w:tblPr>
        <w:tblOverlap w:val="never"/>
        <w:jc w:val="right"/>
        <w:tblLayout w:type="fixed"/>
      </w:tblPr>
      <w:tblGrid>
        <w:gridCol w:w="5251"/>
        <w:gridCol w:w="2362"/>
        <w:gridCol w:w="1790"/>
      </w:tblGrid>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应付工程及设备款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77,920,282,885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74,314,326,145</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应付网间结算及短期租赁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低价值资产租赁费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12,753,922,657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11,326,288,700</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应付采购通信终端款等</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4,453,112,920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3,779,266,298</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应付代理费及广告费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4,530,549,980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5,358,199,310</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应付维修及维护费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6,600,673,225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5,290,435,888</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应付技术服务费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5,857,445,721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4,864,244,298</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应付水电取暖费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8,875,496,707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7,856,630,785</w:t>
            </w:r>
          </w:p>
        </w:tc>
      </w:tr>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2,448,945,863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2,093,162,793</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123,440,429,958</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114,882,554,217</w:t>
            </w:r>
          </w:p>
        </w:tc>
      </w:tr>
    </w:tbl>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5" w:val="left"/>
        </w:tabs>
        <w:bidi w:val="0"/>
        <w:spacing w:before="0" w:after="280" w:line="322" w:lineRule="exact"/>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5" w:val="left"/>
        </w:tabs>
        <w:bidi w:val="0"/>
        <w:spacing w:before="0" w:after="220" w:line="276" w:lineRule="auto"/>
        <w:ind w:left="0" w:right="0" w:firstLine="0"/>
        <w:jc w:val="both"/>
        <w:rPr>
          <w:sz w:val="22"/>
          <w:szCs w:val="22"/>
        </w:rPr>
      </w:pPr>
      <w:bookmarkStart w:id="1179" w:name="bookmark1179"/>
      <w:r>
        <w:rPr>
          <w:rFonts w:ascii="Times New Roman" w:eastAsia="Times New Roman" w:hAnsi="Times New Roman" w:cs="Times New Roman"/>
          <w:color w:val="000000"/>
          <w:spacing w:val="0"/>
          <w:w w:val="100"/>
          <w:position w:val="0"/>
          <w:sz w:val="24"/>
          <w:szCs w:val="24"/>
        </w:rPr>
        <w:t>1</w:t>
      </w:r>
      <w:bookmarkEnd w:id="1179"/>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应付账款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89"/>
        <w:keepNext w:val="0"/>
        <w:keepLines w:val="0"/>
        <w:widowControl w:val="0"/>
        <w:shd w:val="clear" w:color="auto" w:fill="auto"/>
        <w:bidi w:val="0"/>
        <w:spacing w:before="0" w:after="0" w:line="326" w:lineRule="exact"/>
        <w:ind w:left="720" w:right="0" w:firstLine="20"/>
        <w:jc w:val="both"/>
      </w:pPr>
      <w:r>
        <w:rPr>
          <w:rFonts w:ascii="SimSun" w:eastAsia="SimSun" w:hAnsi="SimSun" w:cs="SimSun"/>
          <w:color w:val="000000"/>
          <w:spacing w:val="0"/>
          <w:w w:val="100"/>
          <w:position w:val="0"/>
          <w:sz w:val="22"/>
          <w:szCs w:val="22"/>
          <w:u w:val="none"/>
        </w:rPr>
        <w:t>于</w:t>
      </w:r>
      <w:r>
        <w:rPr>
          <w:color w:val="000000"/>
          <w:spacing w:val="0"/>
          <w:w w:val="100"/>
          <w:position w:val="0"/>
          <w:sz w:val="24"/>
          <w:szCs w:val="24"/>
          <w:u w:val="none"/>
        </w:rPr>
        <w:t>2021</w:t>
      </w:r>
      <w:r>
        <w:rPr>
          <w:rFonts w:ascii="SimSun" w:eastAsia="SimSun" w:hAnsi="SimSun" w:cs="SimSun"/>
          <w:color w:val="000000"/>
          <w:spacing w:val="0"/>
          <w:w w:val="100"/>
          <w:position w:val="0"/>
          <w:sz w:val="22"/>
          <w:szCs w:val="22"/>
          <w:u w:val="none"/>
        </w:rPr>
        <w:t>年</w:t>
      </w:r>
      <w:r>
        <w:rPr>
          <w:color w:val="000000"/>
          <w:spacing w:val="0"/>
          <w:w w:val="100"/>
          <w:position w:val="0"/>
          <w:sz w:val="24"/>
          <w:szCs w:val="24"/>
          <w:u w:val="none"/>
        </w:rPr>
        <w:t>12</w:t>
      </w:r>
      <w:r>
        <w:rPr>
          <w:rFonts w:ascii="SimSun" w:eastAsia="SimSun" w:hAnsi="SimSun" w:cs="SimSun"/>
          <w:color w:val="000000"/>
          <w:spacing w:val="0"/>
          <w:w w:val="100"/>
          <w:position w:val="0"/>
          <w:sz w:val="22"/>
          <w:szCs w:val="22"/>
          <w:u w:val="none"/>
        </w:rPr>
        <w:t>月</w:t>
      </w:r>
      <w:r>
        <w:rPr>
          <w:color w:val="000000"/>
          <w:spacing w:val="0"/>
          <w:w w:val="100"/>
          <w:position w:val="0"/>
          <w:sz w:val="24"/>
          <w:szCs w:val="24"/>
          <w:u w:val="none"/>
        </w:rPr>
        <w:t>31</w:t>
      </w:r>
      <w:r>
        <w:rPr>
          <w:rFonts w:ascii="SimSun" w:eastAsia="SimSun" w:hAnsi="SimSun" w:cs="SimSun"/>
          <w:color w:val="000000"/>
          <w:spacing w:val="0"/>
          <w:w w:val="100"/>
          <w:position w:val="0"/>
          <w:sz w:val="22"/>
          <w:szCs w:val="22"/>
          <w:u w:val="none"/>
        </w:rPr>
        <w:t>日，账龄超过</w:t>
      </w:r>
      <w:r>
        <w:rPr>
          <w:color w:val="000000"/>
          <w:spacing w:val="0"/>
          <w:w w:val="100"/>
          <w:position w:val="0"/>
          <w:sz w:val="24"/>
          <w:szCs w:val="24"/>
          <w:u w:val="none"/>
        </w:rPr>
        <w:t>1</w:t>
      </w:r>
      <w:r>
        <w:rPr>
          <w:rFonts w:ascii="SimSun" w:eastAsia="SimSun" w:hAnsi="SimSun" w:cs="SimSun"/>
          <w:color w:val="000000"/>
          <w:spacing w:val="0"/>
          <w:w w:val="100"/>
          <w:position w:val="0"/>
          <w:sz w:val="22"/>
          <w:szCs w:val="22"/>
          <w:u w:val="none"/>
        </w:rPr>
        <w:t>年的应付账款约人民币</w:t>
      </w:r>
      <w:r>
        <w:rPr>
          <w:color w:val="000000"/>
          <w:spacing w:val="0"/>
          <w:w w:val="100"/>
          <w:position w:val="0"/>
          <w:sz w:val="24"/>
          <w:szCs w:val="24"/>
          <w:u w:val="none"/>
        </w:rPr>
        <w:t>113.96</w:t>
      </w:r>
      <w:r>
        <w:rPr>
          <w:rFonts w:ascii="SimSun" w:eastAsia="SimSun" w:hAnsi="SimSun" w:cs="SimSun"/>
          <w:color w:val="000000"/>
          <w:spacing w:val="0"/>
          <w:w w:val="100"/>
          <w:position w:val="0"/>
          <w:sz w:val="22"/>
          <w:szCs w:val="22"/>
          <w:u w:val="none"/>
        </w:rPr>
        <w:t>亿元</w:t>
      </w:r>
      <w:r>
        <w:rPr>
          <w:color w:val="000000"/>
          <w:spacing w:val="0"/>
          <w:w w:val="100"/>
          <w:position w:val="0"/>
          <w:sz w:val="24"/>
          <w:szCs w:val="24"/>
          <w:u w:val="none"/>
        </w:rPr>
        <w:t>（2020</w:t>
      </w:r>
      <w:r>
        <w:rPr>
          <w:rFonts w:ascii="SimSun" w:eastAsia="SimSun" w:hAnsi="SimSun" w:cs="SimSun"/>
          <w:color w:val="000000"/>
          <w:spacing w:val="0"/>
          <w:w w:val="100"/>
          <w:position w:val="0"/>
          <w:sz w:val="22"/>
          <w:szCs w:val="22"/>
          <w:u w:val="none"/>
        </w:rPr>
        <w:t>年</w:t>
      </w:r>
      <w:r>
        <w:rPr>
          <w:color w:val="000000"/>
          <w:spacing w:val="0"/>
          <w:w w:val="100"/>
          <w:position w:val="0"/>
          <w:sz w:val="24"/>
          <w:szCs w:val="24"/>
          <w:u w:val="none"/>
        </w:rPr>
        <w:t>12</w:t>
      </w:r>
      <w:r>
        <w:rPr>
          <w:rFonts w:ascii="SimSun" w:eastAsia="SimSun" w:hAnsi="SimSun" w:cs="SimSun"/>
          <w:color w:val="000000"/>
          <w:spacing w:val="0"/>
          <w:w w:val="100"/>
          <w:position w:val="0"/>
          <w:sz w:val="22"/>
          <w:szCs w:val="22"/>
          <w:u w:val="none"/>
        </w:rPr>
        <w:t>月</w:t>
      </w:r>
      <w:r>
        <w:rPr>
          <w:color w:val="000000"/>
          <w:spacing w:val="0"/>
          <w:w w:val="100"/>
          <w:position w:val="0"/>
          <w:sz w:val="24"/>
          <w:szCs w:val="24"/>
          <w:u w:val="none"/>
        </w:rPr>
        <w:t>31</w:t>
      </w:r>
    </w:p>
    <w:p>
      <w:pPr>
        <w:pStyle w:val="Style5"/>
        <w:keepNext w:val="0"/>
        <w:keepLines w:val="0"/>
        <w:widowControl w:val="0"/>
        <w:shd w:val="clear" w:color="auto" w:fill="auto"/>
        <w:bidi w:val="0"/>
        <w:spacing w:before="0" w:after="280" w:line="326" w:lineRule="exact"/>
        <w:ind w:left="720" w:right="0" w:firstLine="20"/>
        <w:jc w:val="both"/>
        <w:rPr>
          <w:sz w:val="22"/>
          <w:szCs w:val="22"/>
        </w:rPr>
      </w:pP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90.78</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，主要为应付工程及设备款，包括账龄超过一年尚未支付的工程 或设备质保金等，鉴于债权债务双方仍继续发生业务往来，该款项尚未结清。</w:t>
      </w:r>
    </w:p>
    <w:p>
      <w:pPr>
        <w:pStyle w:val="Style5"/>
        <w:keepNext w:val="0"/>
        <w:keepLines w:val="0"/>
        <w:widowControl w:val="0"/>
        <w:shd w:val="clear" w:color="auto" w:fill="auto"/>
        <w:tabs>
          <w:tab w:pos="695" w:val="left"/>
        </w:tabs>
        <w:bidi w:val="0"/>
        <w:spacing w:before="0" w:after="220" w:line="276" w:lineRule="auto"/>
        <w:ind w:left="0" w:right="0" w:firstLine="0"/>
        <w:jc w:val="left"/>
        <w:rPr>
          <w:sz w:val="22"/>
          <w:szCs w:val="22"/>
        </w:rPr>
      </w:pPr>
      <w:bookmarkStart w:id="1180" w:name="bookmark1180"/>
      <w:r>
        <w:rPr>
          <w:rFonts w:ascii="Times New Roman" w:eastAsia="Times New Roman" w:hAnsi="Times New Roman" w:cs="Times New Roman"/>
          <w:color w:val="000000"/>
          <w:spacing w:val="0"/>
          <w:w w:val="100"/>
          <w:position w:val="0"/>
          <w:sz w:val="24"/>
          <w:szCs w:val="24"/>
        </w:rPr>
        <w:t>2</w:t>
      </w:r>
      <w:bookmarkEnd w:id="1180"/>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w:t>
        <w:tab/>
        <w:t>合同负债</w:t>
      </w:r>
    </w:p>
    <w:p>
      <w:pPr>
        <w:pStyle w:val="Style89"/>
        <w:keepNext w:val="0"/>
        <w:keepLines w:val="0"/>
        <w:widowControl w:val="0"/>
        <w:shd w:val="clear" w:color="auto" w:fill="auto"/>
        <w:tabs>
          <w:tab w:pos="1795" w:val="left"/>
        </w:tabs>
        <w:bidi w:val="0"/>
        <w:spacing w:before="0" w:after="0" w:line="326" w:lineRule="exact"/>
        <w:ind w:left="0" w:right="300" w:firstLine="0"/>
        <w:jc w:val="right"/>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tab/>
      </w: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tabs>
          <w:tab w:pos="1795" w:val="left"/>
        </w:tabs>
        <w:bidi w:val="0"/>
        <w:spacing w:before="0" w:after="280" w:line="326" w:lineRule="exact"/>
        <w:ind w:left="0" w:right="300" w:firstLine="0"/>
        <w:jc w:val="right"/>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tab/>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89"/>
        <w:keepNext w:val="0"/>
        <w:keepLines w:val="0"/>
        <w:widowControl w:val="0"/>
        <w:shd w:val="clear" w:color="auto" w:fill="auto"/>
        <w:tabs>
          <w:tab w:pos="8325" w:val="right"/>
          <w:tab w:pos="10035" w:val="right"/>
        </w:tabs>
        <w:bidi w:val="0"/>
        <w:spacing w:before="0" w:after="0" w:line="240" w:lineRule="auto"/>
        <w:ind w:left="0" w:right="0" w:firstLine="720"/>
        <w:jc w:val="both"/>
      </w:pPr>
      <w:r>
        <w:rPr>
          <w:rFonts w:ascii="SimSun" w:eastAsia="SimSun" w:hAnsi="SimSun" w:cs="SimSun"/>
          <w:color w:val="000000"/>
          <w:spacing w:val="0"/>
          <w:w w:val="100"/>
          <w:position w:val="0"/>
          <w:sz w:val="22"/>
          <w:szCs w:val="22"/>
          <w:u w:val="none"/>
        </w:rPr>
        <w:t>预收用户服务费</w:t>
        <w:tab/>
      </w:r>
      <w:r>
        <w:rPr>
          <w:color w:val="000000"/>
          <w:spacing w:val="0"/>
          <w:w w:val="100"/>
          <w:position w:val="0"/>
          <w:sz w:val="24"/>
          <w:szCs w:val="24"/>
          <w:u w:val="none"/>
        </w:rPr>
        <w:t>40,946,939,402</w:t>
        <w:tab/>
        <w:t>39,812,595,573</w:t>
      </w:r>
    </w:p>
    <w:p>
      <w:pPr>
        <w:pStyle w:val="Style89"/>
        <w:keepNext w:val="0"/>
        <w:keepLines w:val="0"/>
        <w:widowControl w:val="0"/>
        <w:shd w:val="clear" w:color="auto" w:fill="auto"/>
        <w:tabs>
          <w:tab w:pos="8325" w:val="right"/>
          <w:tab w:pos="10035" w:val="right"/>
        </w:tabs>
        <w:bidi w:val="0"/>
        <w:spacing w:before="0" w:after="0" w:line="240" w:lineRule="auto"/>
        <w:ind w:left="0" w:right="0" w:firstLine="720"/>
        <w:jc w:val="both"/>
      </w:pPr>
      <w:r>
        <w:rPr>
          <w:rFonts w:ascii="SimSun" w:eastAsia="SimSun" w:hAnsi="SimSun" w:cs="SimSun"/>
          <w:color w:val="000000"/>
          <w:spacing w:val="0"/>
          <w:w w:val="100"/>
          <w:position w:val="0"/>
          <w:sz w:val="22"/>
          <w:szCs w:val="22"/>
          <w:u w:val="none"/>
        </w:rPr>
        <w:t>其他</w:t>
        <w:tab/>
      </w:r>
      <w:r>
        <w:rPr>
          <w:color w:val="000000"/>
          <w:spacing w:val="0"/>
          <w:w w:val="100"/>
          <w:position w:val="0"/>
          <w:sz w:val="24"/>
          <w:szCs w:val="24"/>
        </w:rPr>
        <w:t>4,768,691,014</w:t>
        <w:tab/>
        <w:t>3,144,019,407</w:t>
      </w:r>
    </w:p>
    <w:p>
      <w:pPr>
        <w:pStyle w:val="Style89"/>
        <w:keepNext w:val="0"/>
        <w:keepLines w:val="0"/>
        <w:widowControl w:val="0"/>
        <w:shd w:val="clear" w:color="auto" w:fill="auto"/>
        <w:tabs>
          <w:tab w:pos="8325" w:val="right"/>
          <w:tab w:pos="10035" w:val="right"/>
        </w:tabs>
        <w:bidi w:val="0"/>
        <w:spacing w:before="0" w:after="280" w:line="326" w:lineRule="exact"/>
        <w:ind w:left="0" w:right="0" w:firstLine="720"/>
        <w:jc w:val="both"/>
        <w:rPr>
          <w:sz w:val="22"/>
          <w:szCs w:val="22"/>
        </w:rPr>
      </w:pPr>
      <w:r>
        <w:rPr>
          <w:rFonts w:ascii="SimSun" w:eastAsia="SimSun" w:hAnsi="SimSun" w:cs="SimSun"/>
          <w:color w:val="000000"/>
          <w:spacing w:val="0"/>
          <w:w w:val="100"/>
          <w:position w:val="0"/>
          <w:sz w:val="22"/>
          <w:szCs w:val="22"/>
          <w:u w:val="none"/>
        </w:rPr>
        <w:t>合计</w:t>
        <w:tab/>
      </w:r>
      <w:r>
        <w:rPr>
          <w:color w:val="000000"/>
          <w:spacing w:val="0"/>
          <w:w w:val="100"/>
          <w:position w:val="0"/>
          <w:sz w:val="24"/>
          <w:szCs w:val="24"/>
        </w:rPr>
        <w:t>45,715,630,416</w:t>
        <w:tab/>
        <w:t>42,956,614</w:t>
      </w:r>
      <w:r>
        <w:rPr>
          <w:rFonts w:ascii="SimSun" w:eastAsia="SimSun" w:hAnsi="SimSun" w:cs="SimSun"/>
          <w:color w:val="000000"/>
          <w:spacing w:val="0"/>
          <w:w w:val="100"/>
          <w:position w:val="0"/>
          <w:sz w:val="22"/>
          <w:szCs w:val="22"/>
        </w:rPr>
        <w:t>，而</w:t>
      </w:r>
    </w:p>
    <w:p>
      <w:pPr>
        <w:pStyle w:val="Style5"/>
        <w:keepNext w:val="0"/>
        <w:keepLines w:val="0"/>
        <w:widowControl w:val="0"/>
        <w:shd w:val="clear" w:color="auto" w:fill="auto"/>
        <w:bidi w:val="0"/>
        <w:spacing w:before="0" w:after="280" w:line="317" w:lineRule="exact"/>
        <w:ind w:left="720" w:right="0" w:firstLine="20"/>
        <w:jc w:val="both"/>
        <w:rPr>
          <w:sz w:val="22"/>
          <w:szCs w:val="22"/>
        </w:rPr>
      </w:pPr>
      <w:r>
        <w:rPr>
          <w:color w:val="000000"/>
          <w:spacing w:val="0"/>
          <w:w w:val="100"/>
          <w:position w:val="0"/>
          <w:sz w:val="22"/>
          <w:szCs w:val="22"/>
        </w:rPr>
        <w:t>合同负债主要为本集团在履行履约义务前向用户收取的预收款。该合同的相关收入将在本 集团提供服务时确认。</w:t>
      </w:r>
    </w:p>
    <w:p>
      <w:pPr>
        <w:pStyle w:val="Style5"/>
        <w:keepNext w:val="0"/>
        <w:keepLines w:val="0"/>
        <w:widowControl w:val="0"/>
        <w:shd w:val="clear" w:color="auto" w:fill="auto"/>
        <w:tabs>
          <w:tab w:pos="695" w:val="left"/>
        </w:tabs>
        <w:bidi w:val="0"/>
        <w:spacing w:before="0" w:after="280" w:line="276" w:lineRule="auto"/>
        <w:ind w:left="0" w:right="0" w:firstLine="0"/>
        <w:jc w:val="both"/>
        <w:rPr>
          <w:sz w:val="22"/>
          <w:szCs w:val="22"/>
        </w:rPr>
      </w:pPr>
      <w:bookmarkStart w:id="1181" w:name="bookmark1181"/>
      <w:r>
        <w:rPr>
          <w:rFonts w:ascii="Times New Roman" w:eastAsia="Times New Roman" w:hAnsi="Times New Roman" w:cs="Times New Roman"/>
          <w:color w:val="000000"/>
          <w:spacing w:val="0"/>
          <w:w w:val="100"/>
          <w:position w:val="0"/>
          <w:sz w:val="24"/>
          <w:szCs w:val="24"/>
        </w:rPr>
        <w:t>2</w:t>
      </w:r>
      <w:bookmarkEnd w:id="118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应付职工薪酬</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应付职工薪酬列示</w:t>
      </w:r>
    </w:p>
    <w:tbl>
      <w:tblPr>
        <w:tblOverlap w:val="never"/>
        <w:jc w:val="right"/>
        <w:tblLayout w:type="fixed"/>
      </w:tblPr>
      <w:tblGrid>
        <w:gridCol w:w="2736"/>
        <w:gridCol w:w="1733"/>
        <w:gridCol w:w="1690"/>
        <w:gridCol w:w="1699"/>
        <w:gridCol w:w="1550"/>
      </w:tblGrid>
      <w:tr>
        <w:trPr>
          <w:trHeight w:val="66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u w:val="single"/>
              </w:rPr>
              <w:t>本年增加</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u w:val="single"/>
              </w:rPr>
              <w:t>本年减少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w:t>
            </w: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短期薪酬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13,964,408,807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52,836,973,317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51,686,547,698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15,114,834,426</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566,073,326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7,864,072,416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7,837,338,658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592,807,084</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内退员工补偿费</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3,448,682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82,703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3,039,477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491,908</w:t>
            </w:r>
          </w:p>
        </w:tc>
      </w:tr>
      <w:tr>
        <w:trPr>
          <w:trHeight w:val="27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离退休后补充福利</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3,305,404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4,898,102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4,783,506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3,420,000</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14,537,236,219</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60,706,026,538</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59,531,709,339</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15,711,553,418</w:t>
            </w:r>
          </w:p>
        </w:tc>
      </w:tr>
    </w:tbl>
    <w:p>
      <w:pPr>
        <w:widowControl w:val="0"/>
        <w:spacing w:after="219" w:line="1" w:lineRule="exact"/>
      </w:pPr>
    </w:p>
    <w:p>
      <w:pPr>
        <w:pStyle w:val="Style5"/>
        <w:keepNext w:val="0"/>
        <w:keepLines w:val="0"/>
        <w:widowControl w:val="0"/>
        <w:shd w:val="clear" w:color="auto" w:fill="auto"/>
        <w:bidi w:val="0"/>
        <w:spacing w:before="0" w:after="280" w:line="315" w:lineRule="exact"/>
        <w:ind w:left="1460" w:right="0" w:hanging="72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：根据联通运营公司及所属一家子公司于以前年度与内退员工签署的内退协议，其将 在内退员工达到国家法定退休年龄前分期支付一定的经济补偿，该等经济补偿已于 内退协议签署期间折现后分别由联通运营公司及该子公司全额一次性计入签约期间 的费用当中。一年以上应付的部分列示于长期应付职工薪酬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w:t>
      </w:r>
    </w:p>
    <w:p>
      <w:pPr>
        <w:pStyle w:val="Style5"/>
        <w:keepNext w:val="0"/>
        <w:keepLines w:val="0"/>
        <w:widowControl w:val="0"/>
        <w:shd w:val="clear" w:color="auto" w:fill="auto"/>
        <w:bidi w:val="0"/>
        <w:spacing w:before="0" w:after="280" w:line="312" w:lineRule="exact"/>
        <w:ind w:left="1460" w:right="0" w:hanging="72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：本集团所属个别子公司向职工提供其他离退休后补充福利，主要包括补充退休金津 贝占，医药费用报销及补充医疗保险，该等离退休后补充福利被视为设定受益计划。 设定受益计划的现值以到期日与有关离退休后补充福利预计支付期相近的政府债券 的利率，按估计未来现金流出折现确定。一年以上应付的部分列示于长期应付职工 薪酬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6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tbl>
      <w:tblPr>
        <w:tblOverlap w:val="never"/>
        <w:jc w:val="center"/>
        <w:tblLayout w:type="fixed"/>
      </w:tblPr>
      <w:tblGrid>
        <w:gridCol w:w="542"/>
        <w:gridCol w:w="2755"/>
        <w:gridCol w:w="1872"/>
        <w:gridCol w:w="1709"/>
        <w:gridCol w:w="1723"/>
        <w:gridCol w:w="1546"/>
      </w:tblGrid>
      <w:tr>
        <w:trPr>
          <w:trHeight w:val="432" w:hRule="exact"/>
        </w:trPr>
        <w:tc>
          <w:tcPr>
            <w:vMerge w:val="restart"/>
            <w:tcBorders/>
            <w:shd w:val="clear" w:color="auto" w:fill="FFFFFF"/>
            <w:vAlign w:val="top"/>
          </w:tcPr>
          <w:p>
            <w:pPr>
              <w:pStyle w:val="Style22"/>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2"/>
                <w:szCs w:val="22"/>
              </w:rPr>
              <w:t>五、</w:t>
            </w:r>
          </w:p>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2"/>
                <w:szCs w:val="22"/>
              </w:rPr>
              <w:t>、</w:t>
            </w:r>
          </w:p>
        </w:tc>
        <w:tc>
          <w:tcPr>
            <w:gridSpan w:val="5"/>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c>
      </w:tr>
      <w:tr>
        <w:trPr>
          <w:trHeight w:val="590" w:hRule="exact"/>
        </w:trPr>
        <w:tc>
          <w:tcPr>
            <w:vMerge/>
            <w:tcBorders/>
            <w:shd w:val="clear" w:color="auto" w:fill="FFFFFF"/>
            <w:vAlign w:val="top"/>
          </w:tcPr>
          <w:p>
            <w:pP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应付职工薪酬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u w:val="single"/>
              </w:rPr>
              <w:t>本年增加</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u w:val="single"/>
              </w:rPr>
              <w:t>本年减少</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w:t>
            </w:r>
          </w:p>
        </w:tc>
      </w:tr>
      <w:tr>
        <w:trPr>
          <w:trHeight w:val="1397" w:hRule="exact"/>
        </w:trPr>
        <w:tc>
          <w:tcPr>
            <w:vMerge/>
            <w:tcBorders/>
            <w:shd w:val="clear" w:color="auto" w:fill="FFFFFF"/>
            <w:vAlign w:val="top"/>
          </w:tcPr>
          <w:p>
            <w:pPr/>
          </w:p>
        </w:tc>
        <w:tc>
          <w:tcPr>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短期薪酬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工资、奖金、津贴和补贴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8,840,824,592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40,972,709,119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40,123,660,800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9,689,872,911</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职工福利费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2,747,225,807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2,747,225,807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社会保险费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1,679,267,856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3,490,584,360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3,138,722,882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2,031,129,334</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其中：医疗保险费</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1,631,441,354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3,257,146,256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2,901,086,278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1,987,501,332</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工伤保险费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16,356,939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116,513,735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117,621,550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15,249,124</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生育保险费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27,078,314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92,246,573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96,701,272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22,623,615</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住房公积金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104,221,563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3,750,431,665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3,738,829,417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115,823,811</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工会经费和职工教育经费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790,334,771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1,118,996,510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1,178,215,549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731,115,732</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一次性货币住房补贴</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2,492,792,409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92,879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2,492,699,530</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其他短期薪酬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56,967,616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757,025,856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759,800,364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54,193,108</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13,964,408,807</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52,836,973,317</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51,686,547,698</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15,114,834,426</w:t>
            </w:r>
          </w:p>
        </w:tc>
      </w:tr>
    </w:tbl>
    <w:p>
      <w:pPr>
        <w:widowControl w:val="0"/>
        <w:spacing w:after="219" w:line="1" w:lineRule="exact"/>
      </w:pPr>
    </w:p>
    <w:p>
      <w:pPr>
        <w:pStyle w:val="Style5"/>
        <w:keepNext w:val="0"/>
        <w:keepLines w:val="0"/>
        <w:widowControl w:val="0"/>
        <w:shd w:val="clear" w:color="auto" w:fill="auto"/>
        <w:bidi w:val="0"/>
        <w:spacing w:before="0" w:after="280" w:line="315" w:lineRule="exact"/>
        <w:ind w:left="1460" w:right="0" w:hanging="72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：国务院</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2"/>
          <w:szCs w:val="22"/>
        </w:rPr>
        <w:t>年公布的住房改革政策，企业应停止向员工进行实物分房，而应采用 现金补贴形式实行货币分房。在住房改革政策实施中，企业可按照自身实际情况及 财务能力考虑制定适合本企业的房改方案。另外，还需按属地化原则在各省市内执 行当地政府的房改条例。</w:t>
      </w:r>
    </w:p>
    <w:p>
      <w:pPr>
        <w:pStyle w:val="Style5"/>
        <w:keepNext w:val="0"/>
        <w:keepLines w:val="0"/>
        <w:widowControl w:val="0"/>
        <w:shd w:val="clear" w:color="auto" w:fill="auto"/>
        <w:bidi w:val="0"/>
        <w:spacing w:before="0" w:after="280" w:line="312" w:lineRule="exact"/>
        <w:ind w:left="1460" w:right="0" w:firstLine="0"/>
        <w:jc w:val="both"/>
        <w:rPr>
          <w:sz w:val="22"/>
          <w:szCs w:val="22"/>
        </w:rPr>
      </w:pP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2"/>
          <w:szCs w:val="22"/>
        </w:rPr>
        <w:t>年以前，中国网通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网通运营公司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以优惠价向其符合规定的 员工出售员工住房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优惠出售计划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，根据国务院</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2"/>
          <w:szCs w:val="22"/>
        </w:rPr>
        <w:t>年公布的住房改革政策，网 通运营公司取消了优惠出售计划。于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2"/>
          <w:szCs w:val="22"/>
        </w:rPr>
        <w:t>年，国务院进一步发布通告，说明取消 员工住房分配后，须给予符合条件的员工现金补贴，故网通运营公司所属各省分公 司按照当地政府颁布的相关详细条例采纳了现金住房补贴计划。根据现金住房补贴 计划，对于在优惠出售计划终止前未获分配住房或分配住房不达目标符合资格员 工，网通运营公司须支付一笔按其服务年份、职位和其他标准计算的一次性货币住 房补贴。网通运营公司据此全额计提了约人民币</w:t>
      </w:r>
      <w:r>
        <w:rPr>
          <w:rFonts w:ascii="Times New Roman" w:eastAsia="Times New Roman" w:hAnsi="Times New Roman" w:cs="Times New Roman"/>
          <w:color w:val="000000"/>
          <w:spacing w:val="0"/>
          <w:w w:val="100"/>
          <w:position w:val="0"/>
          <w:sz w:val="24"/>
          <w:szCs w:val="24"/>
        </w:rPr>
        <w:t>41.42</w:t>
      </w:r>
      <w:r>
        <w:rPr>
          <w:color w:val="000000"/>
          <w:spacing w:val="0"/>
          <w:w w:val="100"/>
          <w:position w:val="0"/>
          <w:sz w:val="22"/>
          <w:szCs w:val="22"/>
        </w:rPr>
        <w:t>亿元的现金住房补贴。</w:t>
      </w:r>
    </w:p>
    <w:p>
      <w:pPr>
        <w:pStyle w:val="Style5"/>
        <w:keepNext w:val="0"/>
        <w:keepLines w:val="0"/>
        <w:widowControl w:val="0"/>
        <w:shd w:val="clear" w:color="auto" w:fill="auto"/>
        <w:bidi w:val="0"/>
        <w:spacing w:before="0" w:after="240" w:line="314" w:lineRule="exact"/>
        <w:ind w:left="146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月，由于网通运营公司已被联通运营公司吸收合并，因此网通运营公司 在上述一次性货币住房补贴中的权利和义务由联通运营公司承继。于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日，尚有约人民币</w:t>
      </w:r>
      <w:r>
        <w:rPr>
          <w:rFonts w:ascii="Times New Roman" w:eastAsia="Times New Roman" w:hAnsi="Times New Roman" w:cs="Times New Roman"/>
          <w:color w:val="000000"/>
          <w:spacing w:val="0"/>
          <w:w w:val="100"/>
          <w:position w:val="0"/>
          <w:sz w:val="24"/>
          <w:szCs w:val="24"/>
        </w:rPr>
        <w:t>24.93</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24.93</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的一次性 货币住房补贴尚未支付完毕，对于实际支付金额多于已计提金额，联通集团将补发 其差额，如果实际支付金额少于已计提金额，联通运营公司将支付给联通集团。</w:t>
      </w:r>
      <w:r>
        <w:br w:type="page"/>
      </w:r>
    </w:p>
    <w:p>
      <w:pPr>
        <w:pStyle w:val="Style97"/>
        <w:keepNext/>
        <w:keepLines/>
        <w:widowControl w:val="0"/>
        <w:shd w:val="clear" w:color="auto" w:fill="auto"/>
        <w:bidi w:val="0"/>
        <w:spacing w:before="0" w:after="40" w:line="240" w:lineRule="auto"/>
        <w:ind w:left="0" w:right="0" w:firstLine="0"/>
        <w:jc w:val="left"/>
      </w:pPr>
      <w:bookmarkStart w:id="1182" w:name="bookmark1182"/>
      <w:bookmarkStart w:id="1183" w:name="bookmark1183"/>
      <w:bookmarkStart w:id="1184" w:name="bookmark1184"/>
      <w:r>
        <w:rPr>
          <w:color w:val="000000"/>
          <w:spacing w:val="0"/>
          <w:w w:val="100"/>
          <w:position w:val="0"/>
        </w:rPr>
        <w:t>财务报表附注</w:t>
      </w:r>
      <w:bookmarkEnd w:id="1182"/>
      <w:bookmarkEnd w:id="1183"/>
      <w:bookmarkEnd w:id="1184"/>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185"/>
      <w:bookmarkEnd w:id="1186"/>
      <w:bookmarkEnd w:id="1187"/>
    </w:p>
    <w:p>
      <w:pPr>
        <w:pStyle w:val="Style97"/>
        <w:keepNext/>
        <w:keepLines/>
        <w:widowControl w:val="0"/>
        <w:shd w:val="clear" w:color="auto" w:fill="auto"/>
        <w:tabs>
          <w:tab w:pos="698" w:val="left"/>
        </w:tabs>
        <w:bidi w:val="0"/>
        <w:spacing w:before="0" w:after="280" w:line="240" w:lineRule="auto"/>
        <w:ind w:left="0" w:right="0" w:firstLine="0"/>
        <w:jc w:val="left"/>
      </w:pPr>
      <w:bookmarkStart w:id="1188" w:name="bookmark1188"/>
      <w:bookmarkStart w:id="1189" w:name="bookmark1189"/>
      <w:bookmarkStart w:id="1190" w:name="bookmark1190"/>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188"/>
      <w:bookmarkEnd w:id="1189"/>
      <w:bookmarkEnd w:id="1190"/>
    </w:p>
    <w:p>
      <w:pPr>
        <w:pStyle w:val="Style97"/>
        <w:keepNext/>
        <w:keepLines/>
        <w:widowControl w:val="0"/>
        <w:shd w:val="clear" w:color="auto" w:fill="auto"/>
        <w:tabs>
          <w:tab w:pos="698" w:val="left"/>
        </w:tabs>
        <w:bidi w:val="0"/>
        <w:spacing w:before="0" w:after="2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sz w:val="24"/>
          <w:szCs w:val="24"/>
          <w:shd w:val="clear" w:color="auto" w:fill="FFFFFF"/>
        </w:rPr>
        <w:t>2</w:t>
      </w:r>
      <w:bookmarkEnd w:id="1193"/>
      <w:r>
        <w:rPr>
          <w:rFonts w:ascii="Times New Roman" w:eastAsia="Times New Roman" w:hAnsi="Times New Roman" w:cs="Times New Roman"/>
          <w:color w:val="000000"/>
          <w:spacing w:val="0"/>
          <w:w w:val="100"/>
          <w:position w:val="0"/>
          <w:sz w:val="24"/>
          <w:szCs w:val="24"/>
          <w:shd w:val="clear" w:color="auto" w:fill="FFFFFF"/>
        </w:rPr>
        <w:t>1</w:t>
      </w:r>
      <w:r>
        <w:rPr>
          <w:color w:val="000000"/>
          <w:spacing w:val="0"/>
          <w:w w:val="100"/>
          <w:position w:val="0"/>
          <w:shd w:val="clear" w:color="auto" w:fill="FFFFFF"/>
        </w:rPr>
        <w:t>、</w:t>
      </w:r>
      <w:r>
        <w:rPr>
          <w:color w:val="000000"/>
          <w:spacing w:val="0"/>
          <w:w w:val="100"/>
          <w:position w:val="0"/>
        </w:rPr>
        <w:tab/>
        <w:t>应付职工薪酬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191"/>
      <w:bookmarkEnd w:id="1192"/>
      <w:bookmarkEnd w:id="1194"/>
    </w:p>
    <w:p>
      <w:pPr>
        <w:pStyle w:val="Style25"/>
        <w:keepNext w:val="0"/>
        <w:keepLines w:val="0"/>
        <w:widowControl w:val="0"/>
        <w:shd w:val="clear" w:color="auto" w:fill="auto"/>
        <w:tabs>
          <w:tab w:leader="hyphen" w:pos="1954" w:val="left"/>
        </w:tabs>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2"/>
          <w:szCs w:val="22"/>
        </w:rPr>
        <w:t>离职后福利</w:t>
        <w:tab/>
        <w:t>设定提存计划</w:t>
      </w:r>
    </w:p>
    <w:tbl>
      <w:tblPr>
        <w:tblOverlap w:val="never"/>
        <w:jc w:val="center"/>
        <w:tblLayout w:type="fixed"/>
      </w:tblPr>
      <w:tblGrid>
        <w:gridCol w:w="3566"/>
        <w:gridCol w:w="1757"/>
        <w:gridCol w:w="1483"/>
        <w:gridCol w:w="1742"/>
        <w:gridCol w:w="1598"/>
      </w:tblGrid>
      <w:tr>
        <w:trPr>
          <w:trHeight w:val="70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sz w:val="22"/>
                <w:szCs w:val="22"/>
                <w:u w:val="single"/>
              </w:rPr>
              <w:t>31</w:t>
            </w:r>
            <w:r>
              <w:rPr>
                <w:color w:val="000000"/>
                <w:spacing w:val="0"/>
                <w:w w:val="100"/>
                <w:position w:val="0"/>
                <w:u w:val="single"/>
              </w:rPr>
              <w:t>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本年增加</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本年减少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2"/>
                <w:szCs w:val="22"/>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sz w:val="22"/>
                <w:szCs w:val="22"/>
                <w:u w:val="single"/>
              </w:rPr>
              <w:t>31</w:t>
            </w:r>
            <w:r>
              <w:rPr>
                <w:color w:val="000000"/>
                <w:spacing w:val="0"/>
                <w:w w:val="100"/>
                <w:position w:val="0"/>
                <w:u w:val="single"/>
              </w:rPr>
              <w:t>日</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基本养老保险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297,155,096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5,013,174,763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4,980,144,643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2"/>
                <w:szCs w:val="22"/>
              </w:rPr>
            </w:pPr>
            <w:r>
              <w:rPr>
                <w:rFonts w:ascii="Times New Roman" w:eastAsia="Times New Roman" w:hAnsi="Times New Roman" w:cs="Times New Roman"/>
                <w:color w:val="000000"/>
                <w:spacing w:val="0"/>
                <w:w w:val="100"/>
                <w:position w:val="0"/>
                <w:sz w:val="22"/>
                <w:szCs w:val="22"/>
              </w:rPr>
              <w:t>330,185,216</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补充养老保险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22"/>
                <w:szCs w:val="22"/>
              </w:rPr>
            </w:pPr>
            <w:r>
              <w:rPr>
                <w:rFonts w:ascii="Times New Roman" w:eastAsia="Times New Roman" w:hAnsi="Times New Roman" w:cs="Times New Roman"/>
                <w:color w:val="000000"/>
                <w:spacing w:val="0"/>
                <w:w w:val="100"/>
                <w:position w:val="0"/>
                <w:sz w:val="22"/>
                <w:szCs w:val="22"/>
              </w:rPr>
              <w:t>20,909,702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3,707,820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2"/>
                <w:szCs w:val="22"/>
              </w:rPr>
              <w:t>3,865,517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20,752,005</w:t>
            </w: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失业保险费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22"/>
                <w:szCs w:val="22"/>
              </w:rPr>
            </w:pPr>
            <w:r>
              <w:rPr>
                <w:rFonts w:ascii="Times New Roman" w:eastAsia="Times New Roman" w:hAnsi="Times New Roman" w:cs="Times New Roman"/>
                <w:color w:val="000000"/>
                <w:spacing w:val="0"/>
                <w:w w:val="100"/>
                <w:position w:val="0"/>
                <w:sz w:val="22"/>
                <w:szCs w:val="22"/>
              </w:rPr>
              <w:t>37,802,321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178,624,672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w w:val="100"/>
                <w:position w:val="0"/>
                <w:sz w:val="22"/>
                <w:szCs w:val="22"/>
              </w:rPr>
              <w:t>179,127,445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37,299,548</w:t>
            </w:r>
          </w:p>
        </w:tc>
      </w:tr>
      <w:tr>
        <w:trPr>
          <w:trHeight w:val="27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企业年金缴费</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210,206,207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2,668,565,161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2,674,201,053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204,570,315</w:t>
            </w:r>
          </w:p>
        </w:tc>
      </w:tr>
      <w:tr>
        <w:trPr>
          <w:trHeight w:val="432" w:hRule="exact"/>
        </w:trPr>
        <w:tc>
          <w:tcPr>
            <w:tcBorders>
              <w:top w:val="single" w:sz="4"/>
            </w:tcBorders>
            <w:shd w:val="clear" w:color="auto" w:fill="FFFFFF"/>
            <w:vAlign w:val="top"/>
          </w:tcPr>
          <w:p>
            <w:pPr>
              <w:pStyle w:val="Style22"/>
              <w:keepNext w:val="0"/>
              <w:keepLines w:val="0"/>
              <w:widowControl w:val="0"/>
              <w:shd w:val="clear" w:color="auto" w:fill="auto"/>
              <w:tabs>
                <w:tab w:pos="3434" w:val="left"/>
              </w:tabs>
              <w:bidi w:val="0"/>
              <w:spacing w:before="0" w:after="0" w:line="240" w:lineRule="auto"/>
              <w:ind w:left="0" w:right="0" w:firstLine="760"/>
              <w:jc w:val="left"/>
            </w:pPr>
            <w:r>
              <w:rPr>
                <w:color w:val="000000"/>
                <w:spacing w:val="0"/>
                <w:w w:val="100"/>
                <w:position w:val="0"/>
              </w:rPr>
              <w:t>合计</w:t>
              <w:tab/>
            </w:r>
            <w:r>
              <w:rPr>
                <w:color w:val="000000"/>
                <w:spacing w:val="0"/>
                <w:w w:val="100"/>
                <w:position w:val="0"/>
                <w:vertAlign w:val="subscript"/>
              </w:rPr>
              <w:t>=</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566,073,326</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7,864,072,416</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7,837,338,658</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592,807,084</w:t>
            </w:r>
          </w:p>
        </w:tc>
      </w:tr>
      <w:tr>
        <w:trPr>
          <w:trHeight w:val="1051" w:hRule="exact"/>
        </w:trPr>
        <w:tc>
          <w:tcPr>
            <w:tcBorders/>
            <w:shd w:val="clear" w:color="auto" w:fill="FFFFFF"/>
            <w:vAlign w:val="top"/>
          </w:tcPr>
          <w:p>
            <w:pPr>
              <w:pStyle w:val="Style22"/>
              <w:keepNext w:val="0"/>
              <w:keepLines w:val="0"/>
              <w:widowControl w:val="0"/>
              <w:shd w:val="clear" w:color="auto" w:fill="auto"/>
              <w:tabs>
                <w:tab w:pos="720" w:val="left"/>
              </w:tabs>
              <w:bidi w:val="0"/>
              <w:spacing w:before="14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w:t>
              <w:tab/>
              <w:t>应交税费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注</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应交增值税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rPr>
                <w:sz w:val="24"/>
                <w:szCs w:val="24"/>
              </w:rPr>
            </w:pP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192,127,238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585,827,016</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应交企业所得税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rPr>
                <w:sz w:val="24"/>
                <w:szCs w:val="24"/>
              </w:rPr>
            </w:pPr>
            <w:r>
              <w:rPr>
                <w:rFonts w:ascii="Times New Roman" w:eastAsia="Times New Roman" w:hAnsi="Times New Roman" w:cs="Times New Roman"/>
                <w:color w:val="000000"/>
                <w:spacing w:val="0"/>
                <w:w w:val="100"/>
                <w:position w:val="0"/>
                <w:sz w:val="24"/>
                <w:szCs w:val="24"/>
              </w:rPr>
              <w:t>(b)</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434,599,859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1,504,161,300</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应交代扣代缴个人所得税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385,524,957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328,949,516</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应交房产税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135,868,041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122,456,833</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290,308,925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272,221,949</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1,438,429,020</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2,813,616,614</w:t>
            </w:r>
          </w:p>
        </w:tc>
      </w:tr>
    </w:tbl>
    <w:p>
      <w:pPr>
        <w:widowControl w:val="0"/>
        <w:spacing w:after="219" w:line="1" w:lineRule="exact"/>
      </w:pPr>
    </w:p>
    <w:p>
      <w:pPr>
        <w:pStyle w:val="Style97"/>
        <w:keepNext/>
        <w:keepLines/>
        <w:widowControl w:val="0"/>
        <w:numPr>
          <w:ilvl w:val="0"/>
          <w:numId w:val="123"/>
        </w:numPr>
        <w:shd w:val="clear" w:color="auto" w:fill="auto"/>
        <w:tabs>
          <w:tab w:pos="1465" w:val="left"/>
        </w:tabs>
        <w:bidi w:val="0"/>
        <w:spacing w:before="0" w:after="280" w:line="310" w:lineRule="exact"/>
        <w:ind w:left="1460" w:right="0" w:hanging="720"/>
        <w:jc w:val="both"/>
      </w:pPr>
      <w:bookmarkStart w:id="1195" w:name="bookmark1195"/>
      <w:bookmarkStart w:id="1196" w:name="bookmark1196"/>
      <w:bookmarkStart w:id="1197" w:name="bookmark1197"/>
      <w:bookmarkStart w:id="1198" w:name="bookmark1198"/>
      <w:bookmarkEnd w:id="1197"/>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日，联通运营公司部分分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子公司根据预缴增值税及待抵扣增值 税的预计转回年限，分别列示于其他流动资产约人民币</w:t>
      </w:r>
      <w:r>
        <w:rPr>
          <w:rFonts w:ascii="Times New Roman" w:eastAsia="Times New Roman" w:hAnsi="Times New Roman" w:cs="Times New Roman"/>
          <w:color w:val="000000"/>
          <w:spacing w:val="0"/>
          <w:w w:val="100"/>
          <w:position w:val="0"/>
          <w:sz w:val="24"/>
          <w:szCs w:val="24"/>
        </w:rPr>
        <w:t>61.94</w:t>
      </w:r>
      <w:r>
        <w:rPr>
          <w:color w:val="000000"/>
          <w:spacing w:val="0"/>
          <w:w w:val="100"/>
          <w:position w:val="0"/>
        </w:rPr>
        <w:t>亿元及其他非流动资 产约人民币</w:t>
      </w:r>
      <w:r>
        <w:rPr>
          <w:rFonts w:ascii="Times New Roman" w:eastAsia="Times New Roman" w:hAnsi="Times New Roman" w:cs="Times New Roman"/>
          <w:color w:val="000000"/>
          <w:spacing w:val="0"/>
          <w:w w:val="100"/>
          <w:position w:val="0"/>
          <w:sz w:val="24"/>
          <w:szCs w:val="24"/>
        </w:rPr>
        <w:t>1.71</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日：约人民币</w:t>
      </w:r>
      <w:r>
        <w:rPr>
          <w:rFonts w:ascii="Times New Roman" w:eastAsia="Times New Roman" w:hAnsi="Times New Roman" w:cs="Times New Roman"/>
          <w:color w:val="000000"/>
          <w:spacing w:val="0"/>
          <w:w w:val="100"/>
          <w:position w:val="0"/>
          <w:sz w:val="24"/>
          <w:szCs w:val="24"/>
        </w:rPr>
        <w:t>57.26</w:t>
      </w:r>
      <w:r>
        <w:rPr>
          <w:color w:val="000000"/>
          <w:spacing w:val="0"/>
          <w:w w:val="100"/>
          <w:position w:val="0"/>
        </w:rPr>
        <w:t>亿元及</w:t>
      </w:r>
      <w:r>
        <w:rPr>
          <w:rFonts w:ascii="Times New Roman" w:eastAsia="Times New Roman" w:hAnsi="Times New Roman" w:cs="Times New Roman"/>
          <w:color w:val="000000"/>
          <w:spacing w:val="0"/>
          <w:w w:val="100"/>
          <w:position w:val="0"/>
          <w:sz w:val="24"/>
          <w:szCs w:val="24"/>
        </w:rPr>
        <w:t>4.4</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bookmarkEnd w:id="1195"/>
      <w:bookmarkEnd w:id="1196"/>
      <w:bookmarkEnd w:id="1198"/>
    </w:p>
    <w:p>
      <w:pPr>
        <w:pStyle w:val="Style97"/>
        <w:keepNext/>
        <w:keepLines/>
        <w:widowControl w:val="0"/>
        <w:numPr>
          <w:ilvl w:val="0"/>
          <w:numId w:val="123"/>
        </w:numPr>
        <w:shd w:val="clear" w:color="auto" w:fill="auto"/>
        <w:tabs>
          <w:tab w:pos="1465" w:val="left"/>
        </w:tabs>
        <w:bidi w:val="0"/>
        <w:spacing w:before="0" w:after="280" w:line="312" w:lineRule="exact"/>
        <w:ind w:left="1460" w:right="0" w:hanging="720"/>
        <w:jc w:val="both"/>
      </w:pPr>
      <w:bookmarkStart w:id="1199" w:name="bookmark1199"/>
      <w:bookmarkStart w:id="1200" w:name="bookmark1200"/>
      <w:bookmarkStart w:id="1201" w:name="bookmark1201"/>
      <w:bookmarkStart w:id="1202" w:name="bookmark1202"/>
      <w:bookmarkEnd w:id="1201"/>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日，联通运营公司部分子公司实际预缴的企业所得税超过预计应 缴纳的企业所得税约人民币</w:t>
      </w:r>
      <w:r>
        <w:rPr>
          <w:rFonts w:ascii="Times New Roman" w:eastAsia="Times New Roman" w:hAnsi="Times New Roman" w:cs="Times New Roman"/>
          <w:color w:val="000000"/>
          <w:spacing w:val="0"/>
          <w:w w:val="100"/>
          <w:position w:val="0"/>
          <w:sz w:val="24"/>
          <w:szCs w:val="24"/>
        </w:rPr>
        <w:t>0.25</w:t>
      </w:r>
      <w:r>
        <w:rPr>
          <w:color w:val="000000"/>
          <w:spacing w:val="0"/>
          <w:w w:val="100"/>
          <w:position w:val="0"/>
        </w:rPr>
        <w:t>亿元列示于其他流动资产</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日：约 人民币</w:t>
      </w:r>
      <w:r>
        <w:rPr>
          <w:rFonts w:ascii="Times New Roman" w:eastAsia="Times New Roman" w:hAnsi="Times New Roman" w:cs="Times New Roman"/>
          <w:color w:val="000000"/>
          <w:spacing w:val="0"/>
          <w:w w:val="100"/>
          <w:position w:val="0"/>
          <w:sz w:val="24"/>
          <w:szCs w:val="24"/>
        </w:rPr>
        <w:t>0.12</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bookmarkEnd w:id="1199"/>
      <w:bookmarkEnd w:id="1200"/>
      <w:bookmarkEnd w:id="1202"/>
    </w:p>
    <w:p>
      <w:pPr>
        <w:pStyle w:val="Style97"/>
        <w:keepNext/>
        <w:keepLines/>
        <w:widowControl w:val="0"/>
        <w:shd w:val="clear" w:color="auto" w:fill="auto"/>
        <w:bidi w:val="0"/>
        <w:spacing w:before="0" w:after="280" w:line="311" w:lineRule="exact"/>
        <w:ind w:left="0" w:right="0" w:firstLine="0"/>
        <w:jc w:val="left"/>
      </w:pPr>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sz w:val="24"/>
          <w:szCs w:val="24"/>
        </w:rPr>
        <w:t>23</w:t>
      </w:r>
      <w:r>
        <w:rPr>
          <w:color w:val="000000"/>
          <w:spacing w:val="0"/>
          <w:w w:val="100"/>
          <w:position w:val="0"/>
        </w:rPr>
        <w:t>、 其他应付款</w:t>
      </w:r>
      <w:bookmarkEnd w:id="1203"/>
      <w:bookmarkEnd w:id="1204"/>
      <w:bookmarkEnd w:id="1205"/>
    </w:p>
    <w:tbl>
      <w:tblPr>
        <w:tblOverlap w:val="never"/>
        <w:jc w:val="right"/>
        <w:tblLayout w:type="fixed"/>
      </w:tblPr>
      <w:tblGrid>
        <w:gridCol w:w="2592"/>
        <w:gridCol w:w="2693"/>
        <w:gridCol w:w="2424"/>
        <w:gridCol w:w="1694"/>
      </w:tblGrid>
      <w:tr>
        <w:trPr>
          <w:trHeight w:val="7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22"/>
                <w:szCs w:val="22"/>
              </w:rPr>
            </w:pPr>
            <w:r>
              <w:rPr>
                <w:color w:val="000000"/>
                <w:spacing w:val="0"/>
                <w:w w:val="100"/>
                <w:position w:val="0"/>
                <w:sz w:val="22"/>
                <w:szCs w:val="22"/>
              </w:rPr>
              <w:t>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应付股利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2,266,014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2,266,014</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(b)</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15,853,596,468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17,679,594,185</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15,855,862,482</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17,681,860,199</w:t>
            </w:r>
          </w:p>
        </w:tc>
      </w:tr>
    </w:tbl>
    <w:p>
      <w:pPr>
        <w:pStyle w:val="Style97"/>
        <w:keepNext/>
        <w:keepLines/>
        <w:widowControl w:val="0"/>
        <w:shd w:val="clear" w:color="auto" w:fill="auto"/>
        <w:bidi w:val="0"/>
        <w:spacing w:before="0" w:after="40" w:line="240" w:lineRule="auto"/>
        <w:ind w:left="0" w:right="0" w:firstLine="0"/>
        <w:jc w:val="left"/>
      </w:pPr>
      <w:bookmarkStart w:id="1206" w:name="bookmark1206"/>
      <w:bookmarkStart w:id="1207" w:name="bookmark1207"/>
      <w:bookmarkStart w:id="1208" w:name="bookmark1208"/>
      <w:r>
        <w:rPr>
          <w:color w:val="000000"/>
          <w:spacing w:val="0"/>
          <w:w w:val="100"/>
          <w:position w:val="0"/>
        </w:rPr>
        <w:t>财务报表附注</w:t>
      </w:r>
      <w:bookmarkEnd w:id="1206"/>
      <w:bookmarkEnd w:id="1207"/>
      <w:bookmarkEnd w:id="1208"/>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20" w:line="240" w:lineRule="auto"/>
        <w:ind w:left="0" w:right="0" w:firstLine="0"/>
        <w:jc w:val="left"/>
        <w:rPr>
          <w:sz w:val="24"/>
          <w:szCs w:val="24"/>
        </w:rPr>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209"/>
      <w:bookmarkEnd w:id="1210"/>
      <w:bookmarkEnd w:id="1211"/>
    </w:p>
    <w:p>
      <w:pPr>
        <w:pStyle w:val="Style97"/>
        <w:keepNext/>
        <w:keepLines/>
        <w:widowControl w:val="0"/>
        <w:shd w:val="clear" w:color="auto" w:fill="auto"/>
        <w:tabs>
          <w:tab w:pos="696" w:val="left"/>
        </w:tabs>
        <w:bidi w:val="0"/>
        <w:spacing w:before="0" w:after="300" w:line="331" w:lineRule="exact"/>
        <w:ind w:left="0" w:right="0" w:firstLine="0"/>
        <w:jc w:val="left"/>
      </w:pPr>
      <w:bookmarkStart w:id="1212" w:name="bookmark1212"/>
      <w:bookmarkStart w:id="1213" w:name="bookmark1213"/>
      <w:bookmarkStart w:id="1214" w:name="bookmark1214"/>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212"/>
      <w:bookmarkEnd w:id="1213"/>
      <w:bookmarkEnd w:id="1214"/>
    </w:p>
    <w:p>
      <w:pPr>
        <w:pStyle w:val="Style97"/>
        <w:keepNext/>
        <w:keepLines/>
        <w:widowControl w:val="0"/>
        <w:shd w:val="clear" w:color="auto" w:fill="auto"/>
        <w:tabs>
          <w:tab w:pos="696" w:val="left"/>
        </w:tabs>
        <w:bidi w:val="0"/>
        <w:spacing w:before="0" w:after="240" w:line="288" w:lineRule="auto"/>
        <w:ind w:left="0" w:right="0" w:firstLine="0"/>
        <w:jc w:val="left"/>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sz w:val="24"/>
          <w:szCs w:val="24"/>
        </w:rPr>
        <w:t>23</w:t>
      </w:r>
      <w:r>
        <w:rPr>
          <w:color w:val="000000"/>
          <w:spacing w:val="0"/>
          <w:w w:val="100"/>
          <w:position w:val="0"/>
        </w:rPr>
        <w:t>、</w:t>
        <w:tab/>
        <w:t>其他应付款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215"/>
      <w:bookmarkEnd w:id="1216"/>
      <w:bookmarkEnd w:id="1217"/>
    </w:p>
    <w:p>
      <w:pPr>
        <w:pStyle w:val="Style97"/>
        <w:keepNext/>
        <w:keepLines/>
        <w:widowControl w:val="0"/>
        <w:shd w:val="clear" w:color="auto" w:fill="auto"/>
        <w:bidi w:val="0"/>
        <w:spacing w:before="0" w:after="240" w:line="288" w:lineRule="auto"/>
        <w:ind w:left="0" w:right="0" w:firstLine="720"/>
        <w:jc w:val="left"/>
      </w:pPr>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sz w:val="24"/>
          <w:szCs w:val="24"/>
        </w:rPr>
        <w:t>(a)</w:t>
      </w:r>
      <w:r>
        <w:rPr>
          <w:color w:val="000000"/>
          <w:spacing w:val="0"/>
          <w:w w:val="100"/>
          <w:position w:val="0"/>
        </w:rPr>
        <w:t>应付股利</w:t>
      </w:r>
      <w:bookmarkEnd w:id="1218"/>
      <w:bookmarkEnd w:id="1219"/>
      <w:bookmarkEnd w:id="1220"/>
    </w:p>
    <w:p>
      <w:pPr>
        <w:pStyle w:val="Style89"/>
        <w:keepNext w:val="0"/>
        <w:keepLines w:val="0"/>
        <w:widowControl w:val="0"/>
        <w:shd w:val="clear" w:color="auto" w:fill="auto"/>
        <w:tabs>
          <w:tab w:pos="1795" w:val="left"/>
        </w:tabs>
        <w:bidi w:val="0"/>
        <w:spacing w:before="0" w:line="240" w:lineRule="auto"/>
        <w:ind w:left="0" w:right="260" w:firstLine="0"/>
        <w:jc w:val="right"/>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tab/>
      </w: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tabs>
          <w:tab w:pos="1795" w:val="left"/>
        </w:tabs>
        <w:bidi w:val="0"/>
        <w:spacing w:before="0" w:after="300" w:line="240" w:lineRule="auto"/>
        <w:ind w:left="0" w:right="260" w:firstLine="0"/>
        <w:jc w:val="right"/>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tab/>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89"/>
        <w:keepNext w:val="0"/>
        <w:keepLines w:val="0"/>
        <w:widowControl w:val="0"/>
        <w:shd w:val="clear" w:color="auto" w:fill="auto"/>
        <w:tabs>
          <w:tab w:pos="7229" w:val="left"/>
          <w:tab w:pos="9077" w:val="left"/>
        </w:tabs>
        <w:bidi w:val="0"/>
        <w:spacing w:before="0" w:after="300" w:line="240" w:lineRule="auto"/>
        <w:ind w:left="0" w:right="0" w:firstLine="720"/>
        <w:jc w:val="left"/>
      </w:pPr>
      <w:r>
        <w:rPr>
          <w:rFonts w:ascii="SimSun" w:eastAsia="SimSun" w:hAnsi="SimSun" w:cs="SimSun"/>
          <w:color w:val="000000"/>
          <w:spacing w:val="0"/>
          <w:w w:val="100"/>
          <w:position w:val="0"/>
          <w:sz w:val="22"/>
          <w:szCs w:val="22"/>
          <w:u w:val="none"/>
        </w:rPr>
        <w:t>普通股股利</w:t>
        <w:tab/>
      </w:r>
      <w:r>
        <w:rPr>
          <w:color w:val="000000"/>
          <w:spacing w:val="0"/>
          <w:w w:val="100"/>
          <w:position w:val="0"/>
          <w:sz w:val="24"/>
          <w:szCs w:val="24"/>
        </w:rPr>
        <w:t>2,266,014</w:t>
        <w:tab/>
        <w:t>2,266,014</w:t>
      </w:r>
    </w:p>
    <w:p>
      <w:pPr>
        <w:pStyle w:val="Style97"/>
        <w:keepNext/>
        <w:keepLines/>
        <w:widowControl w:val="0"/>
        <w:shd w:val="clear" w:color="auto" w:fill="auto"/>
        <w:bidi w:val="0"/>
        <w:spacing w:before="0" w:after="300" w:line="331" w:lineRule="exact"/>
        <w:ind w:left="720" w:right="0" w:firstLine="20"/>
        <w:jc w:val="left"/>
      </w:pPr>
      <w:bookmarkStart w:id="1221" w:name="bookmark1221"/>
      <w:bookmarkStart w:id="1222" w:name="bookmark1222"/>
      <w:bookmarkStart w:id="1223" w:name="bookmark1223"/>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日，应付股利余额主要为联通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rPr>
        <w:t>公司应付联通集团</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年尚未支付 部分股利。</w:t>
      </w:r>
      <w:bookmarkEnd w:id="1221"/>
      <w:bookmarkEnd w:id="1222"/>
      <w:bookmarkEnd w:id="1223"/>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其他</w:t>
      </w:r>
    </w:p>
    <w:tbl>
      <w:tblPr>
        <w:tblOverlap w:val="never"/>
        <w:jc w:val="right"/>
        <w:tblLayout w:type="fixed"/>
      </w:tblPr>
      <w:tblGrid>
        <w:gridCol w:w="4166"/>
        <w:gridCol w:w="1627"/>
        <w:gridCol w:w="1920"/>
        <w:gridCol w:w="1690"/>
      </w:tblGrid>
      <w:tr>
        <w:trPr>
          <w:trHeight w:val="7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押金及暂收款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7,660,046,690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9,198,812,989</w:t>
            </w:r>
          </w:p>
        </w:tc>
      </w:tr>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应付本集团外的联通集团及其子公司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联通集团及其子公司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款项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附注十</w:t>
            </w:r>
            <w:r>
              <w:rPr>
                <w:rFonts w:ascii="Times New Roman" w:eastAsia="Times New Roman" w:hAnsi="Times New Roman" w:cs="Times New Roman"/>
                <w:color w:val="000000"/>
                <w:spacing w:val="0"/>
                <w:w w:val="100"/>
                <w:position w:val="0"/>
                <w:sz w:val="24"/>
                <w:szCs w:val="24"/>
              </w:rPr>
              <w:t>(6)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4,338,617,481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3,668,620,152</w:t>
            </w:r>
          </w:p>
        </w:tc>
      </w:tr>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应付铁塔公司外的合营和联营企业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其他合营和联营企业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款项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附注十</w:t>
            </w:r>
            <w:r>
              <w:rPr>
                <w:rFonts w:ascii="Times New Roman" w:eastAsia="Times New Roman" w:hAnsi="Times New Roman" w:cs="Times New Roman"/>
                <w:color w:val="000000"/>
                <w:spacing w:val="0"/>
                <w:w w:val="100"/>
                <w:position w:val="0"/>
                <w:sz w:val="24"/>
                <w:szCs w:val="24"/>
              </w:rPr>
              <w:t>(6)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61,381,876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58,868,698</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应付铁塔公司款项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附注十</w:t>
            </w:r>
            <w:r>
              <w:rPr>
                <w:rFonts w:ascii="Times New Roman" w:eastAsia="Times New Roman" w:hAnsi="Times New Roman" w:cs="Times New Roman"/>
                <w:color w:val="000000"/>
                <w:spacing w:val="0"/>
                <w:w w:val="100"/>
                <w:position w:val="0"/>
                <w:sz w:val="24"/>
                <w:szCs w:val="24"/>
              </w:rPr>
              <w:t>(6)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8,311,525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8,601,653</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应付联通集团及其子公司借款利息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附注十</w:t>
            </w:r>
            <w:r>
              <w:rPr>
                <w:rFonts w:ascii="Times New Roman" w:eastAsia="Times New Roman" w:hAnsi="Times New Roman" w:cs="Times New Roman"/>
                <w:color w:val="000000"/>
                <w:spacing w:val="0"/>
                <w:w w:val="100"/>
                <w:position w:val="0"/>
                <w:sz w:val="24"/>
                <w:szCs w:val="24"/>
              </w:rPr>
              <w:t>(6)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67,169,915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69,141,635</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代扣代缴员工社保支出</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240,321,875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231,080,264</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限制性股票回购义务</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865,408,798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1,782,970,830</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2,612,338,308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2,661,497,964</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15,853,596,468</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17,679,594,185</w:t>
            </w:r>
          </w:p>
        </w:tc>
      </w:tr>
    </w:tbl>
    <w:p>
      <w:pPr>
        <w:widowControl w:val="0"/>
        <w:spacing w:after="239" w:line="1" w:lineRule="exact"/>
      </w:pPr>
    </w:p>
    <w:p>
      <w:pPr>
        <w:pStyle w:val="Style97"/>
        <w:keepNext/>
        <w:keepLines/>
        <w:widowControl w:val="0"/>
        <w:shd w:val="clear" w:color="auto" w:fill="auto"/>
        <w:bidi w:val="0"/>
        <w:spacing w:before="0" w:after="240" w:line="324" w:lineRule="exact"/>
        <w:ind w:left="720" w:right="0" w:firstLine="20"/>
        <w:jc w:val="left"/>
      </w:pPr>
      <w:bookmarkStart w:id="1224" w:name="bookmark1224"/>
      <w:bookmarkStart w:id="1225" w:name="bookmark1225"/>
      <w:bookmarkStart w:id="1226" w:name="bookmark1226"/>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年的其他应付款约人民币</w:t>
      </w:r>
      <w:r>
        <w:rPr>
          <w:rFonts w:ascii="Times New Roman" w:eastAsia="Times New Roman" w:hAnsi="Times New Roman" w:cs="Times New Roman"/>
          <w:color w:val="000000"/>
          <w:spacing w:val="0"/>
          <w:w w:val="100"/>
          <w:position w:val="0"/>
          <w:sz w:val="24"/>
          <w:szCs w:val="24"/>
        </w:rPr>
        <w:t>35.99</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rPr>
        <w:t>日：约人民币</w:t>
      </w:r>
      <w:r>
        <w:rPr>
          <w:rFonts w:ascii="Times New Roman" w:eastAsia="Times New Roman" w:hAnsi="Times New Roman" w:cs="Times New Roman"/>
          <w:color w:val="000000"/>
          <w:spacing w:val="0"/>
          <w:w w:val="100"/>
          <w:position w:val="0"/>
          <w:sz w:val="24"/>
          <w:szCs w:val="24"/>
        </w:rPr>
        <w:t>54.24</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，主要为本集团因业务往来尚未结清的押金、保证金及暂收款 等。</w:t>
      </w:r>
      <w:bookmarkEnd w:id="1224"/>
      <w:bookmarkEnd w:id="1225"/>
      <w:bookmarkEnd w:id="1226"/>
      <w:r>
        <w:br w:type="page"/>
      </w:r>
    </w:p>
    <w:p>
      <w:pPr>
        <w:pStyle w:val="Style97"/>
        <w:keepNext/>
        <w:keepLines/>
        <w:widowControl w:val="0"/>
        <w:shd w:val="clear" w:color="auto" w:fill="auto"/>
        <w:bidi w:val="0"/>
        <w:spacing w:before="0" w:after="40" w:line="240" w:lineRule="auto"/>
        <w:ind w:left="0" w:right="0" w:firstLine="0"/>
        <w:jc w:val="left"/>
      </w:pPr>
      <w:bookmarkStart w:id="1227" w:name="bookmark1227"/>
      <w:bookmarkStart w:id="1228" w:name="bookmark1228"/>
      <w:bookmarkStart w:id="1229" w:name="bookmark1229"/>
      <w:r>
        <w:rPr>
          <w:color w:val="000000"/>
          <w:spacing w:val="0"/>
          <w:w w:val="100"/>
          <w:position w:val="0"/>
        </w:rPr>
        <w:t>财务报表附注</w:t>
      </w:r>
      <w:bookmarkEnd w:id="1227"/>
      <w:bookmarkEnd w:id="1228"/>
      <w:bookmarkEnd w:id="1229"/>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60" w:line="240" w:lineRule="auto"/>
        <w:ind w:left="0" w:right="0" w:firstLine="0"/>
        <w:jc w:val="left"/>
        <w:rPr>
          <w:sz w:val="24"/>
          <w:szCs w:val="24"/>
        </w:rPr>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230"/>
      <w:bookmarkEnd w:id="1231"/>
      <w:bookmarkEnd w:id="1232"/>
    </w:p>
    <w:p>
      <w:pPr>
        <w:pStyle w:val="Style25"/>
        <w:keepNext w:val="0"/>
        <w:keepLines w:val="0"/>
        <w:widowControl w:val="0"/>
        <w:shd w:val="clear" w:color="auto" w:fill="auto"/>
        <w:tabs>
          <w:tab w:pos="682" w:val="left"/>
        </w:tabs>
        <w:bidi w:val="0"/>
        <w:spacing w:before="0" w:after="0" w:line="240" w:lineRule="auto"/>
        <w:ind w:left="1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bl>
      <w:tblPr>
        <w:tblOverlap w:val="never"/>
        <w:jc w:val="center"/>
        <w:tblLayout w:type="fixed"/>
      </w:tblPr>
      <w:tblGrid>
        <w:gridCol w:w="4147"/>
        <w:gridCol w:w="2232"/>
        <w:gridCol w:w="2074"/>
        <w:gridCol w:w="1694"/>
      </w:tblGrid>
      <w:tr>
        <w:trPr>
          <w:trHeight w:val="432" w:hRule="exact"/>
        </w:trPr>
        <w:tc>
          <w:tcPr>
            <w:tcBorders/>
            <w:shd w:val="clear" w:color="auto" w:fill="FFFFFF"/>
            <w:vAlign w:val="top"/>
          </w:tcPr>
          <w:p>
            <w:pPr>
              <w:pStyle w:val="Style22"/>
              <w:keepNext w:val="0"/>
              <w:keepLines w:val="0"/>
              <w:widowControl w:val="0"/>
              <w:shd w:val="clear" w:color="auto" w:fill="auto"/>
              <w:tabs>
                <w:tab w:pos="725"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2"/>
                <w:szCs w:val="22"/>
              </w:rPr>
              <w:t>、</w:t>
              <w:tab/>
              <w:t>一年内到期的非流动负债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一年内到期的长期借款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371,531,575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418,951,998</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一年内到期的应付债券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3,042,543,011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1,063,157,564</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一年内到期的长期应付款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3,313,226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8,530,352</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一年内到期的租赁负债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2"/>
                <w:szCs w:val="22"/>
              </w:rPr>
              <w:t xml:space="preserve">附注五 </w:t>
            </w:r>
            <w:r>
              <w:rPr>
                <w:rFonts w:ascii="Times New Roman" w:eastAsia="Times New Roman" w:hAnsi="Times New Roman" w:cs="Times New Roman"/>
                <w:color w:val="000000"/>
                <w:spacing w:val="0"/>
                <w:w w:val="100"/>
                <w:position w:val="0"/>
                <w:sz w:val="24"/>
                <w:szCs w:val="24"/>
              </w:rPr>
              <w:t>(52)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12,143,997,643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11,503,167,537</w:t>
            </w:r>
          </w:p>
        </w:tc>
      </w:tr>
      <w:tr>
        <w:trPr>
          <w:trHeight w:val="4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15,561,385,455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12,993,807,451</w:t>
            </w:r>
          </w:p>
        </w:tc>
      </w:tr>
      <w:tr>
        <w:trPr>
          <w:trHeight w:val="61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2"/>
                <w:szCs w:val="22"/>
              </w:rPr>
              <w:t>一年内到期的长期借款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保证借款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3,135,377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3,255,510</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信用借款</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368,396,198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415,696,488</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371,531,575</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418,951,998</w:t>
            </w:r>
          </w:p>
        </w:tc>
      </w:tr>
    </w:tbl>
    <w:p>
      <w:pPr>
        <w:widowControl w:val="0"/>
        <w:spacing w:after="239" w:line="1" w:lineRule="exact"/>
      </w:pPr>
    </w:p>
    <w:p>
      <w:pPr>
        <w:pStyle w:val="Style97"/>
        <w:keepNext/>
        <w:keepLines/>
        <w:widowControl w:val="0"/>
        <w:shd w:val="clear" w:color="auto" w:fill="auto"/>
        <w:bidi w:val="0"/>
        <w:spacing w:before="0" w:after="300" w:line="240" w:lineRule="auto"/>
        <w:ind w:left="0" w:right="0" w:firstLine="720"/>
        <w:jc w:val="both"/>
      </w:pPr>
      <w:bookmarkStart w:id="1233" w:name="bookmark1233"/>
      <w:bookmarkStart w:id="1234" w:name="bookmark1234"/>
      <w:bookmarkStart w:id="1235" w:name="bookmark1235"/>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日，本集团无已到期但尚未偿还的长期借款</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bookmarkEnd w:id="1233"/>
      <w:bookmarkEnd w:id="1234"/>
      <w:bookmarkEnd w:id="1235"/>
    </w:p>
    <w:p>
      <w:pPr>
        <w:pStyle w:val="Style97"/>
        <w:keepNext/>
        <w:keepLines/>
        <w:widowControl w:val="0"/>
        <w:shd w:val="clear" w:color="auto" w:fill="auto"/>
        <w:tabs>
          <w:tab w:pos="730" w:val="left"/>
        </w:tabs>
        <w:bidi w:val="0"/>
        <w:spacing w:before="0" w:after="30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sz w:val="24"/>
          <w:szCs w:val="24"/>
          <w:shd w:val="clear" w:color="auto" w:fill="FFFFFF"/>
        </w:rPr>
        <w:t>2</w:t>
      </w:r>
      <w:bookmarkEnd w:id="1238"/>
      <w:r>
        <w:rPr>
          <w:rFonts w:ascii="Times New Roman" w:eastAsia="Times New Roman" w:hAnsi="Times New Roman" w:cs="Times New Roman"/>
          <w:color w:val="000000"/>
          <w:spacing w:val="0"/>
          <w:w w:val="100"/>
          <w:position w:val="0"/>
          <w:sz w:val="24"/>
          <w:szCs w:val="24"/>
          <w:shd w:val="clear" w:color="auto" w:fill="FFFFFF"/>
        </w:rPr>
        <w:t>5</w:t>
      </w:r>
      <w:r>
        <w:rPr>
          <w:color w:val="000000"/>
          <w:spacing w:val="0"/>
          <w:w w:val="100"/>
          <w:position w:val="0"/>
          <w:shd w:val="clear" w:color="auto" w:fill="FFFFFF"/>
        </w:rPr>
        <w:t>、</w:t>
      </w:r>
      <w:r>
        <w:rPr>
          <w:color w:val="000000"/>
          <w:spacing w:val="0"/>
          <w:w w:val="100"/>
          <w:position w:val="0"/>
        </w:rPr>
        <w:tab/>
        <w:t>其他流动负债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其他非流动负债</w:t>
      </w:r>
      <w:bookmarkEnd w:id="1236"/>
      <w:bookmarkEnd w:id="1237"/>
      <w:bookmarkEnd w:id="1239"/>
    </w:p>
    <w:tbl>
      <w:tblPr>
        <w:tblOverlap w:val="never"/>
        <w:jc w:val="right"/>
        <w:tblLayout w:type="fixed"/>
      </w:tblPr>
      <w:tblGrid>
        <w:gridCol w:w="3830"/>
        <w:gridCol w:w="1632"/>
        <w:gridCol w:w="2304"/>
        <w:gridCol w:w="1651"/>
      </w:tblGrid>
      <w:tr>
        <w:trPr>
          <w:trHeight w:val="105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其他流动负债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72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年度第一期超短期融资券</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2,017,573,333</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年度第二期超短期融资券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3,026,042,869</w:t>
            </w:r>
          </w:p>
        </w:tc>
      </w:tr>
      <w:tr>
        <w:trPr>
          <w:trHeight w:val="31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年度第四期超短期融资券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2,006,436,111</w:t>
            </w:r>
          </w:p>
        </w:tc>
      </w:tr>
      <w:tr>
        <w:trPr>
          <w:trHeight w:val="30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年度第一期超短期融资券</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2,028,869,099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年度第二期超短期融资券</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3,028,571,762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1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年度第三期超短期融资券</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1,817,143,057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待转增值税</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 xml:space="preserve">注 </w:t>
            </w:r>
            <w:r>
              <w:rPr>
                <w:rFonts w:ascii="Times New Roman" w:eastAsia="Times New Roman" w:hAnsi="Times New Roman" w:cs="Times New Roman"/>
                <w:color w:val="000000"/>
                <w:spacing w:val="0"/>
                <w:w w:val="100"/>
                <w:position w:val="0"/>
                <w:sz w:val="24"/>
                <w:szCs w:val="24"/>
              </w:rPr>
              <w:t>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3,709,453,769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2,745,703,999</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10,584,037,687</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9,795,756,312</w:t>
            </w:r>
          </w:p>
        </w:tc>
      </w:tr>
    </w:tbl>
    <w:p>
      <w:pPr>
        <w:widowControl w:val="0"/>
        <w:spacing w:after="239" w:line="1" w:lineRule="exact"/>
      </w:pPr>
    </w:p>
    <w:p>
      <w:pPr>
        <w:pStyle w:val="Style97"/>
        <w:keepNext/>
        <w:keepLines/>
        <w:widowControl w:val="0"/>
        <w:shd w:val="clear" w:color="auto" w:fill="auto"/>
        <w:bidi w:val="0"/>
        <w:spacing w:before="0" w:after="260" w:line="314" w:lineRule="exact"/>
        <w:ind w:left="1460" w:right="0" w:hanging="740"/>
        <w:jc w:val="left"/>
        <w:sectPr>
          <w:footnotePr>
            <w:pos w:val="pageBottom"/>
            <w:numFmt w:val="decimal"/>
            <w:numRestart w:val="continuous"/>
          </w:footnotePr>
          <w:pgSz w:w="11900" w:h="16840"/>
          <w:pgMar w:top="1599" w:right="720" w:bottom="932" w:left="960" w:header="0" w:footer="3" w:gutter="0"/>
          <w:cols w:space="720"/>
          <w:noEndnote/>
          <w:rtlGutter w:val="0"/>
          <w:docGrid w:linePitch="360"/>
        </w:sectPr>
      </w:pPr>
      <w:bookmarkStart w:id="1240" w:name="bookmark1240"/>
      <w:bookmarkStart w:id="1241" w:name="bookmark1241"/>
      <w:bookmarkStart w:id="1242" w:name="bookmark1242"/>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日，本集团根据历史经验估计用户购买不同税率服务及商品的情 况，将估计的已收对价中增值税部分确认为待转销项税额，已收对价的剩余价款部 分确认为合同负债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附注五</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w:t>
      </w:r>
      <w:bookmarkEnd w:id="1240"/>
      <w:bookmarkEnd w:id="1241"/>
      <w:bookmarkEnd w:id="1242"/>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2" w:val="left"/>
        </w:tabs>
        <w:bidi w:val="0"/>
        <w:spacing w:before="0" w:after="28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 其他流动负债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其他非流动负债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240" w:lineRule="auto"/>
        <w:ind w:left="0" w:right="0" w:firstLine="720"/>
        <w:jc w:val="left"/>
        <w:rPr>
          <w:sz w:val="22"/>
          <w:szCs w:val="22"/>
        </w:rPr>
      </w:pPr>
      <w:r>
        <w:rPr>
          <w:color w:val="000000"/>
          <w:spacing w:val="0"/>
          <w:w w:val="100"/>
          <w:position w:val="0"/>
          <w:sz w:val="22"/>
          <w:szCs w:val="22"/>
        </w:rPr>
        <w:t>其他流动负债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240" w:lineRule="auto"/>
        <w:ind w:left="0" w:right="0" w:firstLine="720"/>
        <w:jc w:val="left"/>
        <w:rPr>
          <w:sz w:val="22"/>
          <w:szCs w:val="22"/>
        </w:rPr>
      </w:pPr>
      <w:r>
        <w:rPr>
          <w:color w:val="000000"/>
          <w:spacing w:val="0"/>
          <w:w w:val="100"/>
          <w:position w:val="0"/>
          <w:sz w:val="22"/>
          <w:szCs w:val="22"/>
        </w:rPr>
        <w:t>短期债券的增减变动</w:t>
      </w:r>
    </w:p>
    <w:tbl>
      <w:tblPr>
        <w:tblOverlap w:val="never"/>
        <w:jc w:val="center"/>
        <w:tblLayout w:type="fixed"/>
      </w:tblPr>
      <w:tblGrid>
        <w:gridCol w:w="2410"/>
        <w:gridCol w:w="797"/>
        <w:gridCol w:w="1003"/>
        <w:gridCol w:w="1018"/>
        <w:gridCol w:w="998"/>
        <w:gridCol w:w="1229"/>
        <w:gridCol w:w="1234"/>
        <w:gridCol w:w="1286"/>
        <w:gridCol w:w="1181"/>
        <w:gridCol w:w="1190"/>
        <w:gridCol w:w="1258"/>
        <w:gridCol w:w="1152"/>
      </w:tblGrid>
      <w:tr>
        <w:trPr>
          <w:trHeight w:val="51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u w:val="single"/>
              </w:rPr>
              <w:t>债券名称</w:t>
            </w:r>
            <w:r>
              <w:rPr>
                <w:rFonts w:ascii="Times New Roman" w:eastAsia="Times New Roman" w:hAnsi="Times New Roman" w:cs="Times New Roman"/>
                <w:color w:val="000000"/>
                <w:spacing w:val="0"/>
                <w:w w:val="100"/>
                <w:position w:val="0"/>
                <w:sz w:val="16"/>
                <w:szCs w:val="16"/>
                <w:u w:val="single"/>
              </w:rPr>
              <w:t>（</w:t>
            </w:r>
            <w:r>
              <w:rPr>
                <w:color w:val="000000"/>
                <w:spacing w:val="0"/>
                <w:w w:val="100"/>
                <w:position w:val="0"/>
                <w:sz w:val="15"/>
                <w:szCs w:val="15"/>
                <w:u w:val="single"/>
              </w:rPr>
              <w:t>注</w:t>
            </w:r>
            <w:r>
              <w:rPr>
                <w:rFonts w:ascii="Times New Roman" w:eastAsia="Times New Roman" w:hAnsi="Times New Roman" w:cs="Times New Roman"/>
                <w:color w:val="000000"/>
                <w:spacing w:val="0"/>
                <w:w w:val="100"/>
                <w:position w:val="0"/>
                <w:sz w:val="16"/>
                <w:szCs w:val="16"/>
                <w:u w:val="single"/>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u w:val="single"/>
              </w:rPr>
              <w:t>面值</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u w:val="single"/>
              </w:rPr>
              <w:t>发行日期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债券期限</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票面利率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发行金额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u w:val="single"/>
              </w:rPr>
              <w:t>年初余额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本年发行</w:t>
            </w:r>
          </w:p>
        </w:tc>
        <w:tc>
          <w:tcPr>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 xml:space="preserve">按面值 </w:t>
            </w:r>
            <w:r>
              <w:rPr>
                <w:color w:val="000000"/>
                <w:spacing w:val="0"/>
                <w:w w:val="100"/>
                <w:position w:val="0"/>
                <w:sz w:val="15"/>
                <w:szCs w:val="15"/>
                <w:u w:val="single"/>
              </w:rPr>
              <w:t>计提利息</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u w:val="single"/>
              </w:rPr>
              <w:t>折溢价摊销</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u w:val="single"/>
              </w:rPr>
              <w:t>本年偿还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u w:val="single"/>
              </w:rPr>
              <w:t>年末余额</w:t>
            </w:r>
          </w:p>
        </w:tc>
      </w:tr>
      <w:tr>
        <w:trPr>
          <w:trHeight w:val="51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年度第一期超短期融资券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5"/>
                <w:szCs w:val="15"/>
              </w:rPr>
              <w:t>年</w:t>
            </w:r>
          </w:p>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5"/>
                <w:szCs w:val="15"/>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180</w:t>
            </w:r>
            <w:r>
              <w:rPr>
                <w:color w:val="000000"/>
                <w:spacing w:val="0"/>
                <w:w w:val="100"/>
                <w:position w:val="0"/>
                <w:sz w:val="15"/>
                <w:szCs w:val="15"/>
              </w:rPr>
              <w:t>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2,017,573,333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1,001,096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6"/>
                <w:szCs w:val="16"/>
              </w:rPr>
            </w:pPr>
            <w:r>
              <w:rPr>
                <w:rFonts w:ascii="Times New Roman" w:eastAsia="Times New Roman" w:hAnsi="Times New Roman" w:cs="Times New Roman"/>
                <w:color w:val="000000"/>
                <w:spacing w:val="0"/>
                <w:w w:val="100"/>
                <w:position w:val="0"/>
                <w:sz w:val="16"/>
                <w:szCs w:val="16"/>
              </w:rPr>
              <w:t>66,667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2,018,641,096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年度第二期超短期融资券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5"/>
                <w:szCs w:val="15"/>
              </w:rPr>
              <w:t>年</w:t>
            </w:r>
          </w:p>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5"/>
                <w:szCs w:val="15"/>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180</w:t>
            </w:r>
            <w:r>
              <w:rPr>
                <w:color w:val="000000"/>
                <w:spacing w:val="0"/>
                <w:w w:val="100"/>
                <w:position w:val="0"/>
                <w:sz w:val="15"/>
                <w:szCs w:val="15"/>
              </w:rPr>
              <w:t>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3,026,042,869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1,818,775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3,027,961,644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年度第四期超短期融资券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5"/>
                <w:szCs w:val="15"/>
              </w:rPr>
              <w:t>年</w:t>
            </w:r>
          </w:p>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6"/>
                <w:szCs w:val="16"/>
              </w:rPr>
              <w:t>90</w:t>
            </w:r>
            <w:r>
              <w:rPr>
                <w:color w:val="000000"/>
                <w:spacing w:val="0"/>
                <w:w w:val="100"/>
                <w:position w:val="0"/>
                <w:sz w:val="15"/>
                <w:szCs w:val="15"/>
              </w:rPr>
              <w:t>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2,006,436,111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4,070,814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194,445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2,010,701,370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年度第一期超短期融资券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年</w:t>
            </w:r>
          </w:p>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5"/>
                <w:szCs w:val="15"/>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270</w:t>
            </w:r>
            <w:r>
              <w:rPr>
                <w:color w:val="000000"/>
                <w:spacing w:val="0"/>
                <w:w w:val="100"/>
                <w:position w:val="0"/>
                <w:sz w:val="15"/>
                <w:szCs w:val="15"/>
              </w:rPr>
              <w:t>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29,304,110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(435,011)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2,028,869,099</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年度第二期超短期融资券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年</w:t>
            </w:r>
          </w:p>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27</w:t>
            </w:r>
            <w:r>
              <w:rPr>
                <w:color w:val="000000"/>
                <w:spacing w:val="0"/>
                <w:w w:val="100"/>
                <w:position w:val="0"/>
                <w:sz w:val="15"/>
                <w:szCs w:val="15"/>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180</w:t>
            </w:r>
            <w:r>
              <w:rPr>
                <w:color w:val="000000"/>
                <w:spacing w:val="0"/>
                <w:w w:val="100"/>
                <w:position w:val="0"/>
                <w:sz w:val="15"/>
                <w:szCs w:val="15"/>
              </w:rPr>
              <w:t>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28,776,164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(204,402)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3,028,571,762</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年度第三期超短期融资券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年</w:t>
            </w:r>
          </w:p>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27</w:t>
            </w:r>
            <w:r>
              <w:rPr>
                <w:color w:val="000000"/>
                <w:spacing w:val="0"/>
                <w:w w:val="100"/>
                <w:position w:val="0"/>
                <w:sz w:val="15"/>
                <w:szCs w:val="15"/>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180</w:t>
            </w:r>
            <w:r>
              <w:rPr>
                <w:color w:val="000000"/>
                <w:spacing w:val="0"/>
                <w:w w:val="100"/>
                <w:position w:val="0"/>
                <w:sz w:val="15"/>
                <w:szCs w:val="15"/>
              </w:rPr>
              <w:t>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1,800,000,000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1,800,000,000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17,265,699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(122,642)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1,817,143,057</w:t>
            </w:r>
          </w:p>
        </w:tc>
      </w:tr>
      <w:tr>
        <w:trPr>
          <w:trHeight w:val="25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7,050,052,313</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6,800,000,000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82,236,658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(400,943)</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7,057,304,110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6,874,583,918</w:t>
            </w:r>
          </w:p>
        </w:tc>
      </w:tr>
    </w:tbl>
    <w:p>
      <w:pPr>
        <w:widowControl w:val="0"/>
        <w:spacing w:after="279" w:line="1" w:lineRule="exact"/>
      </w:pPr>
    </w:p>
    <w:p>
      <w:pPr>
        <w:pStyle w:val="Style5"/>
        <w:keepNext w:val="0"/>
        <w:keepLines w:val="0"/>
        <w:widowControl w:val="0"/>
        <w:shd w:val="clear" w:color="auto" w:fill="auto"/>
        <w:bidi w:val="0"/>
        <w:spacing w:before="0" w:after="580" w:line="240" w:lineRule="auto"/>
        <w:ind w:left="0" w:right="0" w:firstLine="72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：其他流动负债为本集团所属联通运营公司面向银行间债券市场发行的超短期融资券，均无担保，并于到期日按面值加利息兑付。</w:t>
      </w:r>
    </w:p>
    <w:p>
      <w:pPr>
        <w:pStyle w:val="Style5"/>
        <w:keepNext w:val="0"/>
        <w:keepLines w:val="0"/>
        <w:widowControl w:val="0"/>
        <w:shd w:val="clear" w:color="auto" w:fill="auto"/>
        <w:bidi w:val="0"/>
        <w:spacing w:before="0" w:after="340" w:line="240" w:lineRule="auto"/>
        <w:ind w:left="0" w:right="0" w:firstLine="720"/>
        <w:jc w:val="left"/>
        <w:rPr>
          <w:sz w:val="22"/>
          <w:szCs w:val="22"/>
        </w:rPr>
      </w:pPr>
      <w:r>
        <w:rPr>
          <w:color w:val="000000"/>
          <w:spacing w:val="0"/>
          <w:w w:val="100"/>
          <w:position w:val="0"/>
          <w:sz w:val="22"/>
          <w:szCs w:val="22"/>
        </w:rPr>
        <w:t>其他非流动负债</w:t>
      </w:r>
    </w:p>
    <w:p>
      <w:pPr>
        <w:pStyle w:val="Style5"/>
        <w:keepNext w:val="0"/>
        <w:keepLines w:val="0"/>
        <w:widowControl w:val="0"/>
        <w:shd w:val="clear" w:color="auto" w:fill="auto"/>
        <w:bidi w:val="0"/>
        <w:spacing w:before="0" w:after="280" w:line="240" w:lineRule="auto"/>
        <w:ind w:left="0" w:right="0" w:firstLine="720"/>
        <w:jc w:val="left"/>
        <w:rPr>
          <w:sz w:val="22"/>
          <w:szCs w:val="22"/>
        </w:rPr>
        <w:sectPr>
          <w:footnotePr>
            <w:pos w:val="pageBottom"/>
            <w:numFmt w:val="decimal"/>
            <w:numRestart w:val="continuous"/>
          </w:footnotePr>
          <w:pgSz w:w="16840" w:h="11900" w:orient="landscape"/>
          <w:pgMar w:top="1596" w:right="510" w:bottom="1122" w:left="841" w:header="0" w:footer="3" w:gutter="0"/>
          <w:cols w:space="720"/>
          <w:noEndnote/>
          <w:rtlGutter w:val="0"/>
          <w:docGrid w:linePitch="360"/>
        </w:sectPr>
      </w:pPr>
      <w:r>
        <w:rPr>
          <w:color w:val="000000"/>
          <w:spacing w:val="0"/>
          <w:w w:val="100"/>
          <w:position w:val="0"/>
          <w:sz w:val="22"/>
          <w:szCs w:val="22"/>
        </w:rPr>
        <w:t>其他非流动负债主要包括本集团以有限合伙企业形式设立的有固定经营期的子公司吸收少数股东的投资款，本集团将其分类为金融负债。</w:t>
      </w:r>
    </w:p>
    <w:p>
      <w:pPr>
        <w:pStyle w:val="Style97"/>
        <w:keepNext/>
        <w:keepLines/>
        <w:widowControl w:val="0"/>
        <w:shd w:val="clear" w:color="auto" w:fill="auto"/>
        <w:bidi w:val="0"/>
        <w:spacing w:before="0" w:after="40" w:line="240" w:lineRule="auto"/>
        <w:ind w:left="0" w:right="0" w:firstLine="0"/>
        <w:jc w:val="both"/>
      </w:pPr>
      <w:bookmarkStart w:id="1243" w:name="bookmark1243"/>
      <w:bookmarkStart w:id="1244" w:name="bookmark1244"/>
      <w:bookmarkStart w:id="1245" w:name="bookmark1245"/>
      <w:r>
        <w:rPr>
          <w:color w:val="000000"/>
          <w:spacing w:val="0"/>
          <w:w w:val="100"/>
          <w:position w:val="0"/>
        </w:rPr>
        <w:t>财务报表附注</w:t>
      </w:r>
      <w:bookmarkEnd w:id="1243"/>
      <w:bookmarkEnd w:id="1244"/>
      <w:bookmarkEnd w:id="1245"/>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both"/>
        <w:rPr>
          <w:sz w:val="24"/>
          <w:szCs w:val="24"/>
        </w:rPr>
      </w:pPr>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246"/>
      <w:bookmarkEnd w:id="1247"/>
      <w:bookmarkEnd w:id="1248"/>
    </w:p>
    <w:p>
      <w:pPr>
        <w:pStyle w:val="Style97"/>
        <w:keepNext/>
        <w:keepLines/>
        <w:widowControl w:val="0"/>
        <w:shd w:val="clear" w:color="auto" w:fill="auto"/>
        <w:tabs>
          <w:tab w:pos="696" w:val="left"/>
        </w:tabs>
        <w:bidi w:val="0"/>
        <w:spacing w:before="0" w:after="280" w:line="240" w:lineRule="auto"/>
        <w:ind w:left="0" w:right="0" w:firstLine="0"/>
        <w:jc w:val="both"/>
      </w:pPr>
      <w:bookmarkStart w:id="1249" w:name="bookmark1249"/>
      <w:bookmarkStart w:id="1250" w:name="bookmark1250"/>
      <w:bookmarkStart w:id="1251" w:name="bookmark1251"/>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249"/>
      <w:bookmarkEnd w:id="1250"/>
      <w:bookmarkEnd w:id="1251"/>
    </w:p>
    <w:p>
      <w:pPr>
        <w:pStyle w:val="Style97"/>
        <w:keepNext/>
        <w:keepLines/>
        <w:widowControl w:val="0"/>
        <w:shd w:val="clear" w:color="auto" w:fill="auto"/>
        <w:tabs>
          <w:tab w:pos="696" w:val="left"/>
        </w:tabs>
        <w:bidi w:val="0"/>
        <w:spacing w:before="0" w:after="280" w:line="240" w:lineRule="auto"/>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sz w:val="24"/>
          <w:szCs w:val="24"/>
        </w:rPr>
        <w:t>2</w:t>
      </w:r>
      <w:bookmarkEnd w:id="1254"/>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长期借款</w:t>
      </w:r>
      <w:bookmarkEnd w:id="1252"/>
      <w:bookmarkEnd w:id="1253"/>
      <w:bookmarkEnd w:id="1255"/>
    </w:p>
    <w:tbl>
      <w:tblPr>
        <w:tblOverlap w:val="never"/>
        <w:jc w:val="right"/>
        <w:tblLayout w:type="fixed"/>
      </w:tblPr>
      <w:tblGrid>
        <w:gridCol w:w="3446"/>
        <w:gridCol w:w="2227"/>
        <w:gridCol w:w="2126"/>
        <w:gridCol w:w="1603"/>
      </w:tblGrid>
      <w:tr>
        <w:trPr>
          <w:trHeight w:val="7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保证借款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42,311,407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45,530,606</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(b)</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2,164,196,412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2,855,481,215</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2,206,507,819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2,901,011,821</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减：一年内到期的长期借款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 xml:space="preserve">附注五 </w:t>
            </w:r>
            <w:r>
              <w:rPr>
                <w:rFonts w:ascii="Times New Roman" w:eastAsia="Times New Roman" w:hAnsi="Times New Roman" w:cs="Times New Roman"/>
                <w:color w:val="000000"/>
                <w:spacing w:val="0"/>
                <w:w w:val="100"/>
                <w:position w:val="0"/>
                <w:sz w:val="24"/>
                <w:szCs w:val="24"/>
              </w:rPr>
              <w:t>（24）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371,531,575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418,951,998</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1,834,976,244</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2,482,059,823</w:t>
            </w:r>
          </w:p>
        </w:tc>
      </w:tr>
    </w:tbl>
    <w:p>
      <w:pPr>
        <w:widowControl w:val="0"/>
        <w:spacing w:after="279" w:line="1" w:lineRule="exact"/>
      </w:pPr>
    </w:p>
    <w:p>
      <w:pPr>
        <w:pStyle w:val="Style97"/>
        <w:keepNext/>
        <w:keepLines/>
        <w:widowControl w:val="0"/>
        <w:shd w:val="clear" w:color="auto" w:fill="auto"/>
        <w:tabs>
          <w:tab w:pos="1465" w:val="left"/>
        </w:tabs>
        <w:bidi w:val="0"/>
        <w:spacing w:before="0" w:after="280" w:line="307" w:lineRule="exact"/>
        <w:ind w:left="1460" w:right="0" w:hanging="72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sz w:val="24"/>
          <w:szCs w:val="24"/>
        </w:rPr>
        <w:t>（</w:t>
      </w:r>
      <w:bookmarkEnd w:id="1258"/>
      <w:r>
        <w:rPr>
          <w:rFonts w:ascii="Times New Roman" w:eastAsia="Times New Roman" w:hAnsi="Times New Roman" w:cs="Times New Roman"/>
          <w:color w:val="000000"/>
          <w:spacing w:val="0"/>
          <w:w w:val="100"/>
          <w:position w:val="0"/>
          <w:sz w:val="24"/>
          <w:szCs w:val="24"/>
        </w:rPr>
        <w:t>a）</w:t>
        <w:tab/>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日，保证借款包括由第三方提供担保的借款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含一年内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约人民币 </w:t>
      </w:r>
      <w:r>
        <w:rPr>
          <w:rFonts w:ascii="Times New Roman" w:eastAsia="Times New Roman" w:hAnsi="Times New Roman" w:cs="Times New Roman"/>
          <w:color w:val="000000"/>
          <w:spacing w:val="0"/>
          <w:w w:val="100"/>
          <w:position w:val="0"/>
          <w:sz w:val="24"/>
          <w:szCs w:val="24"/>
        </w:rPr>
        <w:t>0.4</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日：约人民币</w:t>
      </w:r>
      <w:r>
        <w:rPr>
          <w:rFonts w:ascii="Times New Roman" w:eastAsia="Times New Roman" w:hAnsi="Times New Roman" w:cs="Times New Roman"/>
          <w:color w:val="000000"/>
          <w:spacing w:val="0"/>
          <w:w w:val="100"/>
          <w:position w:val="0"/>
          <w:sz w:val="24"/>
          <w:szCs w:val="24"/>
        </w:rPr>
        <w:t>0.46</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bookmarkEnd w:id="1256"/>
      <w:bookmarkEnd w:id="1257"/>
      <w:bookmarkEnd w:id="1259"/>
    </w:p>
    <w:p>
      <w:pPr>
        <w:pStyle w:val="Style97"/>
        <w:keepNext/>
        <w:keepLines/>
        <w:widowControl w:val="0"/>
        <w:shd w:val="clear" w:color="auto" w:fill="auto"/>
        <w:tabs>
          <w:tab w:pos="1465" w:val="left"/>
        </w:tabs>
        <w:bidi w:val="0"/>
        <w:spacing w:before="0" w:after="280" w:line="310" w:lineRule="exact"/>
        <w:ind w:left="1460" w:right="0" w:hanging="72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sz w:val="24"/>
          <w:szCs w:val="24"/>
        </w:rPr>
        <w:t>（</w:t>
      </w:r>
      <w:bookmarkEnd w:id="1262"/>
      <w:r>
        <w:rPr>
          <w:rFonts w:ascii="Times New Roman" w:eastAsia="Times New Roman" w:hAnsi="Times New Roman" w:cs="Times New Roman"/>
          <w:color w:val="000000"/>
          <w:spacing w:val="0"/>
          <w:w w:val="100"/>
          <w:position w:val="0"/>
          <w:sz w:val="24"/>
          <w:szCs w:val="24"/>
        </w:rPr>
        <w:t>b）</w:t>
        <w:tab/>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日，信用借款包括由国开发展基金有限公司和中国农发重点建设 基金有限公司提供的政策性优惠贷款约人民币</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亿元，主要用于中小城市和乡 村基础网络建设</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日：约人民币</w:t>
      </w:r>
      <w:r>
        <w:rPr>
          <w:rFonts w:ascii="Times New Roman" w:eastAsia="Times New Roman" w:hAnsi="Times New Roman" w:cs="Times New Roman"/>
          <w:color w:val="000000"/>
          <w:spacing w:val="0"/>
          <w:w w:val="100"/>
          <w:position w:val="0"/>
          <w:sz w:val="24"/>
          <w:szCs w:val="24"/>
        </w:rPr>
        <w:t>26.78</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bookmarkEnd w:id="1260"/>
      <w:bookmarkEnd w:id="1261"/>
      <w:bookmarkEnd w:id="1263"/>
    </w:p>
    <w:p>
      <w:pPr>
        <w:pStyle w:val="Style97"/>
        <w:keepNext/>
        <w:keepLines/>
        <w:widowControl w:val="0"/>
        <w:shd w:val="clear" w:color="auto" w:fill="auto"/>
        <w:bidi w:val="0"/>
        <w:spacing w:before="0" w:after="280" w:line="310" w:lineRule="exact"/>
        <w:ind w:left="0" w:right="0" w:firstLine="720"/>
        <w:jc w:val="both"/>
      </w:pPr>
      <w:bookmarkStart w:id="1264" w:name="bookmark1264"/>
      <w:bookmarkStart w:id="1265" w:name="bookmark1265"/>
      <w:bookmarkStart w:id="1266" w:name="bookmark1266"/>
      <w:r>
        <w:rPr>
          <w:color w:val="000000"/>
          <w:spacing w:val="0"/>
          <w:w w:val="100"/>
          <w:position w:val="0"/>
        </w:rPr>
        <w:t>长期借款到期日分析如下：</w:t>
      </w:r>
      <w:bookmarkEnd w:id="1264"/>
      <w:bookmarkEnd w:id="1265"/>
      <w:bookmarkEnd w:id="1266"/>
    </w:p>
    <w:tbl>
      <w:tblPr>
        <w:tblOverlap w:val="never"/>
        <w:jc w:val="right"/>
        <w:tblLayout w:type="fixed"/>
      </w:tblPr>
      <w:tblGrid>
        <w:gridCol w:w="3600"/>
        <w:gridCol w:w="4210"/>
        <w:gridCol w:w="1598"/>
      </w:tblGrid>
      <w:tr>
        <w:trPr>
          <w:trHeight w:val="75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290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272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到</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840" w:right="0" w:firstLine="0"/>
              <w:jc w:val="left"/>
              <w:rPr>
                <w:sz w:val="24"/>
                <w:szCs w:val="24"/>
              </w:rPr>
            </w:pPr>
            <w:r>
              <w:rPr>
                <w:rFonts w:ascii="Times New Roman" w:eastAsia="Times New Roman" w:hAnsi="Times New Roman" w:cs="Times New Roman"/>
                <w:color w:val="000000"/>
                <w:spacing w:val="0"/>
                <w:w w:val="100"/>
                <w:position w:val="0"/>
                <w:sz w:val="24"/>
                <w:szCs w:val="24"/>
              </w:rPr>
              <w:t>361,901,707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444,451,101</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到</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840" w:right="0" w:firstLine="0"/>
              <w:jc w:val="left"/>
              <w:rPr>
                <w:sz w:val="24"/>
                <w:szCs w:val="24"/>
              </w:rPr>
            </w:pPr>
            <w:r>
              <w:rPr>
                <w:rFonts w:ascii="Times New Roman" w:eastAsia="Times New Roman" w:hAnsi="Times New Roman" w:cs="Times New Roman"/>
                <w:color w:val="000000"/>
                <w:spacing w:val="0"/>
                <w:w w:val="100"/>
                <w:position w:val="0"/>
                <w:sz w:val="24"/>
                <w:szCs w:val="24"/>
              </w:rPr>
              <w:t>829,988,171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1,071,148,225</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年以上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840" w:right="0" w:firstLine="0"/>
              <w:jc w:val="left"/>
              <w:rPr>
                <w:sz w:val="24"/>
                <w:szCs w:val="24"/>
              </w:rPr>
            </w:pPr>
            <w:r>
              <w:rPr>
                <w:rFonts w:ascii="Times New Roman" w:eastAsia="Times New Roman" w:hAnsi="Times New Roman" w:cs="Times New Roman"/>
                <w:color w:val="000000"/>
                <w:spacing w:val="0"/>
                <w:w w:val="100"/>
                <w:position w:val="0"/>
                <w:sz w:val="24"/>
                <w:szCs w:val="24"/>
              </w:rPr>
              <w:t>643,086,366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966,460,497</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u w:val="single"/>
              </w:rPr>
              <w:t>1,834,976,244</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2,482,059,823</w:t>
            </w:r>
          </w:p>
        </w:tc>
      </w:tr>
    </w:tbl>
    <w:p>
      <w:pPr>
        <w:widowControl w:val="0"/>
        <w:spacing w:after="279" w:line="1" w:lineRule="exact"/>
      </w:pPr>
    </w:p>
    <w:p>
      <w:pPr>
        <w:pStyle w:val="Style89"/>
        <w:keepNext w:val="0"/>
        <w:keepLines w:val="0"/>
        <w:widowControl w:val="0"/>
        <w:shd w:val="clear" w:color="auto" w:fill="auto"/>
        <w:bidi w:val="0"/>
        <w:spacing w:before="0" w:line="240" w:lineRule="auto"/>
        <w:ind w:left="0" w:right="0" w:firstLine="720"/>
        <w:jc w:val="both"/>
        <w:rPr>
          <w:sz w:val="22"/>
          <w:szCs w:val="22"/>
        </w:rPr>
      </w:pPr>
      <w:r>
        <w:rPr>
          <w:rFonts w:ascii="SimSun" w:eastAsia="SimSun" w:hAnsi="SimSun" w:cs="SimSun"/>
          <w:color w:val="000000"/>
          <w:spacing w:val="0"/>
          <w:w w:val="100"/>
          <w:position w:val="0"/>
          <w:sz w:val="22"/>
          <w:szCs w:val="22"/>
          <w:u w:val="none"/>
        </w:rPr>
        <w:t>于</w:t>
      </w:r>
      <w:r>
        <w:rPr>
          <w:color w:val="000000"/>
          <w:spacing w:val="0"/>
          <w:w w:val="100"/>
          <w:position w:val="0"/>
          <w:sz w:val="24"/>
          <w:szCs w:val="24"/>
          <w:u w:val="none"/>
        </w:rPr>
        <w:t>2021</w:t>
      </w:r>
      <w:r>
        <w:rPr>
          <w:rFonts w:ascii="SimSun" w:eastAsia="SimSun" w:hAnsi="SimSun" w:cs="SimSun"/>
          <w:color w:val="000000"/>
          <w:spacing w:val="0"/>
          <w:w w:val="100"/>
          <w:position w:val="0"/>
          <w:sz w:val="22"/>
          <w:szCs w:val="22"/>
          <w:u w:val="none"/>
        </w:rPr>
        <w:t>年</w:t>
      </w:r>
      <w:r>
        <w:rPr>
          <w:color w:val="000000"/>
          <w:spacing w:val="0"/>
          <w:w w:val="100"/>
          <w:position w:val="0"/>
          <w:sz w:val="24"/>
          <w:szCs w:val="24"/>
          <w:u w:val="none"/>
        </w:rPr>
        <w:t>12</w:t>
      </w:r>
      <w:r>
        <w:rPr>
          <w:rFonts w:ascii="SimSun" w:eastAsia="SimSun" w:hAnsi="SimSun" w:cs="SimSun"/>
          <w:color w:val="000000"/>
          <w:spacing w:val="0"/>
          <w:w w:val="100"/>
          <w:position w:val="0"/>
          <w:sz w:val="22"/>
          <w:szCs w:val="22"/>
          <w:u w:val="none"/>
        </w:rPr>
        <w:t>月</w:t>
      </w:r>
      <w:r>
        <w:rPr>
          <w:color w:val="000000"/>
          <w:spacing w:val="0"/>
          <w:w w:val="100"/>
          <w:position w:val="0"/>
          <w:sz w:val="24"/>
          <w:szCs w:val="24"/>
          <w:u w:val="none"/>
        </w:rPr>
        <w:t>31</w:t>
      </w:r>
      <w:r>
        <w:rPr>
          <w:rFonts w:ascii="SimSun" w:eastAsia="SimSun" w:hAnsi="SimSun" w:cs="SimSun"/>
          <w:color w:val="000000"/>
          <w:spacing w:val="0"/>
          <w:w w:val="100"/>
          <w:position w:val="0"/>
          <w:sz w:val="22"/>
          <w:szCs w:val="22"/>
          <w:u w:val="none"/>
        </w:rPr>
        <w:t>日，长期借款的票面利率范围为</w:t>
      </w:r>
      <w:r>
        <w:rPr>
          <w:color w:val="000000"/>
          <w:spacing w:val="0"/>
          <w:w w:val="100"/>
          <w:position w:val="0"/>
          <w:sz w:val="24"/>
          <w:szCs w:val="24"/>
          <w:u w:val="none"/>
        </w:rPr>
        <w:t>0%~2.50%（2020</w:t>
      </w:r>
      <w:r>
        <w:rPr>
          <w:rFonts w:ascii="SimSun" w:eastAsia="SimSun" w:hAnsi="SimSun" w:cs="SimSun"/>
          <w:color w:val="000000"/>
          <w:spacing w:val="0"/>
          <w:w w:val="100"/>
          <w:position w:val="0"/>
          <w:sz w:val="22"/>
          <w:szCs w:val="22"/>
          <w:u w:val="none"/>
        </w:rPr>
        <w:t>年</w:t>
      </w:r>
      <w:r>
        <w:rPr>
          <w:color w:val="000000"/>
          <w:spacing w:val="0"/>
          <w:w w:val="100"/>
          <w:position w:val="0"/>
          <w:sz w:val="24"/>
          <w:szCs w:val="24"/>
          <w:u w:val="none"/>
        </w:rPr>
        <w:t>12</w:t>
      </w:r>
      <w:r>
        <w:rPr>
          <w:rFonts w:ascii="SimSun" w:eastAsia="SimSun" w:hAnsi="SimSun" w:cs="SimSun"/>
          <w:color w:val="000000"/>
          <w:spacing w:val="0"/>
          <w:w w:val="100"/>
          <w:position w:val="0"/>
          <w:sz w:val="22"/>
          <w:szCs w:val="22"/>
          <w:u w:val="none"/>
        </w:rPr>
        <w:t>月</w:t>
      </w:r>
      <w:r>
        <w:rPr>
          <w:color w:val="000000"/>
          <w:spacing w:val="0"/>
          <w:w w:val="100"/>
          <w:position w:val="0"/>
          <w:sz w:val="24"/>
          <w:szCs w:val="24"/>
          <w:u w:val="none"/>
        </w:rPr>
        <w:t>31</w:t>
      </w:r>
      <w:r>
        <w:rPr>
          <w:rFonts w:ascii="SimSun" w:eastAsia="SimSun" w:hAnsi="SimSun" w:cs="SimSun"/>
          <w:color w:val="000000"/>
          <w:spacing w:val="0"/>
          <w:w w:val="100"/>
          <w:position w:val="0"/>
          <w:sz w:val="22"/>
          <w:szCs w:val="22"/>
          <w:u w:val="none"/>
        </w:rPr>
        <w:t>日：</w:t>
      </w:r>
    </w:p>
    <w:p>
      <w:pPr>
        <w:pStyle w:val="Style97"/>
        <w:keepNext/>
        <w:keepLines/>
        <w:widowControl w:val="0"/>
        <w:shd w:val="clear" w:color="auto" w:fill="auto"/>
        <w:bidi w:val="0"/>
        <w:spacing w:before="0" w:after="280" w:line="240" w:lineRule="auto"/>
        <w:ind w:left="0" w:right="0" w:firstLine="720"/>
        <w:jc w:val="both"/>
      </w:pPr>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2.50%）</w:t>
      </w:r>
      <w:r>
        <w:rPr>
          <w:color w:val="000000"/>
          <w:spacing w:val="0"/>
          <w:w w:val="100"/>
          <w:position w:val="0"/>
        </w:rPr>
        <w:t>。其中，零利率的借款来自经中国银行转贷的外国政府无息借款。</w:t>
      </w:r>
      <w:bookmarkEnd w:id="1267"/>
      <w:bookmarkEnd w:id="1268"/>
      <w:bookmarkEnd w:id="1269"/>
    </w:p>
    <w:p>
      <w:pPr>
        <w:pStyle w:val="Style97"/>
        <w:keepNext/>
        <w:keepLines/>
        <w:widowControl w:val="0"/>
        <w:shd w:val="clear" w:color="auto" w:fill="auto"/>
        <w:bidi w:val="0"/>
        <w:spacing w:before="0" w:after="280" w:line="240" w:lineRule="auto"/>
        <w:ind w:left="0" w:right="0" w:firstLine="720"/>
        <w:jc w:val="both"/>
      </w:pPr>
      <w:bookmarkStart w:id="1270" w:name="bookmark1270"/>
      <w:bookmarkStart w:id="1271" w:name="bookmark1271"/>
      <w:bookmarkStart w:id="1272" w:name="bookmark1272"/>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日，本集团无已到期但尚未偿还的长期借款</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bookmarkEnd w:id="1270"/>
      <w:bookmarkEnd w:id="1271"/>
      <w:bookmarkEnd w:id="1272"/>
    </w:p>
    <w:p>
      <w:pPr>
        <w:pStyle w:val="Style97"/>
        <w:keepNext/>
        <w:keepLines/>
        <w:widowControl w:val="0"/>
        <w:shd w:val="clear" w:color="auto" w:fill="auto"/>
        <w:bidi w:val="0"/>
        <w:spacing w:before="0" w:after="40" w:line="240" w:lineRule="auto"/>
        <w:ind w:left="0" w:right="0" w:firstLine="0"/>
        <w:jc w:val="left"/>
      </w:pPr>
      <w:bookmarkStart w:id="1273" w:name="bookmark1273"/>
      <w:bookmarkStart w:id="1274" w:name="bookmark1274"/>
      <w:bookmarkStart w:id="1275" w:name="bookmark1275"/>
      <w:r>
        <w:rPr>
          <w:color w:val="000000"/>
          <w:spacing w:val="0"/>
          <w:w w:val="100"/>
          <w:position w:val="0"/>
        </w:rPr>
        <w:t>财务报表附注</w:t>
      </w:r>
      <w:bookmarkEnd w:id="1273"/>
      <w:bookmarkEnd w:id="1274"/>
      <w:bookmarkEnd w:id="1275"/>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276"/>
      <w:bookmarkEnd w:id="1277"/>
      <w:bookmarkEnd w:id="1278"/>
    </w:p>
    <w:p>
      <w:pPr>
        <w:pStyle w:val="Style97"/>
        <w:keepNext/>
        <w:keepLines/>
        <w:widowControl w:val="0"/>
        <w:shd w:val="clear" w:color="auto" w:fill="auto"/>
        <w:tabs>
          <w:tab w:pos="696" w:val="left"/>
        </w:tabs>
        <w:bidi w:val="0"/>
        <w:spacing w:before="0" w:after="300" w:line="240" w:lineRule="auto"/>
        <w:ind w:left="0" w:right="0" w:firstLine="0"/>
        <w:jc w:val="left"/>
      </w:pPr>
      <w:bookmarkStart w:id="1279" w:name="bookmark1279"/>
      <w:bookmarkStart w:id="1280" w:name="bookmark1280"/>
      <w:bookmarkStart w:id="1281" w:name="bookmark1281"/>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279"/>
      <w:bookmarkEnd w:id="1280"/>
      <w:bookmarkEnd w:id="1281"/>
    </w:p>
    <w:p>
      <w:pPr>
        <w:pStyle w:val="Style97"/>
        <w:keepNext/>
        <w:keepLines/>
        <w:widowControl w:val="0"/>
        <w:shd w:val="clear" w:color="auto" w:fill="auto"/>
        <w:tabs>
          <w:tab w:pos="696" w:val="left"/>
        </w:tabs>
        <w:bidi w:val="0"/>
        <w:spacing w:before="0" w:after="30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sz w:val="24"/>
          <w:szCs w:val="24"/>
        </w:rPr>
        <w:t>2</w:t>
      </w:r>
      <w:bookmarkEnd w:id="1284"/>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应付债券</w:t>
      </w:r>
      <w:bookmarkEnd w:id="1282"/>
      <w:bookmarkEnd w:id="1283"/>
      <w:bookmarkEnd w:id="1285"/>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应付债券</w:t>
      </w:r>
    </w:p>
    <w:tbl>
      <w:tblPr>
        <w:tblOverlap w:val="never"/>
        <w:jc w:val="right"/>
        <w:tblLayout w:type="fixed"/>
      </w:tblPr>
      <w:tblGrid>
        <w:gridCol w:w="3648"/>
        <w:gridCol w:w="2011"/>
        <w:gridCol w:w="2074"/>
        <w:gridCol w:w="1675"/>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年第一期公司债券品种二</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1,019,362,221</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年第一期公司债券</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2,038,974,112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2,038,614,459</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年第一期中期票据</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1,003,568,899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1,002,647,531</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3,042,543,011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4,060,624,211</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减：一年内到期的应付债券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(24)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3,042,543,011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1,063,157,564</w:t>
            </w:r>
          </w:p>
        </w:tc>
      </w:tr>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2,997,466,647</w:t>
            </w:r>
          </w:p>
        </w:tc>
      </w:tr>
    </w:tbl>
    <w:p>
      <w:pPr>
        <w:sectPr>
          <w:footnotePr>
            <w:pos w:val="pageBottom"/>
            <w:numFmt w:val="decimal"/>
            <w:numRestart w:val="continuous"/>
          </w:footnotePr>
          <w:pgSz w:w="11900" w:h="16840"/>
          <w:pgMar w:top="1599" w:right="727" w:bottom="3495" w:left="967" w:header="0" w:footer="3" w:gutter="0"/>
          <w:cols w:space="720"/>
          <w:noEndnote/>
          <w:rtlGutter w:val="0"/>
          <w:docGrid w:linePitch="360"/>
        </w:sectPr>
      </w:pP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6" w:val="left"/>
        </w:tabs>
        <w:bidi w:val="0"/>
        <w:spacing w:before="0" w:after="28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6" w:val="left"/>
        </w:tabs>
        <w:bidi w:val="0"/>
        <w:spacing w:before="0" w:after="28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2"/>
          <w:szCs w:val="22"/>
        </w:rPr>
        <w:t>、</w:t>
        <w:tab/>
        <w:t>应付债券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240" w:lineRule="auto"/>
        <w:ind w:left="0" w:right="0" w:firstLine="72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中期票据及公司债券的增减变动</w:t>
      </w:r>
    </w:p>
    <w:tbl>
      <w:tblPr>
        <w:tblOverlap w:val="never"/>
        <w:jc w:val="center"/>
        <w:tblLayout w:type="fixed"/>
      </w:tblPr>
      <w:tblGrid>
        <w:gridCol w:w="2525"/>
        <w:gridCol w:w="653"/>
        <w:gridCol w:w="1046"/>
        <w:gridCol w:w="984"/>
        <w:gridCol w:w="984"/>
        <w:gridCol w:w="1286"/>
        <w:gridCol w:w="1296"/>
        <w:gridCol w:w="989"/>
        <w:gridCol w:w="1162"/>
        <w:gridCol w:w="1253"/>
        <w:gridCol w:w="1354"/>
        <w:gridCol w:w="1190"/>
      </w:tblGrid>
      <w:tr>
        <w:trPr>
          <w:trHeight w:val="5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债券名称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8"/>
                <w:szCs w:val="18"/>
                <w:u w:val="single"/>
              </w:rPr>
              <w:t>注</w:t>
            </w:r>
            <w:r>
              <w:rPr>
                <w:rFonts w:ascii="Times New Roman" w:eastAsia="Times New Roman" w:hAnsi="Times New Roman" w:cs="Times New Roman"/>
                <w:color w:val="000000"/>
                <w:spacing w:val="0"/>
                <w:w w:val="100"/>
                <w:position w:val="0"/>
                <w:sz w:val="18"/>
                <w:szCs w:val="18"/>
                <w:u w:val="single"/>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面值</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发行日期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债券期限</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票面利率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发行金额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年初余额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本年发行</w:t>
            </w:r>
          </w:p>
        </w:tc>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按面值 </w:t>
            </w:r>
            <w:r>
              <w:rPr>
                <w:color w:val="000000"/>
                <w:spacing w:val="0"/>
                <w:w w:val="100"/>
                <w:position w:val="0"/>
                <w:sz w:val="18"/>
                <w:szCs w:val="18"/>
                <w:u w:val="single"/>
              </w:rPr>
              <w:t>计提利息</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折溢价摊销</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u w:val="single"/>
              </w:rPr>
              <w:t>本年偿还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u w:val="single"/>
              </w:rPr>
              <w:t>年末余额</w:t>
            </w:r>
          </w:p>
        </w:tc>
      </w:tr>
      <w:tr>
        <w:trPr>
          <w:trHeight w:val="58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年第一期公司债券品种二</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1,019,362,221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14,752,604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185,175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1,034,300,000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年第一期公司债券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2,038,614,459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73,198,904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560,749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73,400,000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2,038,974,112</w:t>
            </w:r>
          </w:p>
        </w:tc>
      </w:tr>
      <w:tr>
        <w:trPr>
          <w:trHeight w:val="46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年第一期中期票据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1,002,647,531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33,807,123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1,014,245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33,900,000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1,003,568,899</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4,060,624,211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121,758,631</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1,760,169</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1,141,600,000</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3,042,543,011</w:t>
            </w:r>
          </w:p>
        </w:tc>
      </w:tr>
    </w:tbl>
    <w:p>
      <w:pPr>
        <w:widowControl w:val="0"/>
        <w:spacing w:after="279" w:line="1" w:lineRule="exact"/>
      </w:pPr>
    </w:p>
    <w:p>
      <w:pPr>
        <w:pStyle w:val="Style5"/>
        <w:keepNext w:val="0"/>
        <w:keepLines w:val="0"/>
        <w:widowControl w:val="0"/>
        <w:shd w:val="clear" w:color="auto" w:fill="auto"/>
        <w:bidi w:val="0"/>
        <w:spacing w:before="0" w:after="280" w:line="240" w:lineRule="auto"/>
        <w:ind w:left="0" w:right="0" w:firstLine="720"/>
        <w:jc w:val="left"/>
        <w:rPr>
          <w:sz w:val="22"/>
          <w:szCs w:val="22"/>
        </w:rPr>
        <w:sectPr>
          <w:footnotePr>
            <w:pos w:val="pageBottom"/>
            <w:numFmt w:val="decimal"/>
            <w:numRestart w:val="continuous"/>
          </w:footnotePr>
          <w:pgSz w:w="16840" w:h="11900" w:orient="landscape"/>
          <w:pgMar w:top="1596" w:right="543" w:bottom="1596" w:left="841" w:header="0" w:footer="3" w:gutter="0"/>
          <w:cols w:space="720"/>
          <w:noEndnote/>
          <w:rtlGutter w:val="0"/>
          <w:docGrid w:linePitch="360"/>
        </w:sect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：中期票据及公司债券均为本公司所属联通运营公司发行，且均为单利按年计息，每年付息一次。</w:t>
      </w:r>
    </w:p>
    <w:p>
      <w:pPr>
        <w:pStyle w:val="Style97"/>
        <w:keepNext/>
        <w:keepLines/>
        <w:widowControl w:val="0"/>
        <w:shd w:val="clear" w:color="auto" w:fill="auto"/>
        <w:bidi w:val="0"/>
        <w:spacing w:before="0" w:after="40" w:line="240" w:lineRule="auto"/>
        <w:ind w:left="0" w:right="0" w:firstLine="0"/>
        <w:jc w:val="left"/>
      </w:pPr>
      <w:bookmarkStart w:id="1286" w:name="bookmark1286"/>
      <w:bookmarkStart w:id="1287" w:name="bookmark1287"/>
      <w:bookmarkStart w:id="1288" w:name="bookmark1288"/>
      <w:r>
        <w:rPr>
          <w:color w:val="000000"/>
          <w:spacing w:val="0"/>
          <w:w w:val="100"/>
          <w:position w:val="0"/>
        </w:rPr>
        <w:t>财务报表附注</w:t>
      </w:r>
      <w:bookmarkEnd w:id="1286"/>
      <w:bookmarkEnd w:id="1287"/>
      <w:bookmarkEnd w:id="1288"/>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289"/>
      <w:bookmarkEnd w:id="1290"/>
      <w:bookmarkEnd w:id="1291"/>
    </w:p>
    <w:p>
      <w:pPr>
        <w:pStyle w:val="Style97"/>
        <w:keepNext/>
        <w:keepLines/>
        <w:widowControl w:val="0"/>
        <w:shd w:val="clear" w:color="auto" w:fill="auto"/>
        <w:tabs>
          <w:tab w:pos="672" w:val="left"/>
        </w:tabs>
        <w:bidi w:val="0"/>
        <w:spacing w:before="0" w:after="280" w:line="240" w:lineRule="auto"/>
        <w:ind w:left="0" w:right="0" w:firstLine="0"/>
        <w:jc w:val="left"/>
      </w:pPr>
      <w:bookmarkStart w:id="1292" w:name="bookmark1292"/>
      <w:bookmarkStart w:id="1293" w:name="bookmark1293"/>
      <w:bookmarkStart w:id="1294" w:name="bookmark1294"/>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292"/>
      <w:bookmarkEnd w:id="1293"/>
      <w:bookmarkEnd w:id="1294"/>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 长期应付职工薪酬</w:t>
      </w:r>
    </w:p>
    <w:tbl>
      <w:tblPr>
        <w:tblOverlap w:val="never"/>
        <w:jc w:val="center"/>
        <w:tblLayout w:type="fixed"/>
      </w:tblPr>
      <w:tblGrid>
        <w:gridCol w:w="3509"/>
        <w:gridCol w:w="1733"/>
        <w:gridCol w:w="1675"/>
        <w:gridCol w:w="1651"/>
        <w:gridCol w:w="1579"/>
      </w:tblGrid>
      <w:tr>
        <w:trPr>
          <w:trHeight w:val="744" w:hRule="exact"/>
        </w:trPr>
        <w:tc>
          <w:tcPr>
            <w:gridSpan w:val="2"/>
            <w:tcBorders/>
            <w:shd w:val="clear" w:color="auto" w:fill="FFFFFF"/>
            <w:vAlign w:val="top"/>
          </w:tcPr>
          <w:p>
            <w:pPr>
              <w:widowControl w:val="0"/>
              <w:rPr>
                <w:sz w:val="10"/>
                <w:szCs w:val="10"/>
              </w:rPr>
            </w:pP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206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188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应付内退员工补偿费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1,270,000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1,716,999</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应付离退休后补充福利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98,600,000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73,781,447</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99,870,000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75,498,446</w:t>
            </w:r>
          </w:p>
        </w:tc>
      </w:tr>
      <w:tr>
        <w:trPr>
          <w:trHeight w:val="322"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减：应付内退员工补偿费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流动部分</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480,000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696,736</w:t>
            </w:r>
          </w:p>
        </w:tc>
      </w:tr>
      <w:tr>
        <w:trPr>
          <w:trHeight w:val="312"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2"/>
                <w:szCs w:val="22"/>
              </w:rPr>
              <w:t>应付离退休后补充福利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流动部分</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3,420,000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3,305,404</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3,900,000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4,002,140</w:t>
            </w: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95,970,000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71,496,306</w:t>
            </w:r>
          </w:p>
        </w:tc>
      </w:tr>
      <w:tr>
        <w:trPr>
          <w:trHeight w:val="600" w:hRule="exact"/>
        </w:trPr>
        <w:tc>
          <w:tcPr>
            <w:tcBorders/>
            <w:shd w:val="clear" w:color="auto" w:fill="FFFFFF"/>
            <w:vAlign w:val="center"/>
          </w:tcPr>
          <w:p>
            <w:pPr>
              <w:pStyle w:val="Style22"/>
              <w:keepNext w:val="0"/>
              <w:keepLines w:val="0"/>
              <w:widowControl w:val="0"/>
              <w:shd w:val="clear" w:color="auto" w:fill="auto"/>
              <w:tabs>
                <w:tab w:pos="701"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2"/>
                <w:szCs w:val="22"/>
              </w:rPr>
              <w:t>、</w:t>
              <w:tab/>
              <w:t>递延收益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0" w:hRule="exact"/>
        </w:trPr>
        <w:tc>
          <w:tcPr>
            <w:tcBorders/>
            <w:shd w:val="clear" w:color="auto" w:fill="FFFFFF"/>
            <w:vAlign w:val="center"/>
          </w:tcPr>
          <w:p>
            <w:pPr>
              <w:pStyle w:val="Style22"/>
              <w:keepNext w:val="0"/>
              <w:keepLines w:val="0"/>
              <w:widowControl w:val="0"/>
              <w:shd w:val="clear" w:color="auto" w:fill="auto"/>
              <w:tabs>
                <w:tab w:pos="3040" w:val="left"/>
              </w:tabs>
              <w:bidi w:val="0"/>
              <w:spacing w:before="0" w:after="0" w:line="240" w:lineRule="auto"/>
              <w:ind w:left="0" w:right="0" w:firstLine="760"/>
              <w:jc w:val="left"/>
              <w:rPr>
                <w:sz w:val="22"/>
                <w:szCs w:val="22"/>
              </w:rPr>
            </w:pPr>
            <w:r>
              <w:rPr>
                <w:color w:val="000000"/>
                <w:spacing w:val="0"/>
                <w:w w:val="100"/>
                <w:position w:val="0"/>
                <w:sz w:val="22"/>
                <w:szCs w:val="22"/>
                <w:u w:val="single"/>
              </w:rPr>
              <w:t>项目</w:t>
            </w:r>
            <w:r>
              <w:rPr>
                <w:color w:val="000000"/>
                <w:spacing w:val="0"/>
                <w:w w:val="100"/>
                <w:position w:val="0"/>
                <w:sz w:val="22"/>
                <w:szCs w:val="22"/>
              </w:rPr>
              <w:tab/>
              <w:t>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u w:val="single"/>
              </w:rPr>
              <w:t>年初余额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u w:val="single"/>
              </w:rPr>
              <w:t>本年增加</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u w:val="single"/>
              </w:rPr>
              <w:t>本年减少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u w:val="single"/>
              </w:rPr>
              <w:t>年末余额</w:t>
            </w:r>
          </w:p>
        </w:tc>
      </w:tr>
      <w:tr>
        <w:trPr>
          <w:trHeight w:val="461" w:hRule="exact"/>
        </w:trPr>
        <w:tc>
          <w:tcPr>
            <w:tcBorders/>
            <w:shd w:val="clear" w:color="auto" w:fill="FFFFFF"/>
            <w:vAlign w:val="bottom"/>
          </w:tcPr>
          <w:p>
            <w:pPr>
              <w:pStyle w:val="Style22"/>
              <w:keepNext w:val="0"/>
              <w:keepLines w:val="0"/>
              <w:widowControl w:val="0"/>
              <w:shd w:val="clear" w:color="auto" w:fill="auto"/>
              <w:tabs>
                <w:tab w:pos="3035" w:val="left"/>
              </w:tabs>
              <w:bidi w:val="0"/>
              <w:spacing w:before="0" w:after="0" w:line="240" w:lineRule="auto"/>
              <w:ind w:left="0" w:right="0" w:firstLine="760"/>
              <w:jc w:val="left"/>
              <w:rPr>
                <w:sz w:val="24"/>
                <w:szCs w:val="24"/>
              </w:rPr>
            </w:pPr>
            <w:r>
              <w:rPr>
                <w:color w:val="000000"/>
                <w:spacing w:val="0"/>
                <w:w w:val="100"/>
                <w:position w:val="0"/>
                <w:sz w:val="22"/>
                <w:szCs w:val="22"/>
              </w:rPr>
              <w:t>政府补助</w:t>
              <w:tab/>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3,741,445,725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937,239,665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720,587,999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3,958,097,391</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与资产相关</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3,332,336,034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590,783,244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433,977,160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3,489,142,118</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与收益相关</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409,109,691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346,456,421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286,610,839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468,955,273</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2,185,447,525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1,794,687,756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987,214,179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2,992,921,102</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5,926,893,250</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2,731,927,421</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1,707,802,178</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6,951,018,493</w:t>
            </w:r>
          </w:p>
        </w:tc>
      </w:tr>
    </w:tbl>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6" w:val="left"/>
        </w:tabs>
        <w:bidi w:val="0"/>
        <w:spacing w:before="0" w:after="30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6" w:val="left"/>
        </w:tabs>
        <w:bidi w:val="0"/>
        <w:spacing w:before="0" w:after="300" w:line="240" w:lineRule="auto"/>
        <w:ind w:left="0" w:right="0" w:firstLine="0"/>
        <w:jc w:val="left"/>
        <w:rPr>
          <w:sz w:val="22"/>
          <w:szCs w:val="22"/>
        </w:rPr>
      </w:pPr>
      <w:bookmarkStart w:id="1295" w:name="bookmark1295"/>
      <w:r>
        <w:rPr>
          <w:rFonts w:ascii="Times New Roman" w:eastAsia="Times New Roman" w:hAnsi="Times New Roman" w:cs="Times New Roman"/>
          <w:color w:val="000000"/>
          <w:spacing w:val="0"/>
          <w:w w:val="100"/>
          <w:position w:val="0"/>
          <w:sz w:val="24"/>
          <w:szCs w:val="24"/>
        </w:rPr>
        <w:t>2</w:t>
      </w:r>
      <w:bookmarkEnd w:id="1295"/>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tab/>
        <w:t>递延收益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2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政府补助</w:t>
      </w:r>
    </w:p>
    <w:p>
      <w:pPr>
        <w:pStyle w:val="Style5"/>
        <w:keepNext w:val="0"/>
        <w:keepLines w:val="0"/>
        <w:widowControl w:val="0"/>
        <w:shd w:val="clear" w:color="auto" w:fill="auto"/>
        <w:bidi w:val="0"/>
        <w:spacing w:before="0" w:after="300" w:line="240" w:lineRule="auto"/>
        <w:ind w:left="0" w:right="0" w:firstLine="72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与资产相关的政府补助</w:t>
      </w:r>
    </w:p>
    <w:tbl>
      <w:tblPr>
        <w:tblOverlap w:val="never"/>
        <w:jc w:val="right"/>
        <w:tblLayout w:type="fixed"/>
      </w:tblPr>
      <w:tblGrid>
        <w:gridCol w:w="2587"/>
        <w:gridCol w:w="1483"/>
        <w:gridCol w:w="1382"/>
        <w:gridCol w:w="1354"/>
        <w:gridCol w:w="1301"/>
        <w:gridCol w:w="1306"/>
      </w:tblGrid>
      <w:tr>
        <w:trPr>
          <w:trHeight w:val="63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补助项目</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递延收益</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u w:val="single"/>
              </w:rPr>
              <w:t>年初余额</w:t>
            </w:r>
          </w:p>
        </w:tc>
        <w:tc>
          <w:tcPr>
            <w:tcBorders/>
            <w:shd w:val="clear" w:color="auto" w:fill="FFFFFF"/>
            <w:vAlign w:val="top"/>
          </w:tcPr>
          <w:p>
            <w:pPr>
              <w:pStyle w:val="Style22"/>
              <w:keepNext w:val="0"/>
              <w:keepLines w:val="0"/>
              <w:widowControl w:val="0"/>
              <w:shd w:val="clear" w:color="auto" w:fill="auto"/>
              <w:bidi w:val="0"/>
              <w:spacing w:before="0" w:after="0" w:line="240" w:lineRule="exact"/>
              <w:ind w:left="160" w:right="0" w:firstLine="20"/>
              <w:jc w:val="left"/>
            </w:pPr>
            <w:r>
              <w:rPr>
                <w:color w:val="000000"/>
                <w:spacing w:val="0"/>
                <w:w w:val="100"/>
                <w:position w:val="0"/>
              </w:rPr>
              <w:t>本年新增 补助金额</w:t>
            </w:r>
          </w:p>
        </w:tc>
        <w:tc>
          <w:tcPr>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 xml:space="preserve">冲减 </w:t>
            </w:r>
            <w:r>
              <w:rPr>
                <w:color w:val="000000"/>
                <w:spacing w:val="0"/>
                <w:w w:val="100"/>
                <w:position w:val="0"/>
                <w:u w:val="single"/>
              </w:rPr>
              <w:t>财务费用</w:t>
            </w:r>
          </w:p>
        </w:tc>
        <w:tc>
          <w:tcPr>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计入 其他收益</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240"/>
              <w:jc w:val="left"/>
            </w:pPr>
            <w:r>
              <w:rPr>
                <w:color w:val="000000"/>
                <w:spacing w:val="0"/>
                <w:w w:val="100"/>
                <w:position w:val="0"/>
              </w:rPr>
              <w:t>递延收益</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u w:val="single"/>
              </w:rPr>
              <w:t>年末余额</w:t>
            </w:r>
          </w:p>
        </w:tc>
      </w:tr>
      <w:tr>
        <w:trPr>
          <w:trHeight w:val="64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政策性优惠贷款贴息</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r>
              <w:rPr>
                <w:color w:val="000000"/>
                <w:spacing w:val="0"/>
                <w:w w:val="100"/>
                <w:position w:val="0"/>
              </w:rPr>
              <w:t>规模组网建设及应用示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606,522,204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84,074,238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522,447,966</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范工程项目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197,900,155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105,959,519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32,132,979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271,726,695</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电信普遍服务项目建设补助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1,721,852,854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247,548,548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199,473,324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1,769,928,078</w:t>
            </w:r>
          </w:p>
        </w:tc>
      </w:tr>
      <w:tr>
        <w:trPr>
          <w:trHeight w:val="518" w:hRule="exact"/>
        </w:trPr>
        <w:tc>
          <w:tcPr>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骨干直联点项目政府补贴 下一代互联网试商用专项网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143,805,771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77,608,845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28,763,925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192,650,691</w:t>
            </w:r>
          </w:p>
        </w:tc>
      </w:tr>
      <w:tr>
        <w:trPr>
          <w:trHeight w:val="50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络改造工程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四川省中小城市基础网络完</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46,759,125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20,101,319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81,657,806</w:t>
            </w:r>
          </w:p>
        </w:tc>
      </w:tr>
      <w:tr>
        <w:trPr>
          <w:trHeight w:val="533" w:hRule="exact"/>
        </w:trPr>
        <w:tc>
          <w:tcPr>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220"/>
              <w:jc w:val="both"/>
            </w:pPr>
            <w:r>
              <w:rPr>
                <w:color w:val="000000"/>
                <w:spacing w:val="0"/>
                <w:w w:val="100"/>
                <w:position w:val="0"/>
              </w:rPr>
              <w:t>善工程中央财政补助资金 西咸新区沣西新城联通数据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58,320,093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1,629,752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56,690,341</w:t>
            </w:r>
          </w:p>
        </w:tc>
      </w:tr>
      <w:tr>
        <w:trPr>
          <w:trHeight w:val="5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中心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海南省各市县政府补助移动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38,917,820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38,917,820</w:t>
            </w:r>
          </w:p>
        </w:tc>
      </w:tr>
      <w:tr>
        <w:trPr>
          <w:trHeight w:val="518" w:hRule="exact"/>
        </w:trPr>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通信项目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河南省网络基础设施建设补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19,077,522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10,309,420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4,940,653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24,446,289</w:t>
            </w:r>
          </w:p>
        </w:tc>
      </w:tr>
      <w:tr>
        <w:trPr>
          <w:trHeight w:val="5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四川省信息通信扶贫攻坚建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16,330,090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4,097,870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12,232,220</w:t>
            </w:r>
          </w:p>
        </w:tc>
      </w:tr>
      <w:tr>
        <w:trPr>
          <w:trHeight w:val="518" w:hRule="exact"/>
        </w:trPr>
        <w:tc>
          <w:tcPr>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220"/>
              <w:jc w:val="left"/>
            </w:pPr>
            <w:r>
              <w:rPr>
                <w:color w:val="000000"/>
                <w:spacing w:val="0"/>
                <w:w w:val="100"/>
                <w:position w:val="0"/>
              </w:rPr>
              <w:t>设补贴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深圳市大众创业万众创新示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22,766,687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11,087,170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11,679,517</w:t>
            </w:r>
          </w:p>
        </w:tc>
      </w:tr>
      <w:tr>
        <w:trPr>
          <w:trHeight w:val="50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范基地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中国联通广东光纤宽带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21,079,136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1,946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8,874,708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12,206,374</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网络电商化系统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7,250,000</w:t>
            </w:r>
          </w:p>
        </w:tc>
      </w:tr>
      <w:tr>
        <w:trPr>
          <w:trHeight w:val="5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数字阅读基地项目建设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r>
              <w:rPr>
                <w:rFonts w:ascii="Times New Roman" w:eastAsia="Times New Roman" w:hAnsi="Times New Roman" w:cs="Times New Roman"/>
                <w:color w:val="000000"/>
                <w:spacing w:val="0"/>
                <w:w w:val="100"/>
                <w:position w:val="0"/>
              </w:rPr>
              <w:t>(</w:t>
            </w:r>
            <w:r>
              <w:rPr>
                <w:color w:val="000000"/>
                <w:spacing w:val="0"/>
                <w:w w:val="100"/>
                <w:position w:val="0"/>
              </w:rPr>
              <w:t>哈尔滨</w:t>
            </w:r>
            <w:r>
              <w:rPr>
                <w:rFonts w:ascii="Times New Roman" w:eastAsia="Times New Roman" w:hAnsi="Times New Roman" w:cs="Times New Roman"/>
                <w:color w:val="000000"/>
                <w:spacing w:val="0"/>
                <w:w w:val="100"/>
                <w:position w:val="0"/>
              </w:rPr>
              <w:t>)</w:t>
            </w:r>
            <w:r>
              <w:rPr>
                <w:color w:val="000000"/>
                <w:spacing w:val="0"/>
                <w:w w:val="100"/>
                <w:position w:val="0"/>
              </w:rPr>
              <w:t>数据中心</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11,250,008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2,083,320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21,666,688</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项目园区厂房建设补贴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16,999,900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578,400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16,421,500</w:t>
            </w:r>
          </w:p>
        </w:tc>
      </w:tr>
      <w:tr>
        <w:trPr>
          <w:trHeight w:val="2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392,263,794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90,095,841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33,139,502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449,220,133</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3,332,336,034</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590,783,244</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84,074,238</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349,902,922</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3,489,142,118</w:t>
            </w:r>
          </w:p>
        </w:tc>
      </w:tr>
    </w:tbl>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8" w:val="left"/>
        </w:tabs>
        <w:bidi w:val="0"/>
        <w:spacing w:before="0" w:after="280" w:line="240" w:lineRule="auto"/>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8" w:val="left"/>
        </w:tabs>
        <w:bidi w:val="0"/>
        <w:spacing w:before="0" w:after="28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2"/>
          <w:szCs w:val="22"/>
        </w:rPr>
        <w:t>、</w:t>
        <w:tab/>
        <w:t>递延收益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240"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政府补助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25"/>
        </w:numPr>
        <w:shd w:val="clear" w:color="auto" w:fill="auto"/>
        <w:bidi w:val="0"/>
        <w:spacing w:before="0" w:after="280" w:line="240" w:lineRule="auto"/>
        <w:ind w:left="0" w:right="0" w:firstLine="720"/>
        <w:jc w:val="both"/>
        <w:rPr>
          <w:sz w:val="22"/>
          <w:szCs w:val="22"/>
        </w:rPr>
      </w:pPr>
      <w:bookmarkStart w:id="1296" w:name="bookmark1296"/>
      <w:bookmarkEnd w:id="1296"/>
      <w:r>
        <w:rPr>
          <w:color w:val="000000"/>
          <w:spacing w:val="0"/>
          <w:w w:val="100"/>
          <w:position w:val="0"/>
          <w:sz w:val="22"/>
          <w:szCs w:val="22"/>
        </w:rPr>
        <w:t>与收益相关的政府补助</w:t>
      </w:r>
    </w:p>
    <w:tbl>
      <w:tblPr>
        <w:tblOverlap w:val="never"/>
        <w:jc w:val="right"/>
        <w:tblLayout w:type="fixed"/>
      </w:tblPr>
      <w:tblGrid>
        <w:gridCol w:w="2914"/>
        <w:gridCol w:w="1368"/>
        <w:gridCol w:w="1286"/>
        <w:gridCol w:w="1339"/>
        <w:gridCol w:w="1320"/>
        <w:gridCol w:w="1186"/>
      </w:tblGrid>
      <w:tr>
        <w:trPr>
          <w:trHeight w:val="61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u w:val="single"/>
              </w:rPr>
              <w:t>补助项目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递延收益</w:t>
            </w:r>
          </w:p>
          <w:p>
            <w:pPr>
              <w:pStyle w:val="Style2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u w:val="single"/>
              </w:rPr>
              <w:t>年初余额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本年新增</w:t>
            </w:r>
          </w:p>
          <w:p>
            <w:pPr>
              <w:pStyle w:val="Style2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u w:val="single"/>
              </w:rPr>
              <w:t>补助金额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计入</w:t>
            </w:r>
          </w:p>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u w:val="single"/>
              </w:rPr>
              <w:t>营业外收入</w:t>
            </w:r>
          </w:p>
        </w:tc>
        <w:tc>
          <w:tcPr>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计入 其他收益</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递延收益</w:t>
            </w:r>
          </w:p>
          <w:p>
            <w:pPr>
              <w:pStyle w:val="Style2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u w:val="single"/>
              </w:rPr>
              <w:t>年末余额</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稳岗补贴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38,528,230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16,456,149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9"/>
                <w:szCs w:val="19"/>
              </w:rPr>
            </w:pPr>
            <w:r>
              <w:rPr>
                <w:rFonts w:ascii="Times New Roman" w:eastAsia="Times New Roman" w:hAnsi="Times New Roman" w:cs="Times New Roman"/>
                <w:color w:val="000000"/>
                <w:spacing w:val="0"/>
                <w:w w:val="100"/>
                <w:position w:val="0"/>
                <w:sz w:val="19"/>
                <w:szCs w:val="19"/>
              </w:rPr>
              <w:t>25,487,769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29,496,610</w:t>
            </w:r>
          </w:p>
        </w:tc>
      </w:tr>
      <w:tr>
        <w:trPr>
          <w:trHeight w:val="490" w:hRule="exact"/>
        </w:trPr>
        <w:tc>
          <w:tcPr>
            <w:tcBorders/>
            <w:shd w:val="clear" w:color="auto" w:fill="FFFFFF"/>
            <w:vAlign w:val="top"/>
          </w:tcPr>
          <w:p>
            <w:pPr>
              <w:pStyle w:val="Style22"/>
              <w:keepNext w:val="0"/>
              <w:keepLines w:val="0"/>
              <w:widowControl w:val="0"/>
              <w:shd w:val="clear" w:color="auto" w:fill="auto"/>
              <w:bidi w:val="0"/>
              <w:spacing w:before="0" w:after="0" w:line="250" w:lineRule="exact"/>
              <w:ind w:left="200" w:right="0" w:hanging="200"/>
              <w:jc w:val="left"/>
              <w:rPr>
                <w:sz w:val="19"/>
                <w:szCs w:val="19"/>
              </w:rPr>
            </w:pPr>
            <w:r>
              <w:rPr>
                <w:color w:val="000000"/>
                <w:spacing w:val="0"/>
                <w:w w:val="100"/>
                <w:position w:val="0"/>
                <w:sz w:val="19"/>
                <w:szCs w:val="19"/>
              </w:rPr>
              <w:t>国家工程实验室</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南京</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大数据创 新研究院项目开发及运营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5,000,000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3,464,785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1,535,215</w:t>
            </w:r>
          </w:p>
        </w:tc>
      </w:tr>
      <w:tr>
        <w:trPr>
          <w:trHeight w:val="490" w:hRule="exact"/>
        </w:trPr>
        <w:tc>
          <w:tcPr>
            <w:tcBorders/>
            <w:shd w:val="clear" w:color="auto" w:fill="FFFFFF"/>
            <w:vAlign w:val="bottom"/>
          </w:tcPr>
          <w:p>
            <w:pPr>
              <w:pStyle w:val="Style22"/>
              <w:keepNext w:val="0"/>
              <w:keepLines w:val="0"/>
              <w:widowControl w:val="0"/>
              <w:shd w:val="clear" w:color="auto" w:fill="auto"/>
              <w:bidi w:val="0"/>
              <w:spacing w:before="0" w:after="0" w:line="245" w:lineRule="exact"/>
              <w:ind w:left="200" w:right="0" w:hanging="200"/>
              <w:jc w:val="left"/>
              <w:rPr>
                <w:sz w:val="19"/>
                <w:szCs w:val="19"/>
              </w:rPr>
            </w:pPr>
            <w:r>
              <w:rPr>
                <w:color w:val="000000"/>
                <w:spacing w:val="0"/>
                <w:w w:val="100"/>
                <w:position w:val="0"/>
                <w:sz w:val="19"/>
                <w:szCs w:val="19"/>
              </w:rPr>
              <w:t>面向冬奥的高效、智能车联网技 术研究及示范项目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715,000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9"/>
                <w:szCs w:val="19"/>
              </w:rPr>
            </w:pPr>
            <w:r>
              <w:rPr>
                <w:rFonts w:ascii="Times New Roman" w:eastAsia="Times New Roman" w:hAnsi="Times New Roman" w:cs="Times New Roman"/>
                <w:color w:val="000000"/>
                <w:spacing w:val="0"/>
                <w:w w:val="100"/>
                <w:position w:val="0"/>
                <w:sz w:val="19"/>
                <w:szCs w:val="19"/>
              </w:rPr>
              <w:t>715,000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移动互联网</w:t>
            </w:r>
            <w:r>
              <w:rPr>
                <w:rFonts w:ascii="Times New Roman" w:eastAsia="Times New Roman" w:hAnsi="Times New Roman" w:cs="Times New Roman"/>
                <w:color w:val="000000"/>
                <w:spacing w:val="0"/>
                <w:w w:val="100"/>
                <w:position w:val="0"/>
                <w:sz w:val="19"/>
                <w:szCs w:val="19"/>
              </w:rPr>
              <w:t>IPv6</w:t>
            </w:r>
            <w:r>
              <w:rPr>
                <w:color w:val="000000"/>
                <w:spacing w:val="0"/>
                <w:w w:val="100"/>
                <w:position w:val="0"/>
                <w:sz w:val="19"/>
                <w:szCs w:val="19"/>
              </w:rPr>
              <w:t>应用示范课题</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2,091,860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346,267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2,438,127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24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367,774,601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324,654,005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19"/>
                <w:szCs w:val="19"/>
              </w:rPr>
              <w:t>23,875,373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230,629,785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437,923,448</w:t>
            </w:r>
          </w:p>
        </w:tc>
      </w:tr>
      <w:tr>
        <w:trPr>
          <w:trHeight w:val="30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u w:val="single"/>
              </w:rPr>
              <w:t>409,109,691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346,456,421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19"/>
                <w:szCs w:val="19"/>
              </w:rPr>
              <w:t>23,875,373</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262,735,466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468,955,273</w:t>
            </w:r>
          </w:p>
        </w:tc>
      </w:tr>
    </w:tbl>
    <w:p>
      <w:pPr>
        <w:widowControl w:val="0"/>
        <w:spacing w:after="279" w:line="1" w:lineRule="exact"/>
      </w:pPr>
    </w:p>
    <w:p>
      <w:pPr>
        <w:pStyle w:val="Style5"/>
        <w:keepNext w:val="0"/>
        <w:keepLines w:val="0"/>
        <w:widowControl w:val="0"/>
        <w:shd w:val="clear" w:color="auto" w:fill="auto"/>
        <w:tabs>
          <w:tab w:pos="698" w:val="left"/>
        </w:tabs>
        <w:bidi w:val="0"/>
        <w:spacing w:before="0" w:after="280" w:line="240" w:lineRule="auto"/>
        <w:ind w:left="0" w:right="0" w:firstLine="0"/>
        <w:jc w:val="both"/>
        <w:rPr>
          <w:sz w:val="22"/>
          <w:szCs w:val="22"/>
        </w:rPr>
      </w:pPr>
      <w:bookmarkStart w:id="1297" w:name="bookmark1297"/>
      <w:r>
        <w:rPr>
          <w:rFonts w:ascii="Times New Roman" w:eastAsia="Times New Roman" w:hAnsi="Times New Roman" w:cs="Times New Roman"/>
          <w:color w:val="000000"/>
          <w:spacing w:val="0"/>
          <w:w w:val="100"/>
          <w:position w:val="0"/>
          <w:sz w:val="24"/>
          <w:szCs w:val="24"/>
          <w:shd w:val="clear" w:color="auto" w:fill="FFFFFF"/>
        </w:rPr>
        <w:t>3</w:t>
      </w:r>
      <w:bookmarkEnd w:id="1297"/>
      <w:r>
        <w:rPr>
          <w:rFonts w:ascii="Times New Roman" w:eastAsia="Times New Roman" w:hAnsi="Times New Roman" w:cs="Times New Roman"/>
          <w:color w:val="000000"/>
          <w:spacing w:val="0"/>
          <w:w w:val="100"/>
          <w:position w:val="0"/>
          <w:sz w:val="24"/>
          <w:szCs w:val="24"/>
          <w:shd w:val="clear" w:color="auto" w:fill="FFFFFF"/>
        </w:rPr>
        <w:t>0</w:t>
      </w:r>
      <w:r>
        <w:rPr>
          <w:color w:val="000000"/>
          <w:spacing w:val="0"/>
          <w:w w:val="100"/>
          <w:position w:val="0"/>
          <w:sz w:val="22"/>
          <w:szCs w:val="22"/>
          <w:shd w:val="clear" w:color="auto" w:fill="FFFFFF"/>
        </w:rPr>
        <w:t>、</w:t>
      </w:r>
      <w:r>
        <w:rPr>
          <w:color w:val="000000"/>
          <w:spacing w:val="0"/>
          <w:w w:val="100"/>
          <w:position w:val="0"/>
          <w:sz w:val="22"/>
          <w:szCs w:val="22"/>
        </w:rPr>
        <w:tab/>
        <w:t>股本</w:t>
      </w:r>
    </w:p>
    <w:p>
      <w:pPr>
        <w:pStyle w:val="Style5"/>
        <w:keepNext w:val="0"/>
        <w:keepLines w:val="0"/>
        <w:widowControl w:val="0"/>
        <w:shd w:val="clear" w:color="auto" w:fill="auto"/>
        <w:bidi w:val="0"/>
        <w:spacing w:before="0" w:after="280" w:line="240" w:lineRule="auto"/>
        <w:ind w:left="0" w:right="0" w:firstLine="720"/>
        <w:jc w:val="left"/>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年度，本公司股本变化情况列示如下:</w:t>
      </w:r>
    </w:p>
    <w:tbl>
      <w:tblPr>
        <w:tblOverlap w:val="never"/>
        <w:jc w:val="right"/>
        <w:tblLayout w:type="fixed"/>
      </w:tblPr>
      <w:tblGrid>
        <w:gridCol w:w="1651"/>
        <w:gridCol w:w="2443"/>
        <w:gridCol w:w="1834"/>
        <w:gridCol w:w="1757"/>
        <w:gridCol w:w="1699"/>
      </w:tblGrid>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本年增减变动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r>
      <w:tr>
        <w:trPr>
          <w:trHeight w:val="46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项目</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260" w:right="0" w:firstLine="0"/>
              <w:jc w:val="center"/>
              <w:rPr>
                <w:sz w:val="22"/>
                <w:szCs w:val="22"/>
              </w:rPr>
            </w:pPr>
            <w:r>
              <w:rPr>
                <w:color w:val="000000"/>
                <w:spacing w:val="0"/>
                <w:w w:val="100"/>
                <w:position w:val="0"/>
                <w:sz w:val="22"/>
                <w:szCs w:val="22"/>
                <w:u w:val="single"/>
              </w:rPr>
              <w:t>发行新股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u w:val="single"/>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9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股份总数</w:t>
            </w:r>
          </w:p>
        </w:tc>
        <w:tc>
          <w:tcPr>
            <w:tcBorders>
              <w:bottom w:val="single" w:sz="4"/>
            </w:tcBorders>
            <w:shd w:val="clear" w:color="auto" w:fill="FFFFFF"/>
            <w:vAlign w:val="bottom"/>
          </w:tcPr>
          <w:p>
            <w:pPr>
              <w:pStyle w:val="Style22"/>
              <w:keepNext w:val="0"/>
              <w:keepLines w:val="0"/>
              <w:widowControl w:val="0"/>
              <w:shd w:val="clear" w:color="auto" w:fill="auto"/>
              <w:tabs>
                <w:tab w:pos="2330" w:val="left"/>
              </w:tabs>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u w:val="single"/>
              </w:rPr>
              <w:t>31,015,595,487</w:t>
            </w:r>
            <w:r>
              <w:rPr>
                <w:rFonts w:ascii="Times New Roman" w:eastAsia="Times New Roman" w:hAnsi="Times New Roman" w:cs="Times New Roman"/>
                <w:color w:val="000000"/>
                <w:spacing w:val="0"/>
                <w:w w:val="100"/>
                <w:position w:val="0"/>
                <w:sz w:val="24"/>
                <w:szCs w:val="24"/>
              </w:rPr>
              <w:tab/>
              <w:t>=</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(24,202,275)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30,991,393,212</w:t>
            </w:r>
          </w:p>
        </w:tc>
      </w:tr>
    </w:tbl>
    <w:p>
      <w:pPr>
        <w:widowControl w:val="0"/>
        <w:spacing w:after="279" w:line="1" w:lineRule="exact"/>
      </w:pPr>
    </w:p>
    <w:p>
      <w:pPr>
        <w:pStyle w:val="Style5"/>
        <w:keepNext w:val="0"/>
        <w:keepLines w:val="0"/>
        <w:widowControl w:val="0"/>
        <w:shd w:val="clear" w:color="auto" w:fill="auto"/>
        <w:bidi w:val="0"/>
        <w:spacing w:before="0" w:after="280" w:line="240" w:lineRule="auto"/>
        <w:ind w:left="0" w:right="0" w:firstLine="720"/>
        <w:jc w:val="left"/>
        <w:rPr>
          <w:sz w:val="22"/>
          <w:szCs w:val="22"/>
        </w:rPr>
      </w:pPr>
      <w:r>
        <w:rPr>
          <w:color w:val="000000"/>
          <w:spacing w:val="0"/>
          <w:w w:val="100"/>
          <w:position w:val="0"/>
          <w:sz w:val="22"/>
          <w:szCs w:val="22"/>
        </w:rPr>
        <w:t>如附注十二所述，本公司于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年度注销回购的限制性股票</w:t>
      </w:r>
      <w:r>
        <w:rPr>
          <w:rFonts w:ascii="Times New Roman" w:eastAsia="Times New Roman" w:hAnsi="Times New Roman" w:cs="Times New Roman"/>
          <w:color w:val="000000"/>
          <w:spacing w:val="0"/>
          <w:w w:val="100"/>
          <w:position w:val="0"/>
          <w:sz w:val="24"/>
          <w:szCs w:val="24"/>
        </w:rPr>
        <w:t>24,202,275</w:t>
      </w:r>
      <w:r>
        <w:rPr>
          <w:color w:val="000000"/>
          <w:spacing w:val="0"/>
          <w:w w:val="100"/>
          <w:position w:val="0"/>
          <w:sz w:val="22"/>
          <w:szCs w:val="22"/>
        </w:rPr>
        <w:t>股。</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2" w:val="left"/>
        </w:tabs>
        <w:bidi w:val="0"/>
        <w:spacing w:before="0" w:after="260" w:line="240" w:lineRule="auto"/>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 资本公积</w:t>
      </w:r>
    </w:p>
    <w:tbl>
      <w:tblPr>
        <w:tblOverlap w:val="never"/>
        <w:jc w:val="center"/>
        <w:tblLayout w:type="fixed"/>
      </w:tblPr>
      <w:tblGrid>
        <w:gridCol w:w="2866"/>
        <w:gridCol w:w="653"/>
        <w:gridCol w:w="1637"/>
        <w:gridCol w:w="1483"/>
        <w:gridCol w:w="1358"/>
        <w:gridCol w:w="1392"/>
      </w:tblGrid>
      <w:tr>
        <w:trPr>
          <w:trHeight w:val="57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项目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注释</w:t>
            </w:r>
          </w:p>
        </w:tc>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sz w:val="18"/>
                <w:szCs w:val="18"/>
                <w:u w:val="single"/>
              </w:rPr>
              <w:t>月</w:t>
            </w: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sz w:val="18"/>
                <w:szCs w:val="18"/>
                <w:u w:val="single"/>
              </w:rPr>
              <w:t>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u w:val="single"/>
              </w:rPr>
              <w:t>本年增加</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u w:val="single"/>
              </w:rPr>
              <w:t>本年减少</w:t>
            </w:r>
          </w:p>
        </w:tc>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sz w:val="18"/>
                <w:szCs w:val="18"/>
                <w:u w:val="single"/>
              </w:rPr>
              <w:t>月</w:t>
            </w: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sz w:val="18"/>
                <w:szCs w:val="18"/>
                <w:u w:val="single"/>
              </w:rPr>
              <w:t>日</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发起人出资溢价</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7,913,551,905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7,913,551,905</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人民币普通股发行溢价</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63,887,055,590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67,524,347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63,819,531,243</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联通运营公司同一控制下收购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相关电信业务的影响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(b)</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306,029,961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306,029,961</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子公司企业改制评估增值的影响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29,996,252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29,996,252</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与股份期权相关的员工薪酬所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确认金额的影响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300,864,206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300,864,206</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联通红筹公司为投资西班牙电信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而增发的股份</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(e)</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2,274,479,484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2,274,479,484</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确认子公司员工行使股份期权所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增加的子公司权益的影响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686,078,232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686,078,232</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子公司未分配利润转增资本的影响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(g)</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10,414,323,266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10,414,323,266</w:t>
            </w:r>
          </w:p>
        </w:tc>
      </w:tr>
      <w:tr>
        <w:trP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因所持子公司股份变化对资本公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积的影响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(h)</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(10,578,893,086)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(10,578,893,086)</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子公司发行可转换债券的影响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(i)</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3,310,271,931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3,310,271,931</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(J)</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1,559,320,000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136,080,000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1,695,400,000</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(k)</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287,715,665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13,059,680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29,269,189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271,506,156</w:t>
            </w:r>
          </w:p>
        </w:tc>
      </w:tr>
      <w:tr>
        <w:trPr>
          <w:trHeight w:val="28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80,390,793,406</w:t>
            </w:r>
          </w:p>
        </w:tc>
        <w:tc>
          <w:tcPr>
            <w:tcBorders>
              <w:top w:val="single" w:sz="4"/>
              <w:bottom w:val="single" w:sz="4"/>
            </w:tcBorders>
            <w:shd w:val="clear" w:color="auto" w:fill="FFFFFF"/>
            <w:vAlign w:val="top"/>
          </w:tcPr>
          <w:p>
            <w:pPr>
              <w:pStyle w:val="Style22"/>
              <w:keepNext w:val="0"/>
              <w:keepLines w:val="0"/>
              <w:widowControl w:val="0"/>
              <w:shd w:val="clear" w:color="auto" w:fill="auto"/>
              <w:tabs>
                <w:tab w:pos="1376" w:val="left"/>
              </w:tabs>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u w:val="single"/>
              </w:rPr>
              <w:t>149,139,680</w:t>
            </w:r>
            <w:r>
              <w:rPr>
                <w:rFonts w:ascii="Times New Roman" w:eastAsia="Times New Roman" w:hAnsi="Times New Roman" w:cs="Times New Roman"/>
                <w:color w:val="000000"/>
                <w:spacing w:val="0"/>
                <w:w w:val="100"/>
                <w:position w:val="0"/>
                <w:sz w:val="18"/>
                <w:szCs w:val="18"/>
              </w:rPr>
              <w:tab/>
              <w:t>_</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96,793,536</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80,443,139,550</w:t>
            </w:r>
          </w:p>
        </w:tc>
      </w:tr>
    </w:tbl>
    <w:p>
      <w:pPr>
        <w:widowControl w:val="0"/>
        <w:spacing w:after="259" w:line="1" w:lineRule="exact"/>
      </w:pPr>
    </w:p>
    <w:p>
      <w:pPr>
        <w:pStyle w:val="Style5"/>
        <w:keepNext w:val="0"/>
        <w:keepLines w:val="0"/>
        <w:widowControl w:val="0"/>
        <w:shd w:val="clear" w:color="auto" w:fill="auto"/>
        <w:bidi w:val="0"/>
        <w:spacing w:before="0" w:after="260" w:line="240" w:lineRule="auto"/>
        <w:ind w:left="1440" w:right="0" w:hanging="720"/>
        <w:jc w:val="both"/>
        <w:rPr>
          <w:sz w:val="22"/>
          <w:szCs w:val="22"/>
        </w:rPr>
      </w:pPr>
      <w:r>
        <w:rPr>
          <w:color w:val="000000"/>
          <w:spacing w:val="0"/>
          <w:w w:val="100"/>
          <w:position w:val="0"/>
          <w:sz w:val="22"/>
          <w:szCs w:val="22"/>
        </w:rPr>
        <w:t>注释:</w:t>
      </w:r>
    </w:p>
    <w:p>
      <w:pPr>
        <w:pStyle w:val="Style5"/>
        <w:keepNext w:val="0"/>
        <w:keepLines w:val="0"/>
        <w:widowControl w:val="0"/>
        <w:numPr>
          <w:ilvl w:val="0"/>
          <w:numId w:val="127"/>
        </w:numPr>
        <w:shd w:val="clear" w:color="auto" w:fill="auto"/>
        <w:tabs>
          <w:tab w:pos="1442" w:val="left"/>
        </w:tabs>
        <w:bidi w:val="0"/>
        <w:spacing w:before="0" w:after="260" w:line="316" w:lineRule="exact"/>
        <w:ind w:left="1440" w:right="0" w:hanging="720"/>
        <w:jc w:val="both"/>
        <w:rPr>
          <w:sz w:val="22"/>
          <w:szCs w:val="22"/>
        </w:rPr>
      </w:pPr>
      <w:bookmarkStart w:id="1298" w:name="bookmark1298"/>
      <w:bookmarkEnd w:id="1298"/>
      <w:r>
        <w:rPr>
          <w:color w:val="000000"/>
          <w:spacing w:val="0"/>
          <w:w w:val="100"/>
          <w:position w:val="0"/>
          <w:sz w:val="22"/>
          <w:szCs w:val="22"/>
        </w:rPr>
        <w:t>本公司成立之初发起人各方实际出资额超过其按《公司章程》规定的</w:t>
      </w:r>
      <w:r>
        <w:rPr>
          <w:rFonts w:ascii="Times New Roman" w:eastAsia="Times New Roman" w:hAnsi="Times New Roman" w:cs="Times New Roman"/>
          <w:color w:val="000000"/>
          <w:spacing w:val="0"/>
          <w:w w:val="100"/>
          <w:position w:val="0"/>
          <w:sz w:val="24"/>
          <w:szCs w:val="24"/>
        </w:rPr>
        <w:t>65%</w:t>
      </w:r>
      <w:r>
        <w:rPr>
          <w:color w:val="000000"/>
          <w:spacing w:val="0"/>
          <w:w w:val="100"/>
          <w:position w:val="0"/>
          <w:sz w:val="22"/>
          <w:szCs w:val="22"/>
        </w:rPr>
        <w:t>折股比例 计算之实缴注册资本的差额，以及</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2"/>
          <w:szCs w:val="22"/>
        </w:rPr>
        <w:t>年因发行境内上市的人民币普通股、</w:t>
      </w:r>
      <w:r>
        <w:rPr>
          <w:rFonts w:ascii="Times New Roman" w:eastAsia="Times New Roman" w:hAnsi="Times New Roman" w:cs="Times New Roman"/>
          <w:color w:val="000000"/>
          <w:spacing w:val="0"/>
          <w:w w:val="100"/>
          <w:position w:val="0"/>
          <w:sz w:val="24"/>
          <w:szCs w:val="24"/>
        </w:rPr>
        <w:t xml:space="preserve">2004 </w:t>
      </w:r>
      <w:r>
        <w:rPr>
          <w:color w:val="000000"/>
          <w:spacing w:val="0"/>
          <w:w w:val="100"/>
          <w:position w:val="0"/>
          <w:sz w:val="22"/>
          <w:szCs w:val="22"/>
        </w:rPr>
        <w:t>年配售人民币普通股、</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年非公开发行人民币普通股股票、</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年向 限制性股票激励计划激励对象首次授予、预留授予及注销回购的限制性股票的溢价 被记录于资本公积。</w:t>
      </w:r>
    </w:p>
    <w:p>
      <w:pPr>
        <w:pStyle w:val="Style5"/>
        <w:keepNext w:val="0"/>
        <w:keepLines w:val="0"/>
        <w:widowControl w:val="0"/>
        <w:numPr>
          <w:ilvl w:val="0"/>
          <w:numId w:val="127"/>
        </w:numPr>
        <w:shd w:val="clear" w:color="auto" w:fill="auto"/>
        <w:tabs>
          <w:tab w:pos="1442" w:val="left"/>
        </w:tabs>
        <w:bidi w:val="0"/>
        <w:spacing w:before="0" w:after="260" w:line="322" w:lineRule="exact"/>
        <w:ind w:left="1440" w:right="0" w:hanging="720"/>
        <w:jc w:val="both"/>
        <w:rPr>
          <w:sz w:val="22"/>
          <w:szCs w:val="22"/>
        </w:rPr>
      </w:pPr>
      <w:bookmarkStart w:id="1299" w:name="bookmark1299"/>
      <w:bookmarkEnd w:id="1299"/>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月，联通运营公司根据转让协议完成了向联通集团和网通集团收购相关 电信业务和资产的交易。本公司根据持股比例计算了在同一控制下该等收购对本集 团资本公积的影响。</w:t>
      </w:r>
    </w:p>
    <w:p>
      <w:pPr>
        <w:pStyle w:val="Style5"/>
        <w:keepNext w:val="0"/>
        <w:keepLines w:val="0"/>
        <w:widowControl w:val="0"/>
        <w:shd w:val="clear" w:color="auto" w:fill="auto"/>
        <w:bidi w:val="0"/>
        <w:spacing w:before="0" w:after="260" w:line="326" w:lineRule="exact"/>
        <w:ind w:left="1440" w:right="0" w:firstLine="0"/>
        <w:jc w:val="both"/>
        <w:rPr>
          <w:sz w:val="22"/>
          <w:szCs w:val="22"/>
        </w:rPr>
      </w:pPr>
      <w:r>
        <w:rPr>
          <w:color w:val="000000"/>
          <w:spacing w:val="0"/>
          <w:w w:val="100"/>
          <w:position w:val="0"/>
          <w:sz w:val="22"/>
          <w:szCs w:val="22"/>
        </w:rPr>
        <w:t>由于本公司所属联通运营公司于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日完成了对贵州业务的收购，本公 司根据持股比例计算了在同一控制下收购贵州业务对本集团资本公积的影响。</w:t>
      </w:r>
    </w:p>
    <w:p>
      <w:pPr>
        <w:pStyle w:val="Style5"/>
        <w:keepNext w:val="0"/>
        <w:keepLines w:val="0"/>
        <w:widowControl w:val="0"/>
        <w:numPr>
          <w:ilvl w:val="0"/>
          <w:numId w:val="127"/>
        </w:numPr>
        <w:shd w:val="clear" w:color="auto" w:fill="auto"/>
        <w:tabs>
          <w:tab w:pos="1442" w:val="left"/>
        </w:tabs>
        <w:bidi w:val="0"/>
        <w:spacing w:before="0" w:after="260" w:line="315" w:lineRule="exact"/>
        <w:ind w:left="1440" w:right="0" w:hanging="720"/>
        <w:jc w:val="both"/>
        <w:rPr>
          <w:sz w:val="22"/>
          <w:szCs w:val="22"/>
        </w:rPr>
      </w:pPr>
      <w:bookmarkStart w:id="1300" w:name="bookmark1300"/>
      <w:bookmarkEnd w:id="1300"/>
      <w:r>
        <w:rPr>
          <w:color w:val="000000"/>
          <w:spacing w:val="0"/>
          <w:w w:val="100"/>
          <w:position w:val="0"/>
          <w:sz w:val="22"/>
          <w:szCs w:val="22"/>
        </w:rPr>
        <w:t>本集团的子公司中讯设计院是一家于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2"/>
          <w:szCs w:val="22"/>
        </w:rPr>
        <w:t>日完成公司制改制后设立的企 业，根据企业改制的相关规定，中讯设计院在改制过程中的资产评估增值被计入其 改制后公司的所有者权益。本公司根据持股比例计算了该资产评估增值对本集团资 本公积的影响。</w:t>
      </w:r>
    </w:p>
    <w:p>
      <w:pPr>
        <w:pStyle w:val="Style5"/>
        <w:keepNext w:val="0"/>
        <w:keepLines w:val="0"/>
        <w:widowControl w:val="0"/>
        <w:numPr>
          <w:ilvl w:val="0"/>
          <w:numId w:val="127"/>
        </w:numPr>
        <w:shd w:val="clear" w:color="auto" w:fill="auto"/>
        <w:tabs>
          <w:tab w:pos="1442" w:val="left"/>
        </w:tabs>
        <w:bidi w:val="0"/>
        <w:spacing w:before="0" w:after="260" w:line="326" w:lineRule="exact"/>
        <w:ind w:left="1440" w:right="0" w:hanging="720"/>
        <w:jc w:val="both"/>
        <w:rPr>
          <w:sz w:val="22"/>
          <w:szCs w:val="22"/>
        </w:rPr>
      </w:pPr>
      <w:bookmarkStart w:id="1301" w:name="bookmark1301"/>
      <w:bookmarkEnd w:id="1301"/>
      <w:r>
        <w:rPr>
          <w:color w:val="000000"/>
          <w:spacing w:val="0"/>
          <w:w w:val="100"/>
          <w:position w:val="0"/>
          <w:sz w:val="22"/>
          <w:szCs w:val="22"/>
        </w:rPr>
        <w:t>联通红筹公司及其子公司网通红筹公司授予员工的可行权日在</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日后的 股份期权的公允价值于等待期内确认相应的费用。</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55" w:val="left"/>
        </w:tabs>
        <w:bidi w:val="0"/>
        <w:spacing w:before="0" w:after="260" w:line="314" w:lineRule="exact"/>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55" w:val="left"/>
        </w:tabs>
        <w:bidi w:val="0"/>
        <w:spacing w:before="0" w:after="260" w:line="276" w:lineRule="auto"/>
        <w:ind w:left="0" w:right="0" w:firstLine="0"/>
        <w:jc w:val="both"/>
        <w:rPr>
          <w:sz w:val="22"/>
          <w:szCs w:val="22"/>
        </w:rPr>
      </w:pPr>
      <w:bookmarkStart w:id="1302" w:name="bookmark1302"/>
      <w:r>
        <w:rPr>
          <w:rFonts w:ascii="Times New Roman" w:eastAsia="Times New Roman" w:hAnsi="Times New Roman" w:cs="Times New Roman"/>
          <w:color w:val="000000"/>
          <w:spacing w:val="0"/>
          <w:w w:val="100"/>
          <w:position w:val="0"/>
          <w:sz w:val="24"/>
          <w:szCs w:val="24"/>
        </w:rPr>
        <w:t>3</w:t>
      </w:r>
      <w:bookmarkEnd w:id="130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4" w:lineRule="exact"/>
        <w:ind w:left="1440" w:right="0" w:hanging="720"/>
        <w:jc w:val="both"/>
        <w:rPr>
          <w:sz w:val="22"/>
          <w:szCs w:val="22"/>
        </w:rPr>
      </w:pPr>
      <w:r>
        <w:rPr>
          <w:color w:val="000000"/>
          <w:spacing w:val="0"/>
          <w:w w:val="100"/>
          <w:position w:val="0"/>
          <w:sz w:val="22"/>
          <w:szCs w:val="22"/>
        </w:rPr>
        <w:t>注释：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27"/>
        </w:numPr>
        <w:shd w:val="clear" w:color="auto" w:fill="auto"/>
        <w:tabs>
          <w:tab w:pos="1445" w:val="left"/>
        </w:tabs>
        <w:bidi w:val="0"/>
        <w:spacing w:before="0" w:after="260" w:line="317" w:lineRule="exact"/>
        <w:ind w:left="1440" w:right="0" w:hanging="720"/>
        <w:jc w:val="both"/>
        <w:rPr>
          <w:sz w:val="22"/>
          <w:szCs w:val="22"/>
        </w:rPr>
      </w:pPr>
      <w:bookmarkStart w:id="1303" w:name="bookmark1303"/>
      <w:bookmarkEnd w:id="1303"/>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2"/>
          <w:szCs w:val="22"/>
        </w:rPr>
        <w:t xml:space="preserve">日，本公司所属子公司联通红筹公司通过向西班牙电信新发行约 </w:t>
      </w:r>
      <w:r>
        <w:rPr>
          <w:rFonts w:ascii="Times New Roman" w:eastAsia="Times New Roman" w:hAnsi="Times New Roman" w:cs="Times New Roman"/>
          <w:color w:val="000000"/>
          <w:spacing w:val="0"/>
          <w:w w:val="100"/>
          <w:position w:val="0"/>
          <w:sz w:val="24"/>
          <w:szCs w:val="24"/>
        </w:rPr>
        <w:t>6.94</w:t>
      </w:r>
      <w:r>
        <w:rPr>
          <w:color w:val="000000"/>
          <w:spacing w:val="0"/>
          <w:w w:val="100"/>
          <w:position w:val="0"/>
          <w:sz w:val="22"/>
          <w:szCs w:val="22"/>
        </w:rPr>
        <w:t>亿股股份并购买西班牙电信约</w:t>
      </w:r>
      <w:r>
        <w:rPr>
          <w:rFonts w:ascii="Times New Roman" w:eastAsia="Times New Roman" w:hAnsi="Times New Roman" w:cs="Times New Roman"/>
          <w:color w:val="000000"/>
          <w:spacing w:val="0"/>
          <w:w w:val="100"/>
          <w:position w:val="0"/>
          <w:sz w:val="24"/>
          <w:szCs w:val="24"/>
        </w:rPr>
        <w:t>0.41</w:t>
      </w:r>
      <w:r>
        <w:rPr>
          <w:color w:val="000000"/>
          <w:spacing w:val="0"/>
          <w:w w:val="100"/>
          <w:position w:val="0"/>
          <w:sz w:val="22"/>
          <w:szCs w:val="22"/>
        </w:rPr>
        <w:t>亿股股份完成了与西班牙电信的相互投资。 为完成该交易联通红筹公司新发行股份的公允价值约人民币</w:t>
      </w:r>
      <w:r>
        <w:rPr>
          <w:rFonts w:ascii="Times New Roman" w:eastAsia="Times New Roman" w:hAnsi="Times New Roman" w:cs="Times New Roman"/>
          <w:color w:val="000000"/>
          <w:spacing w:val="0"/>
          <w:w w:val="100"/>
          <w:position w:val="0"/>
          <w:sz w:val="24"/>
          <w:szCs w:val="24"/>
        </w:rPr>
        <w:t>67.12</w:t>
      </w:r>
      <w:r>
        <w:rPr>
          <w:color w:val="000000"/>
          <w:spacing w:val="0"/>
          <w:w w:val="100"/>
          <w:position w:val="0"/>
          <w:sz w:val="22"/>
          <w:szCs w:val="22"/>
        </w:rPr>
        <w:t>亿元，分别增加 了联通红筹公司的股本和资本溢价。本公司根据持股比例计算了该子公司发行股份 对本集团资本公积的影响。</w:t>
      </w:r>
    </w:p>
    <w:p>
      <w:pPr>
        <w:pStyle w:val="Style5"/>
        <w:keepNext w:val="0"/>
        <w:keepLines w:val="0"/>
        <w:widowControl w:val="0"/>
        <w:numPr>
          <w:ilvl w:val="0"/>
          <w:numId w:val="127"/>
        </w:numPr>
        <w:shd w:val="clear" w:color="auto" w:fill="auto"/>
        <w:tabs>
          <w:tab w:pos="1445" w:val="left"/>
        </w:tabs>
        <w:bidi w:val="0"/>
        <w:spacing w:before="0" w:after="260" w:line="314" w:lineRule="exact"/>
        <w:ind w:left="1440" w:right="0" w:hanging="720"/>
        <w:jc w:val="both"/>
        <w:rPr>
          <w:sz w:val="22"/>
          <w:szCs w:val="22"/>
        </w:rPr>
      </w:pPr>
      <w:bookmarkStart w:id="1304" w:name="bookmark1304"/>
      <w:bookmarkEnd w:id="1304"/>
      <w:r>
        <w:rPr>
          <w:color w:val="000000"/>
          <w:spacing w:val="0"/>
          <w:w w:val="100"/>
          <w:position w:val="0"/>
          <w:sz w:val="22"/>
          <w:szCs w:val="22"/>
        </w:rPr>
        <w:t>联通红筹公司的部分被授予股份期权的员工行使股份期权，从而增加联通红筹公司 的股本及股本溢价，本公司根据对联通红筹公司的持股比例计算了对本集团资本公 积的影响。</w:t>
      </w:r>
    </w:p>
    <w:p>
      <w:pPr>
        <w:pStyle w:val="Style5"/>
        <w:keepNext w:val="0"/>
        <w:keepLines w:val="0"/>
        <w:widowControl w:val="0"/>
        <w:numPr>
          <w:ilvl w:val="0"/>
          <w:numId w:val="127"/>
        </w:numPr>
        <w:shd w:val="clear" w:color="auto" w:fill="auto"/>
        <w:tabs>
          <w:tab w:pos="1445" w:val="left"/>
        </w:tabs>
        <w:bidi w:val="0"/>
        <w:spacing w:before="0" w:after="260" w:line="314" w:lineRule="exact"/>
        <w:ind w:left="1440" w:right="0" w:hanging="720"/>
        <w:jc w:val="both"/>
        <w:rPr>
          <w:sz w:val="22"/>
          <w:szCs w:val="22"/>
        </w:rPr>
      </w:pPr>
      <w:bookmarkStart w:id="1305" w:name="bookmark1305"/>
      <w:bookmarkEnd w:id="1305"/>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2"/>
          <w:szCs w:val="22"/>
        </w:rPr>
        <w:t>年度，联通运营公司根据董事会决议，以其累计未分配利润中约人民币</w:t>
      </w:r>
      <w:r>
        <w:rPr>
          <w:rFonts w:ascii="Times New Roman" w:eastAsia="Times New Roman" w:hAnsi="Times New Roman" w:cs="Times New Roman"/>
          <w:color w:val="000000"/>
          <w:spacing w:val="0"/>
          <w:w w:val="100"/>
          <w:position w:val="0"/>
          <w:sz w:val="24"/>
          <w:szCs w:val="24"/>
        </w:rPr>
        <w:t xml:space="preserve">173 </w:t>
      </w:r>
      <w:r>
        <w:rPr>
          <w:color w:val="000000"/>
          <w:spacing w:val="0"/>
          <w:w w:val="100"/>
          <w:position w:val="0"/>
          <w:sz w:val="22"/>
          <w:szCs w:val="22"/>
        </w:rPr>
        <w:t>亿元未分配利润转增实收资本。此外，本公司的子公司中讯设计院是一家于</w:t>
      </w:r>
      <w:r>
        <w:rPr>
          <w:rFonts w:ascii="Times New Roman" w:eastAsia="Times New Roman" w:hAnsi="Times New Roman" w:cs="Times New Roman"/>
          <w:color w:val="000000"/>
          <w:spacing w:val="0"/>
          <w:w w:val="100"/>
          <w:position w:val="0"/>
          <w:sz w:val="24"/>
          <w:szCs w:val="24"/>
        </w:rPr>
        <w:t xml:space="preserve">2008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2"/>
          <w:szCs w:val="22"/>
        </w:rPr>
        <w:t>日完成公司制改制后设立的企业，根据相关企业改制的规定，中讯设计院 截至改制日止的未分配利润被全部转入资本公积项下。本公司根据持股比例计算了 上述事项对本集团资本公积的影响。</w:t>
      </w:r>
    </w:p>
    <w:p>
      <w:pPr>
        <w:pStyle w:val="Style5"/>
        <w:keepNext w:val="0"/>
        <w:keepLines w:val="0"/>
        <w:widowControl w:val="0"/>
        <w:numPr>
          <w:ilvl w:val="0"/>
          <w:numId w:val="127"/>
        </w:numPr>
        <w:shd w:val="clear" w:color="auto" w:fill="auto"/>
        <w:tabs>
          <w:tab w:pos="1445" w:val="left"/>
        </w:tabs>
        <w:bidi w:val="0"/>
        <w:spacing w:before="0" w:after="260" w:line="312" w:lineRule="exact"/>
        <w:ind w:left="1440" w:right="0" w:hanging="720"/>
        <w:jc w:val="both"/>
        <w:rPr>
          <w:sz w:val="22"/>
          <w:szCs w:val="22"/>
        </w:rPr>
      </w:pPr>
      <w:bookmarkStart w:id="1306" w:name="bookmark1306"/>
      <w:bookmarkEnd w:id="1306"/>
      <w:r>
        <w:rPr>
          <w:color w:val="000000"/>
          <w:spacing w:val="0"/>
          <w:w w:val="100"/>
          <w:position w:val="0"/>
          <w:sz w:val="22"/>
          <w:szCs w:val="22"/>
        </w:rPr>
        <w:t>如附注二</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所述，于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日，联通红筹公司与网通红筹公司通过换股 方式完成了两家公司的合并，从而导致本公司通过联通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公司对联通红筹公司的 持股比例下降。该同一控制下企业合并增加的本集团资本公积与本公司对联通红筹 公司持股比例下降的因素互抵后减少本集团资本公积约人民币</w:t>
      </w:r>
      <w:r>
        <w:rPr>
          <w:rFonts w:ascii="Times New Roman" w:eastAsia="Times New Roman" w:hAnsi="Times New Roman" w:cs="Times New Roman"/>
          <w:color w:val="000000"/>
          <w:spacing w:val="0"/>
          <w:w w:val="100"/>
          <w:position w:val="0"/>
          <w:sz w:val="24"/>
          <w:szCs w:val="24"/>
        </w:rPr>
        <w:t>61.18</w:t>
      </w:r>
      <w:r>
        <w:rPr>
          <w:color w:val="000000"/>
          <w:spacing w:val="0"/>
          <w:w w:val="100"/>
          <w:position w:val="0"/>
          <w:sz w:val="22"/>
          <w:szCs w:val="22"/>
        </w:rPr>
        <w:t>亿元。</w:t>
      </w:r>
    </w:p>
    <w:p>
      <w:pPr>
        <w:pStyle w:val="Style5"/>
        <w:keepNext w:val="0"/>
        <w:keepLines w:val="0"/>
        <w:widowControl w:val="0"/>
        <w:shd w:val="clear" w:color="auto" w:fill="auto"/>
        <w:bidi w:val="0"/>
        <w:spacing w:before="0" w:after="260" w:line="314" w:lineRule="exact"/>
        <w:ind w:left="1440" w:right="0" w:firstLine="0"/>
        <w:jc w:val="both"/>
        <w:rPr>
          <w:sz w:val="22"/>
          <w:szCs w:val="22"/>
        </w:rPr>
      </w:pPr>
      <w:r>
        <w:rPr>
          <w:color w:val="000000"/>
          <w:spacing w:val="0"/>
          <w:w w:val="100"/>
          <w:position w:val="0"/>
          <w:sz w:val="22"/>
          <w:szCs w:val="22"/>
        </w:rPr>
        <w:t>由于本公司子公司联通红筹公司分别于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2"/>
          <w:szCs w:val="22"/>
        </w:rPr>
        <w:t>日和</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日完成 了与西班牙电信相互投资和回购</w:t>
      </w:r>
      <w:r>
        <w:rPr>
          <w:rFonts w:ascii="Times New Roman" w:eastAsia="Times New Roman" w:hAnsi="Times New Roman" w:cs="Times New Roman"/>
          <w:color w:val="000000"/>
          <w:spacing w:val="0"/>
          <w:w w:val="100"/>
          <w:position w:val="0"/>
          <w:sz w:val="24"/>
          <w:szCs w:val="24"/>
        </w:rPr>
        <w:t>SKT</w:t>
      </w:r>
      <w:r>
        <w:rPr>
          <w:color w:val="000000"/>
          <w:spacing w:val="0"/>
          <w:w w:val="100"/>
          <w:position w:val="0"/>
          <w:sz w:val="22"/>
          <w:szCs w:val="22"/>
        </w:rPr>
        <w:t>持有的联通红筹公司股份的交易导致联通</w:t>
      </w:r>
      <w:r>
        <w:rPr>
          <w:rFonts w:ascii="Times New Roman" w:eastAsia="Times New Roman" w:hAnsi="Times New Roman" w:cs="Times New Roman"/>
          <w:color w:val="000000"/>
          <w:spacing w:val="0"/>
          <w:w w:val="100"/>
          <w:position w:val="0"/>
          <w:sz w:val="24"/>
          <w:szCs w:val="24"/>
        </w:rPr>
        <w:t xml:space="preserve">BVI </w:t>
      </w:r>
      <w:r>
        <w:rPr>
          <w:color w:val="000000"/>
          <w:spacing w:val="0"/>
          <w:w w:val="100"/>
          <w:position w:val="0"/>
          <w:sz w:val="22"/>
          <w:szCs w:val="22"/>
        </w:rPr>
        <w:t>公司对联通红筹公司的持股比例增加，使本集团资本公积增加约人民币</w:t>
      </w:r>
      <w:r>
        <w:rPr>
          <w:rFonts w:ascii="Times New Roman" w:eastAsia="Times New Roman" w:hAnsi="Times New Roman" w:cs="Times New Roman"/>
          <w:color w:val="000000"/>
          <w:spacing w:val="0"/>
          <w:w w:val="100"/>
          <w:position w:val="0"/>
          <w:sz w:val="24"/>
          <w:szCs w:val="24"/>
        </w:rPr>
        <w:t>6.22</w:t>
      </w:r>
      <w:r>
        <w:rPr>
          <w:color w:val="000000"/>
          <w:spacing w:val="0"/>
          <w:w w:val="100"/>
          <w:position w:val="0"/>
          <w:sz w:val="22"/>
          <w:szCs w:val="22"/>
        </w:rPr>
        <w:t>亿元。</w:t>
      </w:r>
    </w:p>
    <w:p>
      <w:pPr>
        <w:pStyle w:val="Style5"/>
        <w:keepNext w:val="0"/>
        <w:keepLines w:val="0"/>
        <w:widowControl w:val="0"/>
        <w:shd w:val="clear" w:color="auto" w:fill="auto"/>
        <w:bidi w:val="0"/>
        <w:spacing w:before="0" w:after="260" w:line="312" w:lineRule="exact"/>
        <w:ind w:left="1440" w:right="0" w:firstLine="0"/>
        <w:jc w:val="both"/>
        <w:rPr>
          <w:sz w:val="22"/>
          <w:szCs w:val="22"/>
        </w:rPr>
      </w:pPr>
      <w:r>
        <w:rPr>
          <w:color w:val="000000"/>
          <w:spacing w:val="0"/>
          <w:w w:val="100"/>
          <w:position w:val="0"/>
          <w:sz w:val="22"/>
          <w:szCs w:val="22"/>
        </w:rPr>
        <w:t>此外，联通红筹公司的部分被授予股份期权的员工行使股份期权导致联通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 对联通红筹公司持股比例下降。</w:t>
      </w:r>
    </w:p>
    <w:p>
      <w:pPr>
        <w:pStyle w:val="Style5"/>
        <w:keepNext w:val="0"/>
        <w:keepLines w:val="0"/>
        <w:widowControl w:val="0"/>
        <w:shd w:val="clear" w:color="auto" w:fill="auto"/>
        <w:bidi w:val="0"/>
        <w:spacing w:before="0" w:after="260" w:line="322" w:lineRule="exact"/>
        <w:ind w:left="1440" w:right="0" w:firstLine="0"/>
        <w:jc w:val="both"/>
        <w:rPr>
          <w:sz w:val="22"/>
          <w:szCs w:val="22"/>
        </w:rPr>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月，本公司通过联通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公司间接增持联通红筹公司</w:t>
      </w:r>
      <w:r>
        <w:rPr>
          <w:rFonts w:ascii="Times New Roman" w:eastAsia="Times New Roman" w:hAnsi="Times New Roman" w:cs="Times New Roman"/>
          <w:color w:val="000000"/>
          <w:spacing w:val="0"/>
          <w:w w:val="100"/>
          <w:position w:val="0"/>
          <w:sz w:val="24"/>
          <w:szCs w:val="24"/>
        </w:rPr>
        <w:t>10.60%</w:t>
      </w:r>
      <w:r>
        <w:rPr>
          <w:color w:val="000000"/>
          <w:spacing w:val="0"/>
          <w:w w:val="100"/>
          <w:position w:val="0"/>
          <w:sz w:val="22"/>
          <w:szCs w:val="22"/>
        </w:rPr>
        <w:t xml:space="preserve">股份至持股 </w:t>
      </w:r>
      <w:r>
        <w:rPr>
          <w:rFonts w:ascii="Times New Roman" w:eastAsia="Times New Roman" w:hAnsi="Times New Roman" w:cs="Times New Roman"/>
          <w:color w:val="000000"/>
          <w:spacing w:val="0"/>
          <w:w w:val="100"/>
          <w:position w:val="0"/>
          <w:sz w:val="24"/>
          <w:szCs w:val="24"/>
        </w:rPr>
        <w:t>43.94%</w:t>
      </w:r>
      <w:r>
        <w:rPr>
          <w:color w:val="000000"/>
          <w:spacing w:val="0"/>
          <w:w w:val="100"/>
          <w:position w:val="0"/>
          <w:sz w:val="22"/>
          <w:szCs w:val="22"/>
        </w:rPr>
        <w:t>，出资额与联通红筹公司对应持股比例净资产之差人民币</w:t>
      </w:r>
      <w:r>
        <w:rPr>
          <w:rFonts w:ascii="Times New Roman" w:eastAsia="Times New Roman" w:hAnsi="Times New Roman" w:cs="Times New Roman"/>
          <w:color w:val="000000"/>
          <w:spacing w:val="0"/>
          <w:w w:val="100"/>
          <w:position w:val="0"/>
          <w:sz w:val="24"/>
          <w:szCs w:val="24"/>
        </w:rPr>
        <w:t>4,013,152,167</w:t>
      </w:r>
      <w:r>
        <w:rPr>
          <w:color w:val="000000"/>
          <w:spacing w:val="0"/>
          <w:w w:val="100"/>
          <w:position w:val="0"/>
          <w:sz w:val="22"/>
          <w:szCs w:val="22"/>
        </w:rPr>
        <w:t>元， 减少本集团资本公积。</w:t>
      </w:r>
    </w:p>
    <w:p>
      <w:pPr>
        <w:pStyle w:val="Style5"/>
        <w:keepNext w:val="0"/>
        <w:keepLines w:val="0"/>
        <w:widowControl w:val="0"/>
        <w:shd w:val="clear" w:color="auto" w:fill="auto"/>
        <w:bidi w:val="0"/>
        <w:spacing w:before="0" w:after="260" w:line="317" w:lineRule="exact"/>
        <w:ind w:left="1440" w:right="0" w:firstLine="0"/>
        <w:jc w:val="both"/>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月，本公司所属子公司智网科技引入战略投资者而导致的所有者权益变动 计入资本公积项下，本公司根据持股比例计算了上述事项对本集团资本公积的影 响。</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4" w:val="left"/>
        </w:tabs>
        <w:bidi w:val="0"/>
        <w:spacing w:before="0" w:after="260" w:line="307" w:lineRule="exact"/>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4" w:val="left"/>
        </w:tabs>
        <w:bidi w:val="0"/>
        <w:spacing w:before="0" w:after="260" w:line="266"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w:t>
        <w:tab/>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07" w:lineRule="exact"/>
        <w:ind w:left="0" w:right="0" w:firstLine="720"/>
        <w:jc w:val="both"/>
        <w:rPr>
          <w:sz w:val="22"/>
          <w:szCs w:val="22"/>
        </w:rPr>
      </w:pPr>
      <w:r>
        <w:rPr>
          <w:color w:val="000000"/>
          <w:spacing w:val="0"/>
          <w:w w:val="100"/>
          <w:position w:val="0"/>
          <w:sz w:val="22"/>
          <w:szCs w:val="22"/>
        </w:rPr>
        <w:t>注释：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1445" w:val="left"/>
        </w:tabs>
        <w:bidi w:val="0"/>
        <w:spacing w:before="0" w:after="0" w:line="307" w:lineRule="exact"/>
        <w:ind w:left="0" w:right="0" w:firstLine="720"/>
        <w:jc w:val="both"/>
        <w:rPr>
          <w:sz w:val="22"/>
          <w:szCs w:val="22"/>
        </w:rPr>
      </w:pPr>
      <w:r>
        <w:rPr>
          <w:color w:val="000000"/>
          <w:spacing w:val="0"/>
          <w:w w:val="100"/>
          <w:position w:val="0"/>
          <w:sz w:val="22"/>
          <w:szCs w:val="22"/>
        </w:rPr>
        <w:t>⑴</w:t>
        <w:tab/>
        <w:t>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2"/>
          <w:szCs w:val="22"/>
        </w:rPr>
        <w:t>年，联通红筹公司向</w:t>
      </w:r>
      <w:r>
        <w:rPr>
          <w:rFonts w:ascii="Times New Roman" w:eastAsia="Times New Roman" w:hAnsi="Times New Roman" w:cs="Times New Roman"/>
          <w:color w:val="000000"/>
          <w:spacing w:val="0"/>
          <w:w w:val="100"/>
          <w:position w:val="0"/>
          <w:sz w:val="24"/>
          <w:szCs w:val="24"/>
        </w:rPr>
        <w:t>SKT</w:t>
      </w:r>
      <w:r>
        <w:rPr>
          <w:color w:val="000000"/>
          <w:spacing w:val="0"/>
          <w:w w:val="100"/>
          <w:position w:val="0"/>
          <w:sz w:val="22"/>
          <w:szCs w:val="22"/>
        </w:rPr>
        <w:t>发行的可转换债券已全部转换为联通红筹公司股</w:t>
      </w:r>
    </w:p>
    <w:p>
      <w:pPr>
        <w:pStyle w:val="Style5"/>
        <w:keepNext w:val="0"/>
        <w:keepLines w:val="0"/>
        <w:widowControl w:val="0"/>
        <w:shd w:val="clear" w:color="auto" w:fill="auto"/>
        <w:bidi w:val="0"/>
        <w:spacing w:before="0" w:after="260" w:line="307" w:lineRule="exact"/>
        <w:ind w:left="1440" w:right="0" w:firstLine="0"/>
        <w:jc w:val="both"/>
        <w:rPr>
          <w:sz w:val="22"/>
          <w:szCs w:val="22"/>
        </w:rPr>
      </w:pPr>
      <w:r>
        <w:rPr>
          <w:color w:val="000000"/>
          <w:spacing w:val="0"/>
          <w:w w:val="100"/>
          <w:position w:val="0"/>
          <w:sz w:val="22"/>
          <w:szCs w:val="22"/>
        </w:rPr>
        <w:t>份，根据换股后本公司对联通红筹公司的持股比例计算，增加本集团资本公积约人 民币</w:t>
      </w:r>
      <w:r>
        <w:rPr>
          <w:rFonts w:ascii="Times New Roman" w:eastAsia="Times New Roman" w:hAnsi="Times New Roman" w:cs="Times New Roman"/>
          <w:color w:val="000000"/>
          <w:spacing w:val="0"/>
          <w:w w:val="100"/>
          <w:position w:val="0"/>
          <w:sz w:val="24"/>
          <w:szCs w:val="24"/>
        </w:rPr>
        <w:t>31.17</w:t>
      </w:r>
      <w:r>
        <w:rPr>
          <w:color w:val="000000"/>
          <w:spacing w:val="0"/>
          <w:w w:val="100"/>
          <w:position w:val="0"/>
          <w:sz w:val="22"/>
          <w:szCs w:val="22"/>
        </w:rPr>
        <w:t>亿元。此外，本公司所属子公司亿迅投资有限公司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发行人，已注销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于 </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日完成了可转换债券的发行，该可转换债券权益部分约人民币</w:t>
      </w:r>
      <w:r>
        <w:rPr>
          <w:rFonts w:ascii="Times New Roman" w:eastAsia="Times New Roman" w:hAnsi="Times New Roman" w:cs="Times New Roman"/>
          <w:color w:val="000000"/>
          <w:spacing w:val="0"/>
          <w:w w:val="100"/>
          <w:position w:val="0"/>
          <w:sz w:val="24"/>
          <w:szCs w:val="24"/>
        </w:rPr>
        <w:t xml:space="preserve">5.72 </w:t>
      </w:r>
      <w:r>
        <w:rPr>
          <w:color w:val="000000"/>
          <w:spacing w:val="0"/>
          <w:w w:val="100"/>
          <w:position w:val="0"/>
          <w:sz w:val="22"/>
          <w:szCs w:val="22"/>
        </w:rPr>
        <w:t>亿元根据本公司的持股比例计算约人民币</w:t>
      </w:r>
      <w:r>
        <w:rPr>
          <w:rFonts w:ascii="Times New Roman" w:eastAsia="Times New Roman" w:hAnsi="Times New Roman" w:cs="Times New Roman"/>
          <w:color w:val="000000"/>
          <w:spacing w:val="0"/>
          <w:w w:val="100"/>
          <w:position w:val="0"/>
          <w:sz w:val="24"/>
          <w:szCs w:val="24"/>
        </w:rPr>
        <w:t>1.94</w:t>
      </w:r>
      <w:r>
        <w:rPr>
          <w:color w:val="000000"/>
          <w:spacing w:val="0"/>
          <w:w w:val="100"/>
          <w:position w:val="0"/>
          <w:sz w:val="22"/>
          <w:szCs w:val="22"/>
        </w:rPr>
        <w:t>亿元被反映在本集团资本公积项下。</w:t>
      </w:r>
    </w:p>
    <w:p>
      <w:pPr>
        <w:pStyle w:val="Style5"/>
        <w:keepNext w:val="0"/>
        <w:keepLines w:val="0"/>
        <w:widowControl w:val="0"/>
        <w:shd w:val="clear" w:color="auto" w:fill="auto"/>
        <w:tabs>
          <w:tab w:pos="1445" w:val="left"/>
        </w:tabs>
        <w:bidi w:val="0"/>
        <w:spacing w:before="0" w:after="320" w:line="307" w:lineRule="exact"/>
        <w:ind w:left="1440" w:right="0" w:hanging="700"/>
        <w:jc w:val="both"/>
        <w:rPr>
          <w:sz w:val="22"/>
          <w:szCs w:val="22"/>
        </w:rPr>
      </w:pPr>
      <w:bookmarkStart w:id="1307" w:name="bookmark1307"/>
      <w:r>
        <w:rPr>
          <w:rFonts w:ascii="Times New Roman" w:eastAsia="Times New Roman" w:hAnsi="Times New Roman" w:cs="Times New Roman"/>
          <w:color w:val="000000"/>
          <w:spacing w:val="0"/>
          <w:w w:val="100"/>
          <w:position w:val="0"/>
          <w:sz w:val="24"/>
          <w:szCs w:val="24"/>
        </w:rPr>
        <w:t>(</w:t>
      </w:r>
      <w:bookmarkEnd w:id="1307"/>
      <w:r>
        <w:rPr>
          <w:rFonts w:ascii="Times New Roman" w:eastAsia="Times New Roman" w:hAnsi="Times New Roman" w:cs="Times New Roman"/>
          <w:color w:val="000000"/>
          <w:spacing w:val="0"/>
          <w:w w:val="100"/>
          <w:position w:val="0"/>
          <w:sz w:val="24"/>
          <w:szCs w:val="24"/>
        </w:rPr>
        <w:t>j)</w:t>
        <w:tab/>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年起，本公司实施了限制性股票激励计划。于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年度，将当年通过股份支 付获取的服务约人民币</w:t>
      </w:r>
      <w:r>
        <w:rPr>
          <w:rFonts w:ascii="Times New Roman" w:eastAsia="Times New Roman" w:hAnsi="Times New Roman" w:cs="Times New Roman"/>
          <w:color w:val="000000"/>
          <w:spacing w:val="0"/>
          <w:w w:val="100"/>
          <w:position w:val="0"/>
          <w:sz w:val="24"/>
          <w:szCs w:val="24"/>
        </w:rPr>
        <w:t>1.36</w:t>
      </w:r>
      <w:r>
        <w:rPr>
          <w:color w:val="000000"/>
          <w:spacing w:val="0"/>
          <w:w w:val="100"/>
          <w:position w:val="0"/>
          <w:sz w:val="22"/>
          <w:szCs w:val="22"/>
        </w:rPr>
        <w:t>亿元计入资本公积</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年：约人民币</w:t>
      </w:r>
      <w:r>
        <w:rPr>
          <w:rFonts w:ascii="Times New Roman" w:eastAsia="Times New Roman" w:hAnsi="Times New Roman" w:cs="Times New Roman"/>
          <w:color w:val="000000"/>
          <w:spacing w:val="0"/>
          <w:w w:val="100"/>
          <w:position w:val="0"/>
          <w:sz w:val="24"/>
          <w:szCs w:val="24"/>
        </w:rPr>
        <w:t>3.75</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25"/>
        <w:keepNext w:val="0"/>
        <w:keepLines w:val="0"/>
        <w:widowControl w:val="0"/>
        <w:shd w:val="clear" w:color="auto" w:fill="auto"/>
        <w:tabs>
          <w:tab w:pos="1445" w:val="left"/>
        </w:tabs>
        <w:bidi w:val="0"/>
        <w:spacing w:before="0" w:after="0" w:line="307"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(k)</w:t>
        <w:tab/>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年度，本集团的若干子公司及联营企业将因其他股东增资或发行限制性股</w:t>
      </w:r>
    </w:p>
    <w:tbl>
      <w:tblPr>
        <w:tblOverlap w:val="never"/>
        <w:jc w:val="center"/>
        <w:tblLayout w:type="fixed"/>
      </w:tblPr>
      <w:tblGrid>
        <w:gridCol w:w="528"/>
        <w:gridCol w:w="936"/>
        <w:gridCol w:w="3480"/>
        <w:gridCol w:w="3562"/>
        <w:gridCol w:w="1618"/>
      </w:tblGrid>
      <w:tr>
        <w:trPr>
          <w:trHeight w:val="74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3"/>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票等而导致的所有者权益变动计入资本公积项下，本公司根据持股比例计算了上述 事项对本集团资本公积的影响。</w:t>
            </w:r>
          </w:p>
        </w:tc>
      </w:tr>
      <w:tr>
        <w:trPr>
          <w:trHeight w:val="58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2"/>
                <w:szCs w:val="22"/>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库存股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项目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190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bottom"/>
          </w:tcPr>
          <w:p>
            <w:pPr>
              <w:pStyle w:val="Style22"/>
              <w:keepNext w:val="0"/>
              <w:keepLines w:val="0"/>
              <w:widowControl w:val="0"/>
              <w:shd w:val="clear" w:color="auto" w:fill="auto"/>
              <w:tabs>
                <w:tab w:pos="1941" w:val="left"/>
              </w:tabs>
              <w:bidi w:val="0"/>
              <w:spacing w:before="0" w:after="0" w:line="240" w:lineRule="auto"/>
              <w:ind w:left="160" w:right="0" w:firstLine="0"/>
              <w:jc w:val="center"/>
              <w:rPr>
                <w:sz w:val="22"/>
                <w:szCs w:val="22"/>
              </w:rPr>
            </w:pPr>
            <w:r>
              <w:rPr>
                <w:color w:val="000000"/>
                <w:spacing w:val="0"/>
                <w:w w:val="100"/>
                <w:position w:val="0"/>
                <w:sz w:val="22"/>
                <w:szCs w:val="22"/>
                <w:u w:val="single"/>
              </w:rPr>
              <w:t>本年增加</w:t>
              <w:tab/>
              <w:t>本年减少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库存股</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24"/>
                <w:szCs w:val="24"/>
              </w:rPr>
            </w:pPr>
            <w:r>
              <w:rPr>
                <w:rFonts w:ascii="Times New Roman" w:eastAsia="Times New Roman" w:hAnsi="Times New Roman" w:cs="Times New Roman"/>
                <w:color w:val="000000"/>
                <w:spacing w:val="0"/>
                <w:w w:val="100"/>
                <w:position w:val="0"/>
                <w:sz w:val="24"/>
                <w:szCs w:val="24"/>
                <w:u w:val="single"/>
              </w:rPr>
              <w:t>1,797,153,768</w:t>
            </w:r>
          </w:p>
        </w:tc>
        <w:tc>
          <w:tcPr>
            <w:tcBorders>
              <w:bottom w:val="single" w:sz="4"/>
            </w:tcBorders>
            <w:shd w:val="clear" w:color="auto" w:fill="FFFFFF"/>
            <w:vAlign w:val="center"/>
          </w:tcPr>
          <w:p>
            <w:pPr>
              <w:pStyle w:val="Style22"/>
              <w:keepNext w:val="0"/>
              <w:keepLines w:val="0"/>
              <w:widowControl w:val="0"/>
              <w:shd w:val="clear" w:color="auto" w:fill="auto"/>
              <w:tabs>
                <w:tab w:pos="1963" w:val="left"/>
              </w:tabs>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u w:val="single"/>
              </w:rPr>
              <w:t>2,204,755,281</w:t>
              <w:tab/>
              <w:t>919,383,506</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3,082,525,543</w:t>
            </w:r>
          </w:p>
        </w:tc>
      </w:tr>
    </w:tbl>
    <w:p>
      <w:pPr>
        <w:widowControl w:val="0"/>
        <w:spacing w:after="259" w:line="1" w:lineRule="exact"/>
      </w:pPr>
    </w:p>
    <w:p>
      <w:pPr>
        <w:pStyle w:val="Style5"/>
        <w:keepNext w:val="0"/>
        <w:keepLines w:val="0"/>
        <w:widowControl w:val="0"/>
        <w:shd w:val="clear" w:color="auto" w:fill="auto"/>
        <w:bidi w:val="0"/>
        <w:spacing w:before="0" w:after="260" w:line="310" w:lineRule="exact"/>
        <w:ind w:left="720" w:right="0" w:firstLine="20"/>
        <w:jc w:val="both"/>
        <w:rPr>
          <w:sz w:val="22"/>
          <w:szCs w:val="22"/>
        </w:rPr>
      </w:pPr>
      <w:r>
        <w:rPr>
          <w:color w:val="000000"/>
          <w:spacing w:val="0"/>
          <w:w w:val="100"/>
          <w:position w:val="0"/>
          <w:sz w:val="22"/>
          <w:szCs w:val="22"/>
        </w:rPr>
        <w:t>如附注五</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及附注十二所述，本公司于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年实施限制性股票激励计划，授予方案实施 为首次授予及预留授予。于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年度，本公司注销回购的限制性股票</w:t>
      </w:r>
      <w:r>
        <w:rPr>
          <w:rFonts w:ascii="Times New Roman" w:eastAsia="Times New Roman" w:hAnsi="Times New Roman" w:cs="Times New Roman"/>
          <w:color w:val="000000"/>
          <w:spacing w:val="0"/>
          <w:w w:val="100"/>
          <w:position w:val="0"/>
          <w:sz w:val="24"/>
          <w:szCs w:val="24"/>
        </w:rPr>
        <w:t>24,202,275</w:t>
      </w:r>
      <w:r>
        <w:rPr>
          <w:color w:val="000000"/>
          <w:spacing w:val="0"/>
          <w:w w:val="100"/>
          <w:position w:val="0"/>
          <w:sz w:val="22"/>
          <w:szCs w:val="22"/>
        </w:rPr>
        <w:t>股，相应 的减少库存股约人民币</w:t>
      </w:r>
      <w:r>
        <w:rPr>
          <w:rFonts w:ascii="Times New Roman" w:eastAsia="Times New Roman" w:hAnsi="Times New Roman" w:cs="Times New Roman"/>
          <w:color w:val="000000"/>
          <w:spacing w:val="0"/>
          <w:w w:val="100"/>
          <w:position w:val="0"/>
          <w:sz w:val="24"/>
          <w:szCs w:val="24"/>
        </w:rPr>
        <w:t>0.92</w:t>
      </w:r>
      <w:r>
        <w:rPr>
          <w:color w:val="000000"/>
          <w:spacing w:val="0"/>
          <w:w w:val="100"/>
          <w:position w:val="0"/>
          <w:sz w:val="22"/>
          <w:szCs w:val="22"/>
        </w:rPr>
        <w:t>亿元，解锁限制性股票</w:t>
      </w:r>
      <w:r>
        <w:rPr>
          <w:rFonts w:ascii="Times New Roman" w:eastAsia="Times New Roman" w:hAnsi="Times New Roman" w:cs="Times New Roman"/>
          <w:color w:val="000000"/>
          <w:spacing w:val="0"/>
          <w:w w:val="100"/>
          <w:position w:val="0"/>
          <w:sz w:val="24"/>
          <w:szCs w:val="24"/>
        </w:rPr>
        <w:t>218,379,125</w:t>
      </w:r>
      <w:r>
        <w:rPr>
          <w:color w:val="000000"/>
          <w:spacing w:val="0"/>
          <w:w w:val="100"/>
          <w:position w:val="0"/>
          <w:sz w:val="22"/>
          <w:szCs w:val="22"/>
        </w:rPr>
        <w:t>股，相应减少负债和库存股 约人民币</w:t>
      </w:r>
      <w:r>
        <w:rPr>
          <w:rFonts w:ascii="Times New Roman" w:eastAsia="Times New Roman" w:hAnsi="Times New Roman" w:cs="Times New Roman"/>
          <w:color w:val="000000"/>
          <w:spacing w:val="0"/>
          <w:w w:val="100"/>
          <w:position w:val="0"/>
          <w:sz w:val="24"/>
          <w:szCs w:val="24"/>
        </w:rPr>
        <w:t>8.27</w:t>
      </w:r>
      <w:r>
        <w:rPr>
          <w:color w:val="000000"/>
          <w:spacing w:val="0"/>
          <w:w w:val="100"/>
          <w:position w:val="0"/>
          <w:sz w:val="22"/>
          <w:szCs w:val="22"/>
        </w:rPr>
        <w:t>亿元。</w:t>
      </w:r>
    </w:p>
    <w:p>
      <w:pPr>
        <w:pStyle w:val="Style5"/>
        <w:keepNext w:val="0"/>
        <w:keepLines w:val="0"/>
        <w:widowControl w:val="0"/>
        <w:shd w:val="clear" w:color="auto" w:fill="auto"/>
        <w:bidi w:val="0"/>
        <w:spacing w:before="0" w:after="260" w:line="310" w:lineRule="exact"/>
        <w:ind w:left="720" w:right="0" w:firstLine="20"/>
        <w:jc w:val="both"/>
        <w:rPr>
          <w:sz w:val="22"/>
          <w:szCs w:val="22"/>
        </w:rPr>
        <w:sectPr>
          <w:footnotePr>
            <w:pos w:val="pageBottom"/>
            <w:numFmt w:val="decimal"/>
            <w:numRestart w:val="continuous"/>
          </w:footnotePr>
          <w:pgSz w:w="11900" w:h="16840"/>
          <w:pgMar w:top="1599" w:right="712" w:bottom="788" w:left="963" w:header="0" w:footer="3" w:gutter="0"/>
          <w:cols w:space="720"/>
          <w:noEndnote/>
          <w:rtlGutter w:val="0"/>
          <w:docGrid w:linePitch="360"/>
        </w:sectPr>
      </w:pPr>
      <w:r>
        <w:rPr>
          <w:color w:val="000000"/>
          <w:spacing w:val="0"/>
          <w:w w:val="100"/>
          <w:position w:val="0"/>
          <w:sz w:val="22"/>
          <w:szCs w:val="22"/>
        </w:rPr>
        <w:t>本公司于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日召开第六届董事会第二十四次会议及第六届监事会第十七次会 议审议通过了《关于以集中竞价交易方式回购公司股份的议案》，同意回购本公司</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股股 份，后续用于实施股权激励计划。于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 xml:space="preserve">年度，本公司通过集中竞价交易方式回购股份 </w:t>
      </w:r>
      <w:r>
        <w:rPr>
          <w:rFonts w:ascii="Times New Roman" w:eastAsia="Times New Roman" w:hAnsi="Times New Roman" w:cs="Times New Roman"/>
          <w:color w:val="000000"/>
          <w:spacing w:val="0"/>
          <w:w w:val="100"/>
          <w:position w:val="0"/>
          <w:sz w:val="24"/>
          <w:szCs w:val="24"/>
        </w:rPr>
        <w:t>513,314,385</w:t>
      </w:r>
      <w:r>
        <w:rPr>
          <w:color w:val="000000"/>
          <w:spacing w:val="0"/>
          <w:w w:val="100"/>
          <w:position w:val="0"/>
          <w:sz w:val="22"/>
          <w:szCs w:val="22"/>
        </w:rPr>
        <w:t>股，相应增加库存股约人民币</w:t>
      </w:r>
      <w:r>
        <w:rPr>
          <w:rFonts w:ascii="Times New Roman" w:eastAsia="Times New Roman" w:hAnsi="Times New Roman" w:cs="Times New Roman"/>
          <w:color w:val="000000"/>
          <w:spacing w:val="0"/>
          <w:w w:val="100"/>
          <w:position w:val="0"/>
          <w:sz w:val="24"/>
          <w:szCs w:val="24"/>
        </w:rPr>
        <w:t>22.05</w:t>
      </w:r>
      <w:r>
        <w:rPr>
          <w:color w:val="000000"/>
          <w:spacing w:val="0"/>
          <w:w w:val="100"/>
          <w:position w:val="0"/>
          <w:sz w:val="22"/>
          <w:szCs w:val="22"/>
        </w:rPr>
        <w:t>亿元。</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60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2" w:val="left"/>
        </w:tabs>
        <w:bidi w:val="0"/>
        <w:spacing w:before="0" w:after="28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2"/>
          <w:szCs w:val="22"/>
        </w:rPr>
        <w:t>、 其他综合收益</w:t>
      </w:r>
    </w:p>
    <w:p>
      <w:pPr>
        <w:pStyle w:val="Style25"/>
        <w:keepNext w:val="0"/>
        <w:keepLines w:val="0"/>
        <w:widowControl w:val="0"/>
        <w:shd w:val="clear" w:color="auto" w:fill="auto"/>
        <w:bidi w:val="0"/>
        <w:spacing w:before="0" w:after="0" w:line="240" w:lineRule="auto"/>
        <w:ind w:left="8318" w:right="0" w:firstLine="0"/>
        <w:jc w:val="left"/>
        <w:rPr>
          <w:sz w:val="18"/>
          <w:szCs w:val="18"/>
        </w:rPr>
      </w:pPr>
      <w:r>
        <w:rPr>
          <w:color w:val="000000"/>
          <w:spacing w:val="0"/>
          <w:w w:val="100"/>
          <w:position w:val="0"/>
          <w:sz w:val="18"/>
          <w:szCs w:val="18"/>
        </w:rPr>
        <w:t>本年发生额</w:t>
      </w:r>
    </w:p>
    <w:tbl>
      <w:tblPr>
        <w:tblOverlap w:val="never"/>
        <w:jc w:val="center"/>
        <w:tblLayout w:type="fixed"/>
      </w:tblPr>
      <w:tblGrid>
        <w:gridCol w:w="2712"/>
        <w:gridCol w:w="1834"/>
        <w:gridCol w:w="1651"/>
        <w:gridCol w:w="1781"/>
        <w:gridCol w:w="1853"/>
        <w:gridCol w:w="1747"/>
        <w:gridCol w:w="1594"/>
        <w:gridCol w:w="1589"/>
      </w:tblGrid>
      <w:tr>
        <w:trPr>
          <w:trHeight w:val="81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项目</w:t>
            </w:r>
          </w:p>
        </w:tc>
        <w:tc>
          <w:tcPr>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 xml:space="preserve">归属于母公司股东 的其他综合收益 </w:t>
            </w:r>
            <w:r>
              <w:rPr>
                <w:color w:val="000000"/>
                <w:spacing w:val="0"/>
                <w:w w:val="100"/>
                <w:position w:val="0"/>
                <w:sz w:val="18"/>
                <w:szCs w:val="18"/>
                <w:u w:val="single"/>
              </w:rPr>
              <w:t>年初余额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center"/>
              <w:rPr>
                <w:sz w:val="18"/>
                <w:szCs w:val="18"/>
              </w:rPr>
            </w:pPr>
            <w:r>
              <w:rPr>
                <w:color w:val="000000"/>
                <w:spacing w:val="0"/>
                <w:w w:val="100"/>
                <w:position w:val="0"/>
                <w:sz w:val="18"/>
                <w:szCs w:val="18"/>
              </w:rPr>
              <w:t xml:space="preserve">本年所得税前 </w:t>
            </w:r>
            <w:r>
              <w:rPr>
                <w:color w:val="000000"/>
                <w:spacing w:val="0"/>
                <w:w w:val="100"/>
                <w:position w:val="0"/>
                <w:sz w:val="18"/>
                <w:szCs w:val="18"/>
                <w:u w:val="single"/>
              </w:rPr>
              <w:t>发生额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减：前期计入其他</w:t>
            </w:r>
          </w:p>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 xml:space="preserve">综合收益当期 </w:t>
            </w:r>
            <w:r>
              <w:rPr>
                <w:color w:val="000000"/>
                <w:spacing w:val="0"/>
                <w:w w:val="100"/>
                <w:position w:val="0"/>
                <w:sz w:val="18"/>
                <w:szCs w:val="18"/>
                <w:u w:val="single"/>
              </w:rPr>
              <w:t>转入损益</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u w:val="single"/>
              </w:rPr>
              <w:t>减：所得税费用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税后归属于 </w:t>
            </w:r>
            <w:r>
              <w:rPr>
                <w:color w:val="000000"/>
                <w:spacing w:val="0"/>
                <w:w w:val="100"/>
                <w:position w:val="0"/>
                <w:sz w:val="18"/>
                <w:szCs w:val="18"/>
                <w:u w:val="single"/>
              </w:rPr>
              <w:t>母公司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180" w:right="0" w:firstLine="0"/>
              <w:jc w:val="center"/>
              <w:rPr>
                <w:sz w:val="18"/>
                <w:szCs w:val="18"/>
              </w:rPr>
            </w:pPr>
            <w:r>
              <w:rPr>
                <w:color w:val="000000"/>
                <w:spacing w:val="0"/>
                <w:w w:val="100"/>
                <w:position w:val="0"/>
                <w:sz w:val="18"/>
                <w:szCs w:val="18"/>
              </w:rPr>
              <w:t xml:space="preserve">税后归属于 </w:t>
            </w:r>
            <w:r>
              <w:rPr>
                <w:color w:val="000000"/>
                <w:spacing w:val="0"/>
                <w:w w:val="100"/>
                <w:position w:val="0"/>
                <w:sz w:val="18"/>
                <w:szCs w:val="18"/>
                <w:u w:val="single"/>
              </w:rPr>
              <w:t>少数股东</w:t>
            </w:r>
          </w:p>
        </w:tc>
        <w:tc>
          <w:tcPr>
            <w:tcBorders/>
            <w:shd w:val="clear" w:color="auto" w:fill="FFFFFF"/>
            <w:vAlign w:val="top"/>
          </w:tcPr>
          <w:p>
            <w:pPr>
              <w:pStyle w:val="Style22"/>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 xml:space="preserve">归属于母公司股东 的其他综合收益 </w:t>
            </w:r>
            <w:r>
              <w:rPr>
                <w:color w:val="000000"/>
                <w:spacing w:val="0"/>
                <w:w w:val="100"/>
                <w:position w:val="0"/>
                <w:sz w:val="18"/>
                <w:szCs w:val="18"/>
                <w:u w:val="single"/>
              </w:rPr>
              <w:t>年末余额</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不能重分类进损益的其他</w:t>
            </w:r>
          </w:p>
        </w:tc>
        <w:tc>
          <w:tcPr>
            <w:gridSpan w:val="7"/>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综合收益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(3,447,438,214)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110,540,860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1,288,013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48,003,222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61,249,625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(3,399,434,992)</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其中：重新计量设定受益</w:t>
            </w:r>
          </w:p>
        </w:tc>
        <w:tc>
          <w:tcPr>
            <w:gridSpan w:val="7"/>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计划的变动额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6,119,596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(24,942,655)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(1,994,784)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(10,082,774)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(12,865,097)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(3,963,178)</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其他权益工具投资公允价值</w:t>
            </w:r>
          </w:p>
        </w:tc>
        <w:tc>
          <w:tcPr>
            <w:gridSpan w:val="7"/>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(3,453,557,810)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135,483,515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3,282,797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58,085,996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74,114,722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(3,395,471,814)</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将重分类进损益的其他综合收益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(25,856,748)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(137,877,375)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(1,174,375)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(59,924,879)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(76,778,121)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(85,781,627)</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其中：其他债权投资公允价值</w:t>
            </w:r>
          </w:p>
        </w:tc>
        <w:tc>
          <w:tcPr>
            <w:gridSpan w:val="7"/>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变动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14,916,998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(4,697,501)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(1,174,375)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(1,408,663)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(2,114,463)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13,508,335</w:t>
            </w: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外币财务报表折算差额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(40,773,746)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(133,080,366)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(58,472,494)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(74,607,872)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(99,246,240)</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权益法下可转损益的</w:t>
            </w:r>
          </w:p>
        </w:tc>
        <w:tc>
          <w:tcPr>
            <w:gridSpan w:val="7"/>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其他综合收益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(99,508)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(43,722)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(43,722)</w:t>
            </w:r>
          </w:p>
        </w:tc>
      </w:tr>
      <w:tr>
        <w:trPr>
          <w:trHeight w:val="26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(3,473,294,962)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(27,336,515)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113,638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(11,921,657)</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(15,528,496)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(3,485,216,619)</w:t>
            </w:r>
          </w:p>
        </w:tc>
      </w:tr>
    </w:tbl>
    <w:p>
      <w:pPr>
        <w:widowControl w:val="0"/>
        <w:spacing w:after="279" w:line="1" w:lineRule="exact"/>
      </w:pPr>
    </w:p>
    <w:p>
      <w:pPr>
        <w:pStyle w:val="Style5"/>
        <w:keepNext w:val="0"/>
        <w:keepLines w:val="0"/>
        <w:widowControl w:val="0"/>
        <w:shd w:val="clear" w:color="auto" w:fill="auto"/>
        <w:bidi w:val="0"/>
        <w:spacing w:before="0" w:after="280" w:line="312" w:lineRule="exact"/>
        <w:ind w:left="1460" w:right="0" w:hanging="72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：如附注三</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2"/>
          <w:szCs w:val="22"/>
        </w:rPr>
        <w:t>所述，本集团的个别子公司向职工提供其他离退休后补充福利，该福利被视为设定受益计划。重新计量设定受益计划净负 债所产生的变动使归属于母公司其他综合收益减少约人民币</w:t>
      </w:r>
      <w:r>
        <w:rPr>
          <w:rFonts w:ascii="Times New Roman" w:eastAsia="Times New Roman" w:hAnsi="Times New Roman" w:cs="Times New Roman"/>
          <w:color w:val="000000"/>
          <w:spacing w:val="0"/>
          <w:w w:val="100"/>
          <w:position w:val="0"/>
          <w:sz w:val="24"/>
          <w:szCs w:val="24"/>
        </w:rPr>
        <w:t>1,008</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年度：减少约人民币</w:t>
      </w:r>
      <w:r>
        <w:rPr>
          <w:rFonts w:ascii="Times New Roman" w:eastAsia="Times New Roman" w:hAnsi="Times New Roman" w:cs="Times New Roman"/>
          <w:color w:val="000000"/>
          <w:spacing w:val="0"/>
          <w:w w:val="100"/>
          <w:position w:val="0"/>
          <w:sz w:val="24"/>
          <w:szCs w:val="24"/>
        </w:rPr>
        <w:t>224</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600" w:line="307" w:lineRule="exact"/>
        <w:ind w:left="1460" w:right="0" w:hanging="72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：如附注五</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所述，本公司所属子公司持有的其他权益工具投资产生的公允价值变动计入其他综合收益项下。根据本公司的持股比例， 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年度，该等其他权益工具投资公允价值变动增加归属于母公司股东的其他综合收益约人民币</w:t>
      </w:r>
      <w:r>
        <w:rPr>
          <w:rFonts w:ascii="Times New Roman" w:eastAsia="Times New Roman" w:hAnsi="Times New Roman" w:cs="Times New Roman"/>
          <w:color w:val="000000"/>
          <w:spacing w:val="0"/>
          <w:w w:val="100"/>
          <w:position w:val="0"/>
          <w:sz w:val="24"/>
          <w:szCs w:val="24"/>
        </w:rPr>
        <w:t>0.58</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年度：减少约人民 币</w:t>
      </w:r>
      <w:r>
        <w:rPr>
          <w:rFonts w:ascii="Times New Roman" w:eastAsia="Times New Roman" w:hAnsi="Times New Roman" w:cs="Times New Roman"/>
          <w:color w:val="000000"/>
          <w:spacing w:val="0"/>
          <w:w w:val="100"/>
          <w:position w:val="0"/>
          <w:sz w:val="24"/>
          <w:szCs w:val="24"/>
        </w:rPr>
        <w:t>6.49</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39"/>
        <w:keepNext w:val="0"/>
        <w:keepLines w:val="0"/>
        <w:widowControl w:val="0"/>
        <w:shd w:val="clear" w:color="auto" w:fill="auto"/>
        <w:bidi w:val="0"/>
        <w:spacing w:before="0" w:after="280" w:line="240" w:lineRule="auto"/>
        <w:ind w:left="0" w:right="0" w:firstLine="0"/>
        <w:jc w:val="center"/>
        <w:rPr>
          <w:sz w:val="16"/>
          <w:szCs w:val="16"/>
        </w:rPr>
        <w:sectPr>
          <w:footnotePr>
            <w:pos w:val="pageBottom"/>
            <w:numFmt w:val="decimal"/>
            <w:numRestart w:val="continuous"/>
          </w:footnotePr>
          <w:pgSz w:w="16840" w:h="11900" w:orient="landscape"/>
          <w:pgMar w:top="1596" w:right="438" w:bottom="522" w:left="841" w:header="0" w:footer="3" w:gutter="0"/>
          <w:cols w:space="720"/>
          <w:noEndnote/>
          <w:rtlGutter w:val="0"/>
          <w:docGrid w:linePitch="360"/>
        </w:sectPr>
      </w:pPr>
      <w:r>
        <w:rPr>
          <w:color w:val="000000"/>
          <w:spacing w:val="0"/>
          <w:w w:val="100"/>
          <w:position w:val="0"/>
          <w:sz w:val="16"/>
          <w:szCs w:val="16"/>
        </w:rPr>
        <w:t>154 / 203</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widowControl w:val="0"/>
        <w:spacing w:line="1" w:lineRule="exact"/>
        <w:sectPr>
          <w:footnotePr>
            <w:pos w:val="pageBottom"/>
            <w:numFmt w:val="decimal"/>
            <w:numRestart w:val="continuous"/>
          </w:footnotePr>
          <w:pgSz w:w="11900" w:h="16840"/>
          <w:pgMar w:top="1599" w:right="714" w:bottom="2876" w:left="982" w:header="0" w:footer="3" w:gutter="0"/>
          <w:cols w:space="720"/>
          <w:noEndnote/>
          <w:rtlGutter w:val="0"/>
          <w:docGrid w:linePitch="360"/>
        </w:sectPr>
      </w:pPr>
      <w:r>
        <mc:AlternateContent>
          <mc:Choice Requires="wps">
            <w:drawing>
              <wp:anchor distT="285750" distB="1329055" distL="0" distR="0" simplePos="0" relativeHeight="125829399" behindDoc="0" locked="0" layoutInCell="1" allowOverlap="1">
                <wp:simplePos x="0" y="0"/>
                <wp:positionH relativeFrom="page">
                  <wp:posOffset>629285</wp:posOffset>
                </wp:positionH>
                <wp:positionV relativeFrom="paragraph">
                  <wp:posOffset>285750</wp:posOffset>
                </wp:positionV>
                <wp:extent cx="326390" cy="176530"/>
                <wp:wrapTopAndBottom/>
                <wp:docPr id="40" name="Shape 40"/>
                <a:graphic xmlns:a="http://schemas.openxmlformats.org/drawingml/2006/main">
                  <a:graphicData uri="http://schemas.microsoft.com/office/word/2010/wordprocessingShape">
                    <wps:wsp>
                      <wps:cNvSpPr txBox="1"/>
                      <wps:spPr>
                        <a:xfrm>
                          <a:ext cx="326390" cy="1765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w:t>
                            </w:r>
                          </w:p>
                        </w:txbxContent>
                      </wps:txbx>
                      <wps:bodyPr wrap="none" lIns="0" tIns="0" rIns="0" bIns="0">
                        <a:noAutoFit/>
                      </wps:bodyPr>
                    </wps:wsp>
                  </a:graphicData>
                </a:graphic>
              </wp:anchor>
            </w:drawing>
          </mc:Choice>
          <mc:Fallback>
            <w:pict>
              <v:shape id="_x0000_s1066" type="#_x0000_t202" style="position:absolute;margin-left:49.550000000000004pt;margin-top:22.5pt;width:25.699999999999999pt;height:13.9pt;z-index:-125829354;mso-wrap-distance-left:0;mso-wrap-distance-top:22.5pt;mso-wrap-distance-right:0;mso-wrap-distance-bottom:104.6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w:t>
                      </w:r>
                    </w:p>
                  </w:txbxContent>
                </v:textbox>
                <w10:wrap type="topAndBottom" anchorx="page"/>
              </v:shape>
            </w:pict>
          </mc:Fallback>
        </mc:AlternateContent>
      </w:r>
      <w:r>
        <mc:AlternateContent>
          <mc:Choice Requires="wps">
            <w:drawing>
              <wp:anchor distT="279400" distB="1310640" distL="0" distR="0" simplePos="0" relativeHeight="125829401" behindDoc="0" locked="0" layoutInCell="1" allowOverlap="1">
                <wp:simplePos x="0" y="0"/>
                <wp:positionH relativeFrom="page">
                  <wp:posOffset>1083310</wp:posOffset>
                </wp:positionH>
                <wp:positionV relativeFrom="paragraph">
                  <wp:posOffset>279400</wp:posOffset>
                </wp:positionV>
                <wp:extent cx="1831975" cy="201295"/>
                <wp:wrapTopAndBottom/>
                <wp:docPr id="42" name="Shape 42"/>
                <a:graphic xmlns:a="http://schemas.openxmlformats.org/drawingml/2006/main">
                  <a:graphicData uri="http://schemas.microsoft.com/office/word/2010/wordprocessingShape">
                    <wps:wsp>
                      <wps:cNvSpPr txBox="1"/>
                      <wps:spPr>
                        <a:xfrm>
                          <a:ext cx="1831975" cy="2012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xbxContent>
                      </wps:txbx>
                      <wps:bodyPr wrap="none" lIns="0" tIns="0" rIns="0" bIns="0">
                        <a:noAutoFit/>
                      </wps:bodyPr>
                    </wps:wsp>
                  </a:graphicData>
                </a:graphic>
              </wp:anchor>
            </w:drawing>
          </mc:Choice>
          <mc:Fallback>
            <w:pict>
              <v:shape id="_x0000_s1068" type="#_x0000_t202" style="position:absolute;margin-left:85.299999999999997pt;margin-top:22.pt;width:144.25pt;height:15.85pt;z-index:-125829352;mso-wrap-distance-left:0;mso-wrap-distance-top:22.pt;mso-wrap-distance-right:0;mso-wrap-distance-bottom:103.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xbxContent>
                </v:textbox>
                <w10:wrap type="topAndBottom" anchorx="page"/>
              </v:shape>
            </w:pict>
          </mc:Fallback>
        </mc:AlternateContent>
      </w:r>
      <w:r>
        <mc:AlternateContent>
          <mc:Choice Requires="wps">
            <w:drawing>
              <wp:anchor distT="654050" distB="948055" distL="0" distR="0" simplePos="0" relativeHeight="125829403" behindDoc="0" locked="0" layoutInCell="1" allowOverlap="1">
                <wp:simplePos x="0" y="0"/>
                <wp:positionH relativeFrom="page">
                  <wp:posOffset>626110</wp:posOffset>
                </wp:positionH>
                <wp:positionV relativeFrom="paragraph">
                  <wp:posOffset>654050</wp:posOffset>
                </wp:positionV>
                <wp:extent cx="328930" cy="189230"/>
                <wp:wrapTopAndBottom/>
                <wp:docPr id="44" name="Shape 44"/>
                <a:graphic xmlns:a="http://schemas.openxmlformats.org/drawingml/2006/main">
                  <a:graphicData uri="http://schemas.microsoft.com/office/word/2010/wordprocessingShape">
                    <wps:wsp>
                      <wps:cNvSpPr txBox="1"/>
                      <wps:spPr>
                        <a:xfrm>
                          <a:ext cx="3289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2"/>
                                <w:szCs w:val="22"/>
                              </w:rPr>
                              <w:t>、</w:t>
                            </w:r>
                          </w:p>
                        </w:txbxContent>
                      </wps:txbx>
                      <wps:bodyPr wrap="none" lIns="0" tIns="0" rIns="0" bIns="0">
                        <a:noAutoFit/>
                      </wps:bodyPr>
                    </wps:wsp>
                  </a:graphicData>
                </a:graphic>
              </wp:anchor>
            </w:drawing>
          </mc:Choice>
          <mc:Fallback>
            <w:pict>
              <v:shape id="_x0000_s1070" type="#_x0000_t202" style="position:absolute;margin-left:49.300000000000004pt;margin-top:51.5pt;width:25.900000000000002pt;height:14.9pt;z-index:-125829350;mso-wrap-distance-left:0;mso-wrap-distance-top:51.5pt;mso-wrap-distance-right:0;mso-wrap-distance-bottom:74.65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2"/>
                          <w:szCs w:val="22"/>
                        </w:rPr>
                        <w:t>、</w:t>
                      </w:r>
                    </w:p>
                  </w:txbxContent>
                </v:textbox>
                <w10:wrap type="topAndBottom" anchorx="page"/>
              </v:shape>
            </w:pict>
          </mc:Fallback>
        </mc:AlternateContent>
      </w:r>
      <w:r>
        <mc:AlternateContent>
          <mc:Choice Requires="wps">
            <w:drawing>
              <wp:anchor distT="654050" distB="954405" distL="0" distR="0" simplePos="0" relativeHeight="125829405" behindDoc="0" locked="0" layoutInCell="1" allowOverlap="1">
                <wp:simplePos x="0" y="0"/>
                <wp:positionH relativeFrom="page">
                  <wp:posOffset>1083310</wp:posOffset>
                </wp:positionH>
                <wp:positionV relativeFrom="paragraph">
                  <wp:posOffset>654050</wp:posOffset>
                </wp:positionV>
                <wp:extent cx="633730" cy="182880"/>
                <wp:wrapTopAndBottom/>
                <wp:docPr id="46" name="Shape 46"/>
                <a:graphic xmlns:a="http://schemas.openxmlformats.org/drawingml/2006/main">
                  <a:graphicData uri="http://schemas.microsoft.com/office/word/2010/wordprocessingShape">
                    <wps:wsp>
                      <wps:cNvSpPr txBox="1"/>
                      <wps:spPr>
                        <a:xfrm>
                          <a:ext cx="63373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盈余公积</w:t>
                            </w:r>
                          </w:p>
                        </w:txbxContent>
                      </wps:txbx>
                      <wps:bodyPr wrap="none" lIns="0" tIns="0" rIns="0" bIns="0">
                        <a:noAutoFit/>
                      </wps:bodyPr>
                    </wps:wsp>
                  </a:graphicData>
                </a:graphic>
              </wp:anchor>
            </w:drawing>
          </mc:Choice>
          <mc:Fallback>
            <w:pict>
              <v:shape id="_x0000_s1072" type="#_x0000_t202" style="position:absolute;margin-left:85.299999999999997pt;margin-top:51.5pt;width:49.899999999999999pt;height:14.4pt;z-index:-125829348;mso-wrap-distance-left:0;mso-wrap-distance-top:51.5pt;mso-wrap-distance-right:0;mso-wrap-distance-bottom:75.15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盈余公积</w:t>
                      </w:r>
                    </w:p>
                  </w:txbxContent>
                </v:textbox>
                <w10:wrap type="topAndBottom" anchorx="page"/>
              </v:shape>
            </w:pict>
          </mc:Fallback>
        </mc:AlternateContent>
      </w:r>
      <w:r>
        <mc:AlternateContent>
          <mc:Choice Requires="wps">
            <w:drawing>
              <wp:anchor distT="1224280" distB="372110" distL="0" distR="0" simplePos="0" relativeHeight="125829407" behindDoc="0" locked="0" layoutInCell="1" allowOverlap="1">
                <wp:simplePos x="0" y="0"/>
                <wp:positionH relativeFrom="page">
                  <wp:posOffset>1089660</wp:posOffset>
                </wp:positionH>
                <wp:positionV relativeFrom="paragraph">
                  <wp:posOffset>1224280</wp:posOffset>
                </wp:positionV>
                <wp:extent cx="344170" cy="194945"/>
                <wp:wrapTopAndBottom/>
                <wp:docPr id="48" name="Shape 48"/>
                <a:graphic xmlns:a="http://schemas.openxmlformats.org/drawingml/2006/main">
                  <a:graphicData uri="http://schemas.microsoft.com/office/word/2010/wordprocessingShape">
                    <wps:wsp>
                      <wps:cNvSpPr txBox="1"/>
                      <wps:spPr>
                        <a:xfrm>
                          <a:ext cx="344170" cy="1949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项目</w:t>
                            </w:r>
                          </w:p>
                        </w:txbxContent>
                      </wps:txbx>
                      <wps:bodyPr wrap="none" lIns="0" tIns="0" rIns="0" bIns="0">
                        <a:noAutoFit/>
                      </wps:bodyPr>
                    </wps:wsp>
                  </a:graphicData>
                </a:graphic>
              </wp:anchor>
            </w:drawing>
          </mc:Choice>
          <mc:Fallback>
            <w:pict>
              <v:shape id="_x0000_s1074" type="#_x0000_t202" style="position:absolute;margin-left:85.799999999999997pt;margin-top:96.400000000000006pt;width:27.100000000000001pt;height:15.35pt;z-index:-125829346;mso-wrap-distance-left:0;mso-wrap-distance-top:96.400000000000006pt;mso-wrap-distance-right:0;mso-wrap-distance-bottom:29.3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项目</w:t>
                      </w:r>
                    </w:p>
                  </w:txbxContent>
                </v:textbox>
                <w10:wrap type="topAndBottom" anchorx="page"/>
              </v:shape>
            </w:pict>
          </mc:Fallback>
        </mc:AlternateContent>
      </w:r>
      <w:r>
        <mc:AlternateContent>
          <mc:Choice Requires="wps">
            <w:drawing>
              <wp:anchor distT="1026160" distB="377825" distL="0" distR="0" simplePos="0" relativeHeight="125829409" behindDoc="0" locked="0" layoutInCell="1" allowOverlap="1">
                <wp:simplePos x="0" y="0"/>
                <wp:positionH relativeFrom="page">
                  <wp:posOffset>2887980</wp:posOffset>
                </wp:positionH>
                <wp:positionV relativeFrom="paragraph">
                  <wp:posOffset>1026160</wp:posOffset>
                </wp:positionV>
                <wp:extent cx="719455" cy="387350"/>
                <wp:wrapTopAndBottom/>
                <wp:docPr id="50" name="Shape 50"/>
                <a:graphic xmlns:a="http://schemas.openxmlformats.org/drawingml/2006/main">
                  <a:graphicData uri="http://schemas.microsoft.com/office/word/2010/wordprocessingShape">
                    <wps:wsp>
                      <wps:cNvSpPr txBox="1"/>
                      <wps:spPr>
                        <a:xfrm>
                          <a:ext cx="719455" cy="38735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lIns="0" tIns="0" rIns="0" bIns="0">
                        <a:noAutoFit/>
                      </wps:bodyPr>
                    </wps:wsp>
                  </a:graphicData>
                </a:graphic>
              </wp:anchor>
            </w:drawing>
          </mc:Choice>
          <mc:Fallback>
            <w:pict>
              <v:shape id="_x0000_s1076" type="#_x0000_t202" style="position:absolute;margin-left:227.40000000000001pt;margin-top:80.799999999999997pt;width:56.649999999999999pt;height:30.5pt;z-index:-125829344;mso-wrap-distance-left:0;mso-wrap-distance-top:80.799999999999997pt;mso-wrap-distance-right:0;mso-wrap-distance-bottom:29.75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1224280" distB="384175" distL="0" distR="0" simplePos="0" relativeHeight="125829411" behindDoc="0" locked="0" layoutInCell="1" allowOverlap="1">
                <wp:simplePos x="0" y="0"/>
                <wp:positionH relativeFrom="page">
                  <wp:posOffset>4027805</wp:posOffset>
                </wp:positionH>
                <wp:positionV relativeFrom="paragraph">
                  <wp:posOffset>1224280</wp:posOffset>
                </wp:positionV>
                <wp:extent cx="633730" cy="182880"/>
                <wp:wrapTopAndBottom/>
                <wp:docPr id="52" name="Shape 52"/>
                <a:graphic xmlns:a="http://schemas.openxmlformats.org/drawingml/2006/main">
                  <a:graphicData uri="http://schemas.microsoft.com/office/word/2010/wordprocessingShape">
                    <wps:wsp>
                      <wps:cNvSpPr txBox="1"/>
                      <wps:spPr>
                        <a:xfrm>
                          <a:ext cx="63373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本年增加</w:t>
                            </w:r>
                          </w:p>
                        </w:txbxContent>
                      </wps:txbx>
                      <wps:bodyPr wrap="none" lIns="0" tIns="0" rIns="0" bIns="0">
                        <a:noAutoFit/>
                      </wps:bodyPr>
                    </wps:wsp>
                  </a:graphicData>
                </a:graphic>
              </wp:anchor>
            </w:drawing>
          </mc:Choice>
          <mc:Fallback>
            <w:pict>
              <v:shape id="_x0000_s1078" type="#_x0000_t202" style="position:absolute;margin-left:317.15000000000003pt;margin-top:96.400000000000006pt;width:49.899999999999999pt;height:14.4pt;z-index:-125829342;mso-wrap-distance-left:0;mso-wrap-distance-top:96.400000000000006pt;mso-wrap-distance-right:0;mso-wrap-distance-bottom:30.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本年增加</w:t>
                      </w:r>
                    </w:p>
                  </w:txbxContent>
                </v:textbox>
                <w10:wrap type="topAndBottom" anchorx="page"/>
              </v:shape>
            </w:pict>
          </mc:Fallback>
        </mc:AlternateContent>
      </w:r>
      <w:r>
        <mc:AlternateContent>
          <mc:Choice Requires="wps">
            <w:drawing>
              <wp:anchor distT="1224280" distB="381000" distL="0" distR="0" simplePos="0" relativeHeight="125829413" behindDoc="0" locked="0" layoutInCell="1" allowOverlap="1">
                <wp:simplePos x="0" y="0"/>
                <wp:positionH relativeFrom="page">
                  <wp:posOffset>5130800</wp:posOffset>
                </wp:positionH>
                <wp:positionV relativeFrom="paragraph">
                  <wp:posOffset>1224280</wp:posOffset>
                </wp:positionV>
                <wp:extent cx="633730" cy="186055"/>
                <wp:wrapTopAndBottom/>
                <wp:docPr id="54" name="Shape 54"/>
                <a:graphic xmlns:a="http://schemas.openxmlformats.org/drawingml/2006/main">
                  <a:graphicData uri="http://schemas.microsoft.com/office/word/2010/wordprocessingShape">
                    <wps:wsp>
                      <wps:cNvSpPr txBox="1"/>
                      <wps:spPr>
                        <a:xfrm>
                          <a:ext cx="63373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rPr>
                              <w:t>本年减少</w:t>
                            </w:r>
                          </w:p>
                        </w:txbxContent>
                      </wps:txbx>
                      <wps:bodyPr wrap="none" lIns="0" tIns="0" rIns="0" bIns="0">
                        <a:noAutoFit/>
                      </wps:bodyPr>
                    </wps:wsp>
                  </a:graphicData>
                </a:graphic>
              </wp:anchor>
            </w:drawing>
          </mc:Choice>
          <mc:Fallback>
            <w:pict>
              <v:shape id="_x0000_s1080" type="#_x0000_t202" style="position:absolute;margin-left:404.pt;margin-top:96.400000000000006pt;width:49.899999999999999pt;height:14.65pt;z-index:-125829340;mso-wrap-distance-left:0;mso-wrap-distance-top:96.400000000000006pt;mso-wrap-distance-right:0;mso-wrap-distance-bottom:30.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rPr>
                        <w:t>本年减少</w:t>
                      </w:r>
                    </w:p>
                  </w:txbxContent>
                </v:textbox>
                <w10:wrap type="topAndBottom" anchorx="page"/>
              </v:shape>
            </w:pict>
          </mc:Fallback>
        </mc:AlternateContent>
      </w:r>
      <w:r>
        <mc:AlternateContent>
          <mc:Choice Requires="wps">
            <w:drawing>
              <wp:anchor distT="1026160" distB="377825" distL="0" distR="0" simplePos="0" relativeHeight="125829415" behindDoc="0" locked="0" layoutInCell="1" allowOverlap="1">
                <wp:simplePos x="0" y="0"/>
                <wp:positionH relativeFrom="page">
                  <wp:posOffset>6191885</wp:posOffset>
                </wp:positionH>
                <wp:positionV relativeFrom="paragraph">
                  <wp:posOffset>1026160</wp:posOffset>
                </wp:positionV>
                <wp:extent cx="719455" cy="387350"/>
                <wp:wrapTopAndBottom/>
                <wp:docPr id="56" name="Shape 56"/>
                <a:graphic xmlns:a="http://schemas.openxmlformats.org/drawingml/2006/main">
                  <a:graphicData uri="http://schemas.microsoft.com/office/word/2010/wordprocessingShape">
                    <wps:wsp>
                      <wps:cNvSpPr txBox="1"/>
                      <wps:spPr>
                        <a:xfrm>
                          <a:ext cx="719455" cy="38735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lIns="0" tIns="0" rIns="0" bIns="0">
                        <a:noAutoFit/>
                      </wps:bodyPr>
                    </wps:wsp>
                  </a:graphicData>
                </a:graphic>
              </wp:anchor>
            </w:drawing>
          </mc:Choice>
          <mc:Fallback>
            <w:pict>
              <v:shape id="_x0000_s1082" type="#_x0000_t202" style="position:absolute;margin-left:487.55000000000001pt;margin-top:80.799999999999997pt;width:56.649999999999999pt;height:30.5pt;z-index:-125829338;mso-wrap-distance-left:0;mso-wrap-distance-top:80.799999999999997pt;mso-wrap-distance-right:0;mso-wrap-distance-bottom:29.75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1605280" distB="0" distL="0" distR="0" simplePos="0" relativeHeight="125829417" behindDoc="0" locked="0" layoutInCell="1" allowOverlap="1">
                <wp:simplePos x="0" y="0"/>
                <wp:positionH relativeFrom="page">
                  <wp:posOffset>1095375</wp:posOffset>
                </wp:positionH>
                <wp:positionV relativeFrom="paragraph">
                  <wp:posOffset>1605280</wp:posOffset>
                </wp:positionV>
                <wp:extent cx="938530" cy="186055"/>
                <wp:wrapTopAndBottom/>
                <wp:docPr id="58" name="Shape 58"/>
                <a:graphic xmlns:a="http://schemas.openxmlformats.org/drawingml/2006/main">
                  <a:graphicData uri="http://schemas.microsoft.com/office/word/2010/wordprocessingShape">
                    <wps:wsp>
                      <wps:cNvSpPr txBox="1"/>
                      <wps:spPr>
                        <a:xfrm>
                          <a:ext cx="93853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法定盈余公积</w:t>
                            </w:r>
                          </w:p>
                        </w:txbxContent>
                      </wps:txbx>
                      <wps:bodyPr wrap="none" lIns="0" tIns="0" rIns="0" bIns="0">
                        <a:noAutoFit/>
                      </wps:bodyPr>
                    </wps:wsp>
                  </a:graphicData>
                </a:graphic>
              </wp:anchor>
            </w:drawing>
          </mc:Choice>
          <mc:Fallback>
            <w:pict>
              <v:shape id="_x0000_s1084" type="#_x0000_t202" style="position:absolute;margin-left:86.25pt;margin-top:126.40000000000001pt;width:73.900000000000006pt;height:14.65pt;z-index:-125829336;mso-wrap-distance-left:0;mso-wrap-distance-top:126.4000000000000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法定盈余公积</w:t>
                      </w:r>
                    </w:p>
                  </w:txbxContent>
                </v:textbox>
                <w10:wrap type="topAndBottom" anchorx="page"/>
              </v:shape>
            </w:pict>
          </mc:Fallback>
        </mc:AlternateContent>
      </w:r>
      <w:r>
        <mc:AlternateContent>
          <mc:Choice Requires="wps">
            <w:drawing>
              <wp:anchor distT="1583690" distB="18415" distL="0" distR="0" simplePos="0" relativeHeight="125829419" behindDoc="0" locked="0" layoutInCell="1" allowOverlap="1">
                <wp:simplePos x="0" y="0"/>
                <wp:positionH relativeFrom="page">
                  <wp:posOffset>2851150</wp:posOffset>
                </wp:positionH>
                <wp:positionV relativeFrom="paragraph">
                  <wp:posOffset>1583690</wp:posOffset>
                </wp:positionV>
                <wp:extent cx="890270" cy="189230"/>
                <wp:wrapTopAndBottom/>
                <wp:docPr id="60" name="Shape 60"/>
                <a:graphic xmlns:a="http://schemas.openxmlformats.org/drawingml/2006/main">
                  <a:graphicData uri="http://schemas.microsoft.com/office/word/2010/wordprocessingShape">
                    <wps:wsp>
                      <wps:cNvSpPr txBox="1"/>
                      <wps:spPr>
                        <a:xfrm>
                          <a:ext cx="890270" cy="189230"/>
                        </a:xfrm>
                        <a:prstGeom prst="rect"/>
                        <a:noFill/>
                      </wps:spPr>
                      <wps:txbx>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u w:val="none"/>
                              </w:rPr>
                              <w:t>1,810,191,549</w:t>
                            </w:r>
                          </w:p>
                        </w:txbxContent>
                      </wps:txbx>
                      <wps:bodyPr wrap="none" lIns="0" tIns="0" rIns="0" bIns="0">
                        <a:noAutoFit/>
                      </wps:bodyPr>
                    </wps:wsp>
                  </a:graphicData>
                </a:graphic>
              </wp:anchor>
            </w:drawing>
          </mc:Choice>
          <mc:Fallback>
            <w:pict>
              <v:shape id="_x0000_s1086" type="#_x0000_t202" style="position:absolute;margin-left:224.5pt;margin-top:124.7pt;width:70.100000000000009pt;height:14.9pt;z-index:-125829334;mso-wrap-distance-left:0;mso-wrap-distance-top:124.7pt;mso-wrap-distance-right:0;mso-wrap-distance-bottom:1.45pt;mso-position-horizontal-relative:page" filled="f" stroked="f">
                <v:textbox inset="0,0,0,0">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u w:val="none"/>
                        </w:rPr>
                        <w:t>1,810,191,549</w:t>
                      </w:r>
                    </w:p>
                  </w:txbxContent>
                </v:textbox>
                <w10:wrap type="topAndBottom" anchorx="page"/>
              </v:shape>
            </w:pict>
          </mc:Fallback>
        </mc:AlternateContent>
      </w:r>
      <w:r>
        <mc:AlternateContent>
          <mc:Choice Requires="wps">
            <w:drawing>
              <wp:anchor distT="1583690" distB="18415" distL="0" distR="0" simplePos="0" relativeHeight="125829421" behindDoc="0" locked="0" layoutInCell="1" allowOverlap="1">
                <wp:simplePos x="0" y="0"/>
                <wp:positionH relativeFrom="page">
                  <wp:posOffset>4051935</wp:posOffset>
                </wp:positionH>
                <wp:positionV relativeFrom="paragraph">
                  <wp:posOffset>1583690</wp:posOffset>
                </wp:positionV>
                <wp:extent cx="792480" cy="189230"/>
                <wp:wrapTopAndBottom/>
                <wp:docPr id="62" name="Shape 62"/>
                <a:graphic xmlns:a="http://schemas.openxmlformats.org/drawingml/2006/main">
                  <a:graphicData uri="http://schemas.microsoft.com/office/word/2010/wordprocessingShape">
                    <wps:wsp>
                      <wps:cNvSpPr txBox="1"/>
                      <wps:spPr>
                        <a:xfrm>
                          <a:ext cx="792480" cy="189230"/>
                        </a:xfrm>
                        <a:prstGeom prst="rect"/>
                        <a:noFill/>
                      </wps:spPr>
                      <wps:txbx>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u w:val="none"/>
                              </w:rPr>
                              <w:t>387,581,403</w:t>
                            </w:r>
                          </w:p>
                        </w:txbxContent>
                      </wps:txbx>
                      <wps:bodyPr wrap="none" lIns="0" tIns="0" rIns="0" bIns="0">
                        <a:noAutoFit/>
                      </wps:bodyPr>
                    </wps:wsp>
                  </a:graphicData>
                </a:graphic>
              </wp:anchor>
            </w:drawing>
          </mc:Choice>
          <mc:Fallback>
            <w:pict>
              <v:shape id="_x0000_s1088" type="#_x0000_t202" style="position:absolute;margin-left:319.05000000000001pt;margin-top:124.7pt;width:62.399999999999999pt;height:14.9pt;z-index:-125829332;mso-wrap-distance-left:0;mso-wrap-distance-top:124.7pt;mso-wrap-distance-right:0;mso-wrap-distance-bottom:1.45pt;mso-position-horizontal-relative:page" filled="f" stroked="f">
                <v:textbox inset="0,0,0,0">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u w:val="none"/>
                        </w:rPr>
                        <w:t>387,581,403</w:t>
                      </w:r>
                    </w:p>
                  </w:txbxContent>
                </v:textbox>
                <w10:wrap type="topAndBottom" anchorx="page"/>
              </v:shape>
            </w:pict>
          </mc:Fallback>
        </mc:AlternateContent>
      </w:r>
      <w:r>
        <mc:AlternateContent>
          <mc:Choice Requires="wps">
            <w:drawing>
              <wp:anchor distT="1583690" distB="18415" distL="0" distR="0" simplePos="0" relativeHeight="125829423" behindDoc="0" locked="0" layoutInCell="1" allowOverlap="1">
                <wp:simplePos x="0" y="0"/>
                <wp:positionH relativeFrom="page">
                  <wp:posOffset>6139815</wp:posOffset>
                </wp:positionH>
                <wp:positionV relativeFrom="paragraph">
                  <wp:posOffset>1583690</wp:posOffset>
                </wp:positionV>
                <wp:extent cx="905510" cy="189230"/>
                <wp:wrapTopAndBottom/>
                <wp:docPr id="64" name="Shape 64"/>
                <a:graphic xmlns:a="http://schemas.openxmlformats.org/drawingml/2006/main">
                  <a:graphicData uri="http://schemas.microsoft.com/office/word/2010/wordprocessingShape">
                    <wps:wsp>
                      <wps:cNvSpPr txBox="1"/>
                      <wps:spPr>
                        <a:xfrm>
                          <a:ext cx="905510" cy="189230"/>
                        </a:xfrm>
                        <a:prstGeom prst="rect"/>
                        <a:noFill/>
                      </wps:spPr>
                      <wps:txbx>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u w:val="none"/>
                              </w:rPr>
                              <w:t>2,197,772,952</w:t>
                            </w:r>
                          </w:p>
                        </w:txbxContent>
                      </wps:txbx>
                      <wps:bodyPr wrap="none" lIns="0" tIns="0" rIns="0" bIns="0">
                        <a:noAutoFit/>
                      </wps:bodyPr>
                    </wps:wsp>
                  </a:graphicData>
                </a:graphic>
              </wp:anchor>
            </w:drawing>
          </mc:Choice>
          <mc:Fallback>
            <w:pict>
              <v:shape id="_x0000_s1090" type="#_x0000_t202" style="position:absolute;margin-left:483.44999999999999pt;margin-top:124.7pt;width:71.299999999999997pt;height:14.9pt;z-index:-125829330;mso-wrap-distance-left:0;mso-wrap-distance-top:124.7pt;mso-wrap-distance-right:0;mso-wrap-distance-bottom:1.45pt;mso-position-horizontal-relative:page" filled="f" stroked="f">
                <v:textbox inset="0,0,0,0">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u w:val="none"/>
                        </w:rPr>
                        <w:t>2,197,772,952</w:t>
                      </w:r>
                    </w:p>
                  </w:txbxContent>
                </v:textbox>
                <w10:wrap type="topAndBottom" anchorx="page"/>
              </v:shape>
            </w:pict>
          </mc:Fallback>
        </mc:AlternateContent>
      </w:r>
    </w:p>
    <w:p>
      <w:pPr>
        <w:widowControl w:val="0"/>
        <w:spacing w:line="146" w:lineRule="exact"/>
        <w:rPr>
          <w:sz w:val="12"/>
          <w:szCs w:val="12"/>
        </w:rPr>
      </w:pPr>
    </w:p>
    <w:p>
      <w:pPr>
        <w:widowControl w:val="0"/>
        <w:spacing w:line="1" w:lineRule="exact"/>
        <w:sectPr>
          <w:footnotePr>
            <w:pos w:val="pageBottom"/>
            <w:numFmt w:val="decimal"/>
            <w:numRestart w:val="continuous"/>
          </w:footnotePr>
          <w:type w:val="continuous"/>
          <w:pgSz w:w="11900" w:h="16840"/>
          <w:pgMar w:top="1599" w:right="0" w:bottom="2876" w:left="0" w:header="0" w:footer="3" w:gutter="0"/>
          <w:cols w:space="720"/>
          <w:noEndnote/>
          <w:rtlGutter w:val="0"/>
          <w:docGrid w:linePitch="360"/>
        </w:sectPr>
      </w:pPr>
    </w:p>
    <w:p>
      <w:pPr>
        <w:pStyle w:val="Style5"/>
        <w:keepNext w:val="0"/>
        <w:keepLines w:val="0"/>
        <w:widowControl w:val="0"/>
        <w:shd w:val="clear" w:color="auto" w:fill="auto"/>
        <w:bidi w:val="0"/>
        <w:spacing w:before="0" w:after="0" w:line="310" w:lineRule="exact"/>
        <w:ind w:left="740" w:right="0" w:firstLine="0"/>
        <w:jc w:val="both"/>
        <w:rPr>
          <w:sz w:val="22"/>
          <w:szCs w:val="22"/>
        </w:rPr>
      </w:pPr>
      <w:r>
        <w:rPr>
          <w:color w:val="000000"/>
          <w:spacing w:val="0"/>
          <w:w w:val="100"/>
          <w:position w:val="0"/>
          <w:sz w:val="22"/>
          <w:szCs w:val="22"/>
        </w:rPr>
        <w:t>根据《中华人民共和国公司法》及本公司《公司章程》，本公司于年度决算时按年度净利 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提取法定盈余公积金。当法定盈余公积金累计额达到股本的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2"/>
          <w:szCs w:val="22"/>
        </w:rPr>
        <w:t>以上时，可不再 提取。法定盈余公积金经批准后可用于弥补亏损，或者增加股本。</w:t>
      </w:r>
    </w:p>
    <w:p>
      <w:pPr>
        <w:widowControl w:val="0"/>
        <w:spacing w:line="1" w:lineRule="exact"/>
      </w:pPr>
      <w:r>
        <mc:AlternateContent>
          <mc:Choice Requires="wps">
            <w:drawing>
              <wp:anchor distT="114300" distB="0" distL="0" distR="0" simplePos="0" relativeHeight="125829425" behindDoc="0" locked="0" layoutInCell="1" allowOverlap="1">
                <wp:simplePos x="0" y="0"/>
                <wp:positionH relativeFrom="page">
                  <wp:posOffset>626110</wp:posOffset>
                </wp:positionH>
                <wp:positionV relativeFrom="paragraph">
                  <wp:posOffset>114300</wp:posOffset>
                </wp:positionV>
                <wp:extent cx="328930" cy="189230"/>
                <wp:wrapTopAndBottom/>
                <wp:docPr id="66" name="Shape 66"/>
                <a:graphic xmlns:a="http://schemas.openxmlformats.org/drawingml/2006/main">
                  <a:graphicData uri="http://schemas.microsoft.com/office/word/2010/wordprocessingShape">
                    <wps:wsp>
                      <wps:cNvSpPr txBox="1"/>
                      <wps:spPr>
                        <a:xfrm>
                          <a:ext cx="3289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2"/>
                                <w:szCs w:val="22"/>
                              </w:rPr>
                              <w:t>、</w:t>
                            </w:r>
                          </w:p>
                        </w:txbxContent>
                      </wps:txbx>
                      <wps:bodyPr wrap="none" lIns="0" tIns="0" rIns="0" bIns="0">
                        <a:noAutoFit/>
                      </wps:bodyPr>
                    </wps:wsp>
                  </a:graphicData>
                </a:graphic>
              </wp:anchor>
            </w:drawing>
          </mc:Choice>
          <mc:Fallback>
            <w:pict>
              <v:shape id="_x0000_s1092" type="#_x0000_t202" style="position:absolute;margin-left:49.300000000000004pt;margin-top:9.pt;width:25.900000000000002pt;height:14.9pt;z-index:-125829328;mso-wrap-distance-left:0;mso-wrap-distance-top:9.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2"/>
                          <w:szCs w:val="22"/>
                        </w:rPr>
                        <w:t>、</w:t>
                      </w:r>
                    </w:p>
                  </w:txbxContent>
                </v:textbox>
                <w10:wrap type="topAndBottom" anchorx="page"/>
              </v:shape>
            </w:pict>
          </mc:Fallback>
        </mc:AlternateContent>
      </w:r>
      <w:r>
        <mc:AlternateContent>
          <mc:Choice Requires="wps">
            <w:drawing>
              <wp:anchor distT="114300" distB="6350" distL="0" distR="0" simplePos="0" relativeHeight="125829427" behindDoc="0" locked="0" layoutInCell="1" allowOverlap="1">
                <wp:simplePos x="0" y="0"/>
                <wp:positionH relativeFrom="page">
                  <wp:posOffset>1086485</wp:posOffset>
                </wp:positionH>
                <wp:positionV relativeFrom="paragraph">
                  <wp:posOffset>114300</wp:posOffset>
                </wp:positionV>
                <wp:extent cx="783590" cy="182880"/>
                <wp:wrapTopAndBottom/>
                <wp:docPr id="68" name="Shape 68"/>
                <a:graphic xmlns:a="http://schemas.openxmlformats.org/drawingml/2006/main">
                  <a:graphicData uri="http://schemas.microsoft.com/office/word/2010/wordprocessingShape">
                    <wps:wsp>
                      <wps:cNvSpPr txBox="1"/>
                      <wps:spPr>
                        <a:xfrm>
                          <a:ext cx="78359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未分配利润</w:t>
                            </w:r>
                          </w:p>
                        </w:txbxContent>
                      </wps:txbx>
                      <wps:bodyPr wrap="none" lIns="0" tIns="0" rIns="0" bIns="0">
                        <a:noAutoFit/>
                      </wps:bodyPr>
                    </wps:wsp>
                  </a:graphicData>
                </a:graphic>
              </wp:anchor>
            </w:drawing>
          </mc:Choice>
          <mc:Fallback>
            <w:pict>
              <v:shape id="_x0000_s1094" type="#_x0000_t202" style="position:absolute;margin-left:85.549999999999997pt;margin-top:9.pt;width:61.700000000000003pt;height:14.4pt;z-index:-125829326;mso-wrap-distance-left:0;mso-wrap-distance-top:9.pt;mso-wrap-distance-right:0;mso-wrap-distance-bottom:0.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未分配利润</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599" w:right="714" w:bottom="2876" w:left="982" w:header="0" w:footer="3" w:gutter="0"/>
          <w:cols w:space="720"/>
          <w:noEndnote/>
          <w:rtlGutter w:val="0"/>
          <w:docGrid w:linePitch="360"/>
        </w:sectPr>
      </w:pPr>
      <w:r>
        <mc:AlternateContent>
          <mc:Choice Requires="wps">
            <w:drawing>
              <wp:anchor distT="177800" distB="0" distL="0" distR="0" simplePos="0" relativeHeight="125829429" behindDoc="0" locked="0" layoutInCell="1" allowOverlap="1">
                <wp:simplePos x="0" y="0"/>
                <wp:positionH relativeFrom="page">
                  <wp:posOffset>4945380</wp:posOffset>
                </wp:positionH>
                <wp:positionV relativeFrom="paragraph">
                  <wp:posOffset>177800</wp:posOffset>
                </wp:positionV>
                <wp:extent cx="719455" cy="389890"/>
                <wp:wrapTopAndBottom/>
                <wp:docPr id="70" name="Shape 70"/>
                <a:graphic xmlns:a="http://schemas.openxmlformats.org/drawingml/2006/main">
                  <a:graphicData uri="http://schemas.microsoft.com/office/word/2010/wordprocessingShape">
                    <wps:wsp>
                      <wps:cNvSpPr txBox="1"/>
                      <wps:spPr>
                        <a:xfrm>
                          <a:ext cx="719455" cy="38989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lIns="0" tIns="0" rIns="0" bIns="0">
                        <a:noAutoFit/>
                      </wps:bodyPr>
                    </wps:wsp>
                  </a:graphicData>
                </a:graphic>
              </wp:anchor>
            </w:drawing>
          </mc:Choice>
          <mc:Fallback>
            <w:pict>
              <v:shape id="_x0000_s1096" type="#_x0000_t202" style="position:absolute;margin-left:389.40000000000003pt;margin-top:14.pt;width:56.649999999999999pt;height:30.699999999999999pt;z-index:-125829324;mso-wrap-distance-left:0;mso-wrap-distance-top:14.pt;mso-wrap-distance-right:0;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177800" distB="0" distL="0" distR="0" simplePos="0" relativeHeight="125829431" behindDoc="0" locked="0" layoutInCell="1" allowOverlap="1">
                <wp:simplePos x="0" y="0"/>
                <wp:positionH relativeFrom="page">
                  <wp:posOffset>6142990</wp:posOffset>
                </wp:positionH>
                <wp:positionV relativeFrom="paragraph">
                  <wp:posOffset>177800</wp:posOffset>
                </wp:positionV>
                <wp:extent cx="719455" cy="389890"/>
                <wp:wrapTopAndBottom/>
                <wp:docPr id="72" name="Shape 72"/>
                <a:graphic xmlns:a="http://schemas.openxmlformats.org/drawingml/2006/main">
                  <a:graphicData uri="http://schemas.microsoft.com/office/word/2010/wordprocessingShape">
                    <wps:wsp>
                      <wps:cNvSpPr txBox="1"/>
                      <wps:spPr>
                        <a:xfrm>
                          <a:ext cx="719455" cy="38989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lIns="0" tIns="0" rIns="0" bIns="0">
                        <a:noAutoFit/>
                      </wps:bodyPr>
                    </wps:wsp>
                  </a:graphicData>
                </a:graphic>
              </wp:anchor>
            </w:drawing>
          </mc:Choice>
          <mc:Fallback>
            <w:pict>
              <v:shape id="_x0000_s1098" type="#_x0000_t202" style="position:absolute;margin-left:483.69999999999999pt;margin-top:14.pt;width:56.649999999999999pt;height:30.699999999999999pt;z-index:-125829322;mso-wrap-distance-left:0;mso-wrap-distance-top:14.pt;mso-wrap-distance-right:0;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p>
    <w:p>
      <w:pPr>
        <w:widowControl w:val="0"/>
        <w:spacing w:line="198" w:lineRule="exact"/>
        <w:rPr>
          <w:sz w:val="16"/>
          <w:szCs w:val="16"/>
        </w:rPr>
      </w:pPr>
    </w:p>
    <w:p>
      <w:pPr>
        <w:widowControl w:val="0"/>
        <w:spacing w:line="1" w:lineRule="exact"/>
        <w:sectPr>
          <w:footnotePr>
            <w:pos w:val="pageBottom"/>
            <w:numFmt w:val="decimal"/>
            <w:numRestart w:val="continuous"/>
          </w:footnotePr>
          <w:type w:val="continuous"/>
          <w:pgSz w:w="11900" w:h="16840"/>
          <w:pgMar w:top="1599" w:right="0" w:bottom="845" w:left="0" w:header="0" w:footer="3" w:gutter="0"/>
          <w:cols w:space="720"/>
          <w:noEndnote/>
          <w:rtlGutter w:val="0"/>
          <w:docGrid w:linePitch="360"/>
        </w:sectPr>
      </w:pPr>
    </w:p>
    <w:p>
      <w:pPr>
        <w:pStyle w:val="Style5"/>
        <w:keepNext w:val="0"/>
        <w:keepLines w:val="0"/>
        <w:widowControl w:val="0"/>
        <w:shd w:val="clear" w:color="auto" w:fill="auto"/>
        <w:bidi w:val="0"/>
        <w:spacing w:before="0" w:after="60" w:line="240" w:lineRule="auto"/>
        <w:ind w:left="0" w:right="0" w:firstLine="740"/>
        <w:jc w:val="both"/>
        <w:rPr>
          <w:sz w:val="22"/>
          <w:szCs w:val="22"/>
        </w:rPr>
      </w:pPr>
      <w:r>
        <mc:AlternateContent>
          <mc:Choice Requires="wps">
            <w:drawing>
              <wp:anchor distT="0" distB="0" distL="114300" distR="1315085" simplePos="0" relativeHeight="125829433" behindDoc="0" locked="0" layoutInCell="1" allowOverlap="1">
                <wp:simplePos x="0" y="0"/>
                <wp:positionH relativeFrom="page">
                  <wp:posOffset>4866005</wp:posOffset>
                </wp:positionH>
                <wp:positionV relativeFrom="paragraph">
                  <wp:posOffset>12700</wp:posOffset>
                </wp:positionV>
                <wp:extent cx="978535" cy="1158240"/>
                <wp:wrapSquare wrapText="left"/>
                <wp:docPr id="74" name="Shape 74"/>
                <a:graphic xmlns:a="http://schemas.openxmlformats.org/drawingml/2006/main">
                  <a:graphicData uri="http://schemas.microsoft.com/office/word/2010/wordprocessingShape">
                    <wps:wsp>
                      <wps:cNvSpPr txBox="1"/>
                      <wps:spPr>
                        <a:xfrm>
                          <a:ext cx="978535" cy="115824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none"/>
                              </w:rPr>
                              <w:t>39,391,758,341</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6,305,465,753</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387,581,403</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136,876,515</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3,527,682,499</w:t>
                            </w:r>
                          </w:p>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none"/>
                              </w:rPr>
                              <w:t>41,645,083,677</w:t>
                            </w:r>
                          </w:p>
                        </w:txbxContent>
                      </wps:txbx>
                      <wps:bodyPr lIns="0" tIns="0" rIns="0" bIns="0">
                        <a:noAutoFit/>
                      </wps:bodyPr>
                    </wps:wsp>
                  </a:graphicData>
                </a:graphic>
              </wp:anchor>
            </w:drawing>
          </mc:Choice>
          <mc:Fallback>
            <w:pict>
              <v:shape id="_x0000_s1100" type="#_x0000_t202" style="position:absolute;margin-left:383.15000000000003pt;margin-top:1.pt;width:77.049999999999997pt;height:91.200000000000003pt;z-index:-125829320;mso-wrap-distance-left:9.pt;mso-wrap-distance-right:103.55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none"/>
                        </w:rPr>
                        <w:t>39,391,758,341</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6,305,465,753</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387,581,403</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136,876,515</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3,527,682,499</w:t>
                      </w:r>
                    </w:p>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none"/>
                        </w:rPr>
                        <w:t>41,645,083,677</w:t>
                      </w:r>
                    </w:p>
                  </w:txbxContent>
                </v:textbox>
                <w10:wrap type="square" side="left" anchorx="page"/>
              </v:shape>
            </w:pict>
          </mc:Fallback>
        </mc:AlternateContent>
      </w:r>
      <w:r>
        <mc:AlternateContent>
          <mc:Choice Requires="wps">
            <w:drawing>
              <wp:anchor distT="0" distB="0" distL="1315085" distR="114300" simplePos="0" relativeHeight="125829435" behindDoc="0" locked="0" layoutInCell="1" allowOverlap="1">
                <wp:simplePos x="0" y="0"/>
                <wp:positionH relativeFrom="page">
                  <wp:posOffset>6066790</wp:posOffset>
                </wp:positionH>
                <wp:positionV relativeFrom="paragraph">
                  <wp:posOffset>12700</wp:posOffset>
                </wp:positionV>
                <wp:extent cx="978535" cy="1158240"/>
                <wp:wrapSquare wrapText="left"/>
                <wp:docPr id="76" name="Shape 76"/>
                <a:graphic xmlns:a="http://schemas.openxmlformats.org/drawingml/2006/main">
                  <a:graphicData uri="http://schemas.microsoft.com/office/word/2010/wordprocessingShape">
                    <wps:wsp>
                      <wps:cNvSpPr txBox="1"/>
                      <wps:spPr>
                        <a:xfrm>
                          <a:ext cx="978535" cy="115824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36,023,405,325</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5,521,311,508</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208,830,843</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70,186,985</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1,873,940,664</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39,391,758,341</w:t>
                            </w:r>
                          </w:p>
                        </w:txbxContent>
                      </wps:txbx>
                      <wps:bodyPr lIns="0" tIns="0" rIns="0" bIns="0">
                        <a:noAutoFit/>
                      </wps:bodyPr>
                    </wps:wsp>
                  </a:graphicData>
                </a:graphic>
              </wp:anchor>
            </w:drawing>
          </mc:Choice>
          <mc:Fallback>
            <w:pict>
              <v:shape id="_x0000_s1102" type="#_x0000_t202" style="position:absolute;margin-left:477.69999999999999pt;margin-top:1.pt;width:77.049999999999997pt;height:91.200000000000003pt;z-index:-125829318;mso-wrap-distance-left:103.55pt;mso-wrap-distance-right:9.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36,023,405,325</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5,521,311,508</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208,830,843</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70,186,985</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1,873,940,664</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39,391,758,341</w:t>
                      </w:r>
                    </w:p>
                  </w:txbxContent>
                </v:textbox>
                <w10:wrap type="square" side="left" anchorx="page"/>
              </v:shape>
            </w:pict>
          </mc:Fallback>
        </mc:AlternateContent>
      </w:r>
      <w:r>
        <w:rPr>
          <w:color w:val="000000"/>
          <w:spacing w:val="0"/>
          <w:w w:val="100"/>
          <w:position w:val="0"/>
          <w:sz w:val="22"/>
          <w:szCs w:val="22"/>
        </w:rPr>
        <w:t>年初未分配利润</w:t>
      </w:r>
    </w:p>
    <w:p>
      <w:pPr>
        <w:pStyle w:val="Style5"/>
        <w:keepNext w:val="0"/>
        <w:keepLines w:val="0"/>
        <w:widowControl w:val="0"/>
        <w:shd w:val="clear" w:color="auto" w:fill="auto"/>
        <w:bidi w:val="0"/>
        <w:spacing w:before="0" w:after="60" w:line="240" w:lineRule="auto"/>
        <w:ind w:left="0" w:right="0" w:firstLine="740"/>
        <w:jc w:val="both"/>
        <w:rPr>
          <w:sz w:val="22"/>
          <w:szCs w:val="22"/>
        </w:rPr>
      </w:pPr>
      <w:r>
        <w:rPr>
          <w:color w:val="000000"/>
          <w:spacing w:val="0"/>
          <w:w w:val="100"/>
          <w:position w:val="0"/>
          <w:sz w:val="22"/>
          <w:szCs w:val="22"/>
        </w:rPr>
        <w:t>加：本年归属于母公司股东的净利润</w:t>
      </w:r>
    </w:p>
    <w:p>
      <w:pPr>
        <w:pStyle w:val="Style5"/>
        <w:keepNext w:val="0"/>
        <w:keepLines w:val="0"/>
        <w:widowControl w:val="0"/>
        <w:shd w:val="clear" w:color="auto" w:fill="auto"/>
        <w:bidi w:val="0"/>
        <w:spacing w:before="0" w:after="60" w:line="240" w:lineRule="auto"/>
        <w:ind w:left="0" w:right="0" w:firstLine="740"/>
        <w:jc w:val="both"/>
        <w:rPr>
          <w:sz w:val="22"/>
          <w:szCs w:val="22"/>
        </w:rPr>
      </w:pPr>
      <w:r>
        <w:rPr>
          <w:color w:val="000000"/>
          <w:spacing w:val="0"/>
          <w:w w:val="100"/>
          <w:position w:val="0"/>
          <w:sz w:val="22"/>
          <w:szCs w:val="22"/>
        </w:rPr>
        <w:t>减：提取法定盈余公积</w:t>
      </w:r>
    </w:p>
    <w:p>
      <w:pPr>
        <w:pStyle w:val="Style5"/>
        <w:keepNext w:val="0"/>
        <w:keepLines w:val="0"/>
        <w:widowControl w:val="0"/>
        <w:shd w:val="clear" w:color="auto" w:fill="auto"/>
        <w:bidi w:val="0"/>
        <w:spacing w:before="0" w:after="60" w:line="240" w:lineRule="auto"/>
        <w:ind w:left="1240" w:right="0" w:firstLine="0"/>
        <w:jc w:val="both"/>
        <w:rPr>
          <w:sz w:val="22"/>
          <w:szCs w:val="22"/>
        </w:rPr>
      </w:pPr>
      <w:r>
        <w:rPr>
          <w:color w:val="000000"/>
          <w:spacing w:val="0"/>
          <w:w w:val="100"/>
          <w:position w:val="0"/>
          <w:sz w:val="22"/>
          <w:szCs w:val="22"/>
        </w:rPr>
        <w:t>提取一般风险准备</w:t>
      </w:r>
    </w:p>
    <w:p>
      <w:pPr>
        <w:pStyle w:val="Style5"/>
        <w:keepNext w:val="0"/>
        <w:keepLines w:val="0"/>
        <w:widowControl w:val="0"/>
        <w:shd w:val="clear" w:color="auto" w:fill="auto"/>
        <w:bidi w:val="0"/>
        <w:spacing w:before="0" w:after="60" w:line="240" w:lineRule="auto"/>
        <w:ind w:left="1240" w:right="0" w:firstLine="0"/>
        <w:jc w:val="both"/>
        <w:rPr>
          <w:sz w:val="22"/>
          <w:szCs w:val="22"/>
        </w:rPr>
      </w:pPr>
      <w:r>
        <w:rPr>
          <w:color w:val="000000"/>
          <w:spacing w:val="0"/>
          <w:w w:val="100"/>
          <w:position w:val="0"/>
          <w:sz w:val="22"/>
          <w:szCs w:val="22"/>
        </w:rPr>
        <w:t>应付普通股股利</w:t>
      </w:r>
    </w:p>
    <w:p>
      <w:pPr>
        <w:pStyle w:val="Style5"/>
        <w:keepNext w:val="0"/>
        <w:keepLines w:val="0"/>
        <w:widowControl w:val="0"/>
        <w:shd w:val="clear" w:color="auto" w:fill="auto"/>
        <w:bidi w:val="0"/>
        <w:spacing w:before="0" w:after="280" w:line="240" w:lineRule="auto"/>
        <w:ind w:left="0" w:right="0" w:firstLine="740"/>
        <w:jc w:val="both"/>
        <w:rPr>
          <w:sz w:val="22"/>
          <w:szCs w:val="22"/>
        </w:rPr>
      </w:pPr>
      <w:r>
        <w:rPr>
          <w:color w:val="000000"/>
          <w:spacing w:val="0"/>
          <w:w w:val="100"/>
          <w:position w:val="0"/>
          <w:sz w:val="22"/>
          <w:szCs w:val="22"/>
        </w:rPr>
        <w:t>年末未分配利润</w:t>
      </w:r>
    </w:p>
    <w:p>
      <w:pPr>
        <w:pStyle w:val="Style5"/>
        <w:keepNext w:val="0"/>
        <w:keepLines w:val="0"/>
        <w:widowControl w:val="0"/>
        <w:shd w:val="clear" w:color="auto" w:fill="auto"/>
        <w:bidi w:val="0"/>
        <w:spacing w:before="0" w:after="240" w:line="317" w:lineRule="exact"/>
        <w:ind w:left="74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日，本公司股东大会批准《公司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年度利润分配议案》，根据本公司 对现金红利实施公告中确定的股权登记日收市后在册的股份数为基数向全体股东派发现金 股利每股人民币</w:t>
      </w:r>
      <w:r>
        <w:rPr>
          <w:rFonts w:ascii="Times New Roman" w:eastAsia="Times New Roman" w:hAnsi="Times New Roman" w:cs="Times New Roman"/>
          <w:color w:val="000000"/>
          <w:spacing w:val="0"/>
          <w:w w:val="100"/>
          <w:position w:val="0"/>
          <w:sz w:val="24"/>
          <w:szCs w:val="24"/>
        </w:rPr>
        <w:t>0.0669</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，共计约人民币</w:t>
      </w:r>
      <w:r>
        <w:rPr>
          <w:rFonts w:ascii="Times New Roman" w:eastAsia="Times New Roman" w:hAnsi="Times New Roman" w:cs="Times New Roman"/>
          <w:color w:val="000000"/>
          <w:spacing w:val="0"/>
          <w:w w:val="100"/>
          <w:position w:val="0"/>
          <w:sz w:val="24"/>
          <w:szCs w:val="24"/>
        </w:rPr>
        <w:t>20.40</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年：约人民币</w:t>
      </w:r>
      <w:r>
        <w:rPr>
          <w:rFonts w:ascii="Times New Roman" w:eastAsia="Times New Roman" w:hAnsi="Times New Roman" w:cs="Times New Roman"/>
          <w:color w:val="000000"/>
          <w:spacing w:val="0"/>
          <w:w w:val="100"/>
          <w:position w:val="0"/>
          <w:sz w:val="24"/>
          <w:szCs w:val="24"/>
        </w:rPr>
        <w:t>18.74</w:t>
      </w:r>
      <w:r>
        <w:rPr>
          <w:color w:val="000000"/>
          <w:spacing w:val="0"/>
          <w:w w:val="100"/>
          <w:position w:val="0"/>
          <w:sz w:val="22"/>
          <w:szCs w:val="22"/>
        </w:rPr>
        <w:t>亿 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280" w:line="314" w:lineRule="exact"/>
        <w:ind w:left="74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2"/>
          <w:szCs w:val="22"/>
        </w:rPr>
        <w:t>日，本公司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年第三次临时股东大会批准《公司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半年度利润分 配议案》，根据本公司对现金红利实施公告中确定的股权登记日收市后在册的股份数为基 数向全体股东派发现金股利每股人民币</w:t>
      </w:r>
      <w:r>
        <w:rPr>
          <w:rFonts w:ascii="Times New Roman" w:eastAsia="Times New Roman" w:hAnsi="Times New Roman" w:cs="Times New Roman"/>
          <w:color w:val="000000"/>
          <w:spacing w:val="0"/>
          <w:w w:val="100"/>
          <w:position w:val="0"/>
          <w:sz w:val="24"/>
          <w:szCs w:val="24"/>
        </w:rPr>
        <w:t>0.0488</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，共计约人民币</w:t>
      </w:r>
      <w:r>
        <w:rPr>
          <w:rFonts w:ascii="Times New Roman" w:eastAsia="Times New Roman" w:hAnsi="Times New Roman" w:cs="Times New Roman"/>
          <w:color w:val="000000"/>
          <w:spacing w:val="0"/>
          <w:w w:val="100"/>
          <w:position w:val="0"/>
          <w:sz w:val="24"/>
          <w:szCs w:val="24"/>
        </w:rPr>
        <w:t>14.87</w:t>
      </w:r>
      <w:r>
        <w:rPr>
          <w:color w:val="000000"/>
          <w:spacing w:val="0"/>
          <w:w w:val="100"/>
          <w:position w:val="0"/>
          <w:sz w:val="22"/>
          <w:szCs w:val="22"/>
        </w:rPr>
        <w:t>亿元。</w:t>
      </w:r>
    </w:p>
    <w:p>
      <w:pPr>
        <w:pStyle w:val="Style5"/>
        <w:keepNext w:val="0"/>
        <w:keepLines w:val="0"/>
        <w:widowControl w:val="0"/>
        <w:shd w:val="clear" w:color="auto" w:fill="auto"/>
        <w:bidi w:val="0"/>
        <w:spacing w:before="0" w:after="60" w:line="302" w:lineRule="exact"/>
        <w:ind w:left="74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日，本集团归属于母公司的未分配利润中包含了本公司的子公司提取的 盈余公积约人民币</w:t>
      </w:r>
      <w:r>
        <w:rPr>
          <w:rFonts w:ascii="Times New Roman" w:eastAsia="Times New Roman" w:hAnsi="Times New Roman" w:cs="Times New Roman"/>
          <w:color w:val="000000"/>
          <w:spacing w:val="0"/>
          <w:w w:val="100"/>
          <w:position w:val="0"/>
          <w:sz w:val="24"/>
          <w:szCs w:val="24"/>
        </w:rPr>
        <w:t>122.85</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109.01</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8" w:val="left"/>
        </w:tabs>
        <w:bidi w:val="0"/>
        <w:spacing w:before="0" w:after="30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8" w:val="left"/>
        </w:tabs>
        <w:bidi w:val="0"/>
        <w:spacing w:before="0" w:after="3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2"/>
          <w:szCs w:val="22"/>
        </w:rPr>
        <w:t>、</w:t>
        <w:tab/>
        <w:t>营业收入和营业成本</w:t>
      </w:r>
    </w:p>
    <w:tbl>
      <w:tblPr>
        <w:tblOverlap w:val="never"/>
        <w:jc w:val="right"/>
        <w:tblLayout w:type="fixed"/>
      </w:tblPr>
      <w:tblGrid>
        <w:gridCol w:w="4430"/>
        <w:gridCol w:w="3115"/>
        <w:gridCol w:w="1858"/>
      </w:tblGrid>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6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语音通话及月租费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22,038,801,075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23,182,657,477</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增值服务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22,444,377,497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21,287,045,356</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宽带及移动数据服务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155,918,253,663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150,729,530,095</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数据及其他互联网应用收入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60,833,302,299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47,922,896,358</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网间结算收入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12,542,263,882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12,306,902,819</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电路及网元服务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17,893,566,099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16,518,665,381</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4,482,586,456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3,866,006,171</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296,153,150,971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275,813,703,657</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销售通信产品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31,701,343,148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28,024,366,934</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327,854,494,119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303,838,070,591</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其中：合同产生的收入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326,615,010,422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302,731,997,386</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其他收入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1,239,483,697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1,106,073,205</w:t>
            </w:r>
          </w:p>
        </w:tc>
      </w:tr>
    </w:tbl>
    <w:p>
      <w:pPr>
        <w:widowControl w:val="0"/>
        <w:spacing w:after="239" w:line="1" w:lineRule="exact"/>
      </w:pPr>
    </w:p>
    <w:p>
      <w:pPr>
        <w:pStyle w:val="Style5"/>
        <w:keepNext w:val="0"/>
        <w:keepLines w:val="0"/>
        <w:widowControl w:val="0"/>
        <w:shd w:val="clear" w:color="auto" w:fill="auto"/>
        <w:bidi w:val="0"/>
        <w:spacing w:before="0" w:after="300" w:line="310" w:lineRule="exact"/>
        <w:ind w:left="720" w:right="0" w:firstLine="0"/>
        <w:jc w:val="both"/>
        <w:rPr>
          <w:sz w:val="22"/>
          <w:szCs w:val="22"/>
        </w:rPr>
      </w:pPr>
      <w:r>
        <w:rPr>
          <w:color w:val="000000"/>
          <w:spacing w:val="0"/>
          <w:w w:val="100"/>
          <w:position w:val="0"/>
          <w:sz w:val="22"/>
          <w:szCs w:val="22"/>
        </w:rPr>
        <w:t>本集团的收入主要来自于向用户提供包括语音、数据接入、电信增值服务、互联网应用等 电信服务，以及销售或捆绑销售包括终端在内的通信产品。一般情况下，与个人用户签订 的电信服务合同都是月度合同或者预计期限在一年以内的合同，与商务用户或政企客户签 订的电信服务合同是</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年的固定期限合同。本集团每月按照固定的单价和实际服务量 向大部分用户发出账单，并取得收款权。本集团对于预计期限在一年或更短期限的合同， 以及有权按履约义务完成进度向客户发出账单确认收入的合同，采用收入准则允许的实际 操作简化处理方法，因此，未披露剩余履约义务的相关信息。</w:t>
      </w:r>
    </w:p>
    <w:tbl>
      <w:tblPr>
        <w:tblOverlap w:val="never"/>
        <w:jc w:val="right"/>
        <w:tblLayout w:type="fixed"/>
      </w:tblPr>
      <w:tblGrid>
        <w:gridCol w:w="4070"/>
        <w:gridCol w:w="3480"/>
        <w:gridCol w:w="1853"/>
      </w:tblGrid>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6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折旧及摊销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81,513,916,950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78,645,636,681</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网间结算支出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11,556,533,116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10,574,496,889</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人工成本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40,081,176,716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37,553,566,347</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网络运行及支撑成本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53,086,653,047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46,286,180,416</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技术服务成本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14,325,513,459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10,216,342,878</w:t>
            </w:r>
          </w:p>
        </w:tc>
      </w:tr>
      <w:tr>
        <w:trPr>
          <w:trHeight w:val="32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16,114,005,914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14,401,371,555</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216,677,799,202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197,677,594,766</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销售通信产品成本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30,682,785,736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26,861,588,427</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247,360,584,938</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224,539,183,193</w:t>
            </w:r>
          </w:p>
        </w:tc>
      </w:tr>
    </w:tbl>
    <w:p>
      <w:pPr>
        <w:spacing w:lineRule="exact" w:line="1"/>
        <w:rPr>
          <w:sz w:val="2"/>
          <w:szCs w:val="2"/>
        </w:rPr>
      </w:pPr>
      <w:r>
        <w:br w:type="page"/>
      </w:r>
    </w:p>
    <w:p>
      <w:pPr>
        <w:pStyle w:val="Style97"/>
        <w:keepNext/>
        <w:keepLines/>
        <w:widowControl w:val="0"/>
        <w:shd w:val="clear" w:color="auto" w:fill="auto"/>
        <w:bidi w:val="0"/>
        <w:spacing w:before="0" w:after="40" w:line="240" w:lineRule="auto"/>
        <w:ind w:left="0" w:right="0" w:firstLine="0"/>
        <w:jc w:val="left"/>
      </w:pPr>
      <w:bookmarkStart w:id="1308" w:name="bookmark1308"/>
      <w:bookmarkStart w:id="1309" w:name="bookmark1309"/>
      <w:bookmarkStart w:id="1310" w:name="bookmark1310"/>
      <w:r>
        <w:rPr>
          <w:color w:val="000000"/>
          <w:spacing w:val="0"/>
          <w:w w:val="100"/>
          <w:position w:val="0"/>
        </w:rPr>
        <w:t>财务报表附注</w:t>
      </w:r>
      <w:bookmarkEnd w:id="1308"/>
      <w:bookmarkEnd w:id="1309"/>
      <w:bookmarkEnd w:id="1310"/>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311"/>
      <w:bookmarkEnd w:id="1312"/>
      <w:bookmarkEnd w:id="1313"/>
    </w:p>
    <w:p>
      <w:pPr>
        <w:pStyle w:val="Style97"/>
        <w:keepNext/>
        <w:keepLines/>
        <w:widowControl w:val="0"/>
        <w:shd w:val="clear" w:color="auto" w:fill="auto"/>
        <w:tabs>
          <w:tab w:pos="672" w:val="left"/>
        </w:tabs>
        <w:bidi w:val="0"/>
        <w:spacing w:before="0" w:after="280" w:line="240" w:lineRule="auto"/>
        <w:ind w:left="0" w:right="0" w:firstLine="0"/>
        <w:jc w:val="left"/>
      </w:pPr>
      <w:bookmarkStart w:id="1314" w:name="bookmark1314"/>
      <w:bookmarkStart w:id="1315" w:name="bookmark1315"/>
      <w:bookmarkStart w:id="1316" w:name="bookmark1316"/>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314"/>
      <w:bookmarkEnd w:id="1315"/>
      <w:bookmarkEnd w:id="1316"/>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2"/>
          <w:szCs w:val="22"/>
        </w:rPr>
        <w:t>、 税金及附加</w:t>
      </w:r>
    </w:p>
    <w:tbl>
      <w:tblPr>
        <w:tblOverlap w:val="never"/>
        <w:jc w:val="center"/>
        <w:tblLayout w:type="fixed"/>
      </w:tblPr>
      <w:tblGrid>
        <w:gridCol w:w="5443"/>
        <w:gridCol w:w="2995"/>
        <w:gridCol w:w="1704"/>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城市维护建设税及教育费附加等</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24"/>
                <w:szCs w:val="24"/>
              </w:rPr>
            </w:pPr>
            <w:r>
              <w:rPr>
                <w:rFonts w:ascii="Times New Roman" w:eastAsia="Times New Roman" w:hAnsi="Times New Roman" w:cs="Times New Roman"/>
                <w:color w:val="000000"/>
                <w:spacing w:val="0"/>
                <w:w w:val="100"/>
                <w:position w:val="0"/>
                <w:sz w:val="24"/>
                <w:szCs w:val="24"/>
              </w:rPr>
              <w:t>320,234,316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307,310,094</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房产税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24"/>
                <w:szCs w:val="24"/>
              </w:rPr>
            </w:pPr>
            <w:r>
              <w:rPr>
                <w:rFonts w:ascii="Times New Roman" w:eastAsia="Times New Roman" w:hAnsi="Times New Roman" w:cs="Times New Roman"/>
                <w:color w:val="000000"/>
                <w:spacing w:val="0"/>
                <w:w w:val="100"/>
                <w:position w:val="0"/>
                <w:sz w:val="24"/>
                <w:szCs w:val="24"/>
              </w:rPr>
              <w:t>807,159,607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768,619,113</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both"/>
              <w:rPr>
                <w:sz w:val="24"/>
                <w:szCs w:val="24"/>
              </w:rPr>
            </w:pPr>
            <w:r>
              <w:rPr>
                <w:rFonts w:ascii="Times New Roman" w:eastAsia="Times New Roman" w:hAnsi="Times New Roman" w:cs="Times New Roman"/>
                <w:color w:val="000000"/>
                <w:spacing w:val="0"/>
                <w:w w:val="100"/>
                <w:position w:val="0"/>
                <w:sz w:val="24"/>
                <w:szCs w:val="24"/>
              </w:rPr>
              <w:t>299,704,713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277,907,588</w:t>
            </w:r>
          </w:p>
        </w:tc>
      </w:tr>
      <w:tr>
        <w:trPr>
          <w:trHeight w:val="45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1,427,098,636</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1,353,836,795</w:t>
            </w:r>
          </w:p>
        </w:tc>
      </w:tr>
      <w:tr>
        <w:trPr>
          <w:trHeight w:val="590" w:hRule="exact"/>
        </w:trPr>
        <w:tc>
          <w:tcPr>
            <w:tcBorders/>
            <w:shd w:val="clear" w:color="auto" w:fill="FFFFFF"/>
            <w:vAlign w:val="center"/>
          </w:tcPr>
          <w:p>
            <w:pPr>
              <w:pStyle w:val="Style22"/>
              <w:keepNext w:val="0"/>
              <w:keepLines w:val="0"/>
              <w:widowControl w:val="0"/>
              <w:shd w:val="clear" w:color="auto" w:fill="auto"/>
              <w:tabs>
                <w:tab w:pos="715"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2"/>
                <w:szCs w:val="22"/>
              </w:rPr>
              <w:t>、</w:t>
              <w:tab/>
              <w:t>销售费用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销售渠道费用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24"/>
                <w:szCs w:val="24"/>
              </w:rPr>
            </w:pPr>
            <w:r>
              <w:rPr>
                <w:rFonts w:ascii="Times New Roman" w:eastAsia="Times New Roman" w:hAnsi="Times New Roman" w:cs="Times New Roman"/>
                <w:color w:val="000000"/>
                <w:spacing w:val="0"/>
                <w:w w:val="100"/>
                <w:position w:val="0"/>
                <w:sz w:val="24"/>
                <w:szCs w:val="24"/>
              </w:rPr>
              <w:t>23,178,346,913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21,040,887,285</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广告及业务宣传费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2,681,678,131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2,722,921,644</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用户服务及维系成本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3,202,828,073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3,006,585,483</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用户终端接入及维护成本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1,999,293,282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2,744,395,788</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1,150,285,716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946,245,196</w:t>
            </w:r>
          </w:p>
        </w:tc>
      </w:tr>
      <w:tr>
        <w:trPr>
          <w:trHeight w:val="45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340" w:right="0" w:firstLine="0"/>
              <w:jc w:val="both"/>
              <w:rPr>
                <w:sz w:val="24"/>
                <w:szCs w:val="24"/>
              </w:rPr>
            </w:pPr>
            <w:r>
              <w:rPr>
                <w:rFonts w:ascii="Times New Roman" w:eastAsia="Times New Roman" w:hAnsi="Times New Roman" w:cs="Times New Roman"/>
                <w:color w:val="000000"/>
                <w:spacing w:val="0"/>
                <w:w w:val="100"/>
                <w:position w:val="0"/>
                <w:sz w:val="24"/>
                <w:szCs w:val="24"/>
              </w:rPr>
              <w:t>32,212,432,115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30,461,035,396</w:t>
            </w:r>
          </w:p>
        </w:tc>
      </w:tr>
      <w:tr>
        <w:trPr>
          <w:trHeight w:val="590" w:hRule="exact"/>
        </w:trPr>
        <w:tc>
          <w:tcPr>
            <w:tcBorders/>
            <w:shd w:val="clear" w:color="auto" w:fill="FFFFFF"/>
            <w:vAlign w:val="center"/>
          </w:tcPr>
          <w:p>
            <w:pPr>
              <w:pStyle w:val="Style22"/>
              <w:keepNext w:val="0"/>
              <w:keepLines w:val="0"/>
              <w:widowControl w:val="0"/>
              <w:shd w:val="clear" w:color="auto" w:fill="auto"/>
              <w:tabs>
                <w:tab w:pos="720"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2"/>
                <w:szCs w:val="22"/>
              </w:rPr>
              <w:t>、</w:t>
              <w:tab/>
              <w:t>管理费用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人工成本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24"/>
                <w:szCs w:val="24"/>
              </w:rPr>
            </w:pPr>
            <w:r>
              <w:rPr>
                <w:rFonts w:ascii="Times New Roman" w:eastAsia="Times New Roman" w:hAnsi="Times New Roman" w:cs="Times New Roman"/>
                <w:color w:val="000000"/>
                <w:spacing w:val="0"/>
                <w:w w:val="100"/>
                <w:position w:val="0"/>
                <w:sz w:val="24"/>
                <w:szCs w:val="24"/>
              </w:rPr>
              <w:t>15,745,856,360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16,155,255,647</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办公及交通费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24"/>
                <w:szCs w:val="24"/>
              </w:rPr>
            </w:pPr>
            <w:r>
              <w:rPr>
                <w:rFonts w:ascii="Times New Roman" w:eastAsia="Times New Roman" w:hAnsi="Times New Roman" w:cs="Times New Roman"/>
                <w:color w:val="000000"/>
                <w:spacing w:val="0"/>
                <w:w w:val="100"/>
                <w:position w:val="0"/>
                <w:sz w:val="24"/>
                <w:szCs w:val="24"/>
              </w:rPr>
              <w:t>960,532,045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1,010,334,617</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折旧及摊销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3,662,480,259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4,140,307,226</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差旅费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24"/>
                <w:szCs w:val="24"/>
              </w:rPr>
            </w:pPr>
            <w:r>
              <w:rPr>
                <w:rFonts w:ascii="Times New Roman" w:eastAsia="Times New Roman" w:hAnsi="Times New Roman" w:cs="Times New Roman"/>
                <w:color w:val="000000"/>
                <w:spacing w:val="0"/>
                <w:w w:val="100"/>
                <w:position w:val="0"/>
                <w:sz w:val="24"/>
                <w:szCs w:val="24"/>
              </w:rPr>
              <w:t>160,253,137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158,607,174</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水电取暖费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24"/>
                <w:szCs w:val="24"/>
              </w:rPr>
            </w:pPr>
            <w:r>
              <w:rPr>
                <w:rFonts w:ascii="Times New Roman" w:eastAsia="Times New Roman" w:hAnsi="Times New Roman" w:cs="Times New Roman"/>
                <w:color w:val="000000"/>
                <w:spacing w:val="0"/>
                <w:w w:val="100"/>
                <w:position w:val="0"/>
                <w:sz w:val="24"/>
                <w:szCs w:val="24"/>
              </w:rPr>
              <w:t>638,857,558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628,662,000</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房屋短期租赁及相关费用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1,767,484,455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1,640,852,629</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规费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24"/>
                <w:szCs w:val="24"/>
              </w:rPr>
            </w:pPr>
            <w:r>
              <w:rPr>
                <w:rFonts w:ascii="Times New Roman" w:eastAsia="Times New Roman" w:hAnsi="Times New Roman" w:cs="Times New Roman"/>
                <w:color w:val="000000"/>
                <w:spacing w:val="0"/>
                <w:w w:val="100"/>
                <w:position w:val="0"/>
                <w:sz w:val="24"/>
                <w:szCs w:val="24"/>
              </w:rPr>
              <w:t>280,434,302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253,401,291</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专业服务及咨询费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24"/>
                <w:szCs w:val="24"/>
              </w:rPr>
            </w:pPr>
            <w:r>
              <w:rPr>
                <w:rFonts w:ascii="Times New Roman" w:eastAsia="Times New Roman" w:hAnsi="Times New Roman" w:cs="Times New Roman"/>
                <w:color w:val="000000"/>
                <w:spacing w:val="0"/>
                <w:w w:val="100"/>
                <w:position w:val="0"/>
                <w:sz w:val="24"/>
                <w:szCs w:val="24"/>
              </w:rPr>
              <w:t>381,761,303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290,601,259</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460" w:right="0" w:firstLine="0"/>
              <w:jc w:val="both"/>
              <w:rPr>
                <w:sz w:val="24"/>
                <w:szCs w:val="24"/>
              </w:rPr>
            </w:pPr>
            <w:r>
              <w:rPr>
                <w:rFonts w:ascii="Times New Roman" w:eastAsia="Times New Roman" w:hAnsi="Times New Roman" w:cs="Times New Roman"/>
                <w:color w:val="000000"/>
                <w:spacing w:val="0"/>
                <w:w w:val="100"/>
                <w:position w:val="0"/>
                <w:sz w:val="24"/>
                <w:szCs w:val="24"/>
              </w:rPr>
              <w:t>1,181,959,159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1,481,147,264</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340" w:right="0" w:firstLine="0"/>
              <w:jc w:val="both"/>
              <w:rPr>
                <w:sz w:val="24"/>
                <w:szCs w:val="24"/>
              </w:rPr>
            </w:pPr>
            <w:r>
              <w:rPr>
                <w:rFonts w:ascii="Times New Roman" w:eastAsia="Times New Roman" w:hAnsi="Times New Roman" w:cs="Times New Roman"/>
                <w:color w:val="000000"/>
                <w:spacing w:val="0"/>
                <w:w w:val="100"/>
                <w:position w:val="0"/>
                <w:sz w:val="24"/>
                <w:szCs w:val="24"/>
              </w:rPr>
              <w:t>24,779,618,578</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25,759,169,107</w:t>
            </w:r>
          </w:p>
        </w:tc>
      </w:tr>
    </w:tbl>
    <w:p>
      <w:pPr>
        <w:spacing w:lineRule="exact" w:line="1"/>
        <w:rPr>
          <w:sz w:val="2"/>
          <w:szCs w:val="2"/>
        </w:rPr>
      </w:pPr>
      <w:r>
        <w:br w:type="page"/>
      </w:r>
    </w:p>
    <w:p>
      <w:pPr>
        <w:pStyle w:val="Style97"/>
        <w:keepNext/>
        <w:keepLines/>
        <w:widowControl w:val="0"/>
        <w:shd w:val="clear" w:color="auto" w:fill="auto"/>
        <w:bidi w:val="0"/>
        <w:spacing w:before="0" w:after="40" w:line="240" w:lineRule="auto"/>
        <w:ind w:left="0" w:right="0" w:firstLine="0"/>
        <w:jc w:val="left"/>
      </w:pPr>
      <w:bookmarkStart w:id="1317" w:name="bookmark1317"/>
      <w:bookmarkStart w:id="1318" w:name="bookmark1318"/>
      <w:bookmarkStart w:id="1319" w:name="bookmark1319"/>
      <w:r>
        <w:rPr>
          <w:color w:val="000000"/>
          <w:spacing w:val="0"/>
          <w:w w:val="100"/>
          <w:position w:val="0"/>
        </w:rPr>
        <w:t>财务报表附注</w:t>
      </w:r>
      <w:bookmarkEnd w:id="1317"/>
      <w:bookmarkEnd w:id="1318"/>
      <w:bookmarkEnd w:id="1319"/>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60" w:line="240" w:lineRule="auto"/>
        <w:ind w:left="0" w:right="0" w:firstLine="0"/>
        <w:jc w:val="left"/>
        <w:rPr>
          <w:sz w:val="24"/>
          <w:szCs w:val="24"/>
        </w:rPr>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320"/>
      <w:bookmarkEnd w:id="1321"/>
      <w:bookmarkEnd w:id="1322"/>
    </w:p>
    <w:p>
      <w:pPr>
        <w:pStyle w:val="Style97"/>
        <w:keepNext/>
        <w:keepLines/>
        <w:widowControl w:val="0"/>
        <w:shd w:val="clear" w:color="auto" w:fill="auto"/>
        <w:tabs>
          <w:tab w:pos="672" w:val="left"/>
        </w:tabs>
        <w:bidi w:val="0"/>
        <w:spacing w:before="0" w:after="260" w:line="240" w:lineRule="auto"/>
        <w:ind w:left="0" w:right="0" w:firstLine="0"/>
        <w:jc w:val="left"/>
      </w:pPr>
      <w:bookmarkStart w:id="1323" w:name="bookmark1323"/>
      <w:bookmarkStart w:id="1324" w:name="bookmark1324"/>
      <w:bookmarkStart w:id="1325" w:name="bookmark1325"/>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323"/>
      <w:bookmarkEnd w:id="1324"/>
      <w:bookmarkEnd w:id="1325"/>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2"/>
          <w:szCs w:val="22"/>
        </w:rPr>
        <w:t>、 研发费用</w:t>
      </w:r>
    </w:p>
    <w:tbl>
      <w:tblPr>
        <w:tblOverlap w:val="never"/>
        <w:jc w:val="center"/>
        <w:tblLayout w:type="fixed"/>
      </w:tblPr>
      <w:tblGrid>
        <w:gridCol w:w="4488"/>
        <w:gridCol w:w="3989"/>
        <w:gridCol w:w="1670"/>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236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职工薪酬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360" w:right="0" w:firstLine="0"/>
              <w:jc w:val="both"/>
              <w:rPr>
                <w:sz w:val="24"/>
                <w:szCs w:val="24"/>
              </w:rPr>
            </w:pPr>
            <w:r>
              <w:rPr>
                <w:rFonts w:ascii="Times New Roman" w:eastAsia="Times New Roman" w:hAnsi="Times New Roman" w:cs="Times New Roman"/>
                <w:color w:val="000000"/>
                <w:spacing w:val="0"/>
                <w:w w:val="100"/>
                <w:position w:val="0"/>
                <w:sz w:val="24"/>
                <w:szCs w:val="24"/>
              </w:rPr>
              <w:t>3,117,054,823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2,030,972,191</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折旧摊销费用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485,968,001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241,714,531</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委托外部研发费用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841,903,656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252,915,825</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直接材料费用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rPr>
                <w:sz w:val="24"/>
                <w:szCs w:val="24"/>
              </w:rPr>
            </w:pPr>
            <w:r>
              <w:rPr>
                <w:rFonts w:ascii="Times New Roman" w:eastAsia="Times New Roman" w:hAnsi="Times New Roman" w:cs="Times New Roman"/>
                <w:color w:val="000000"/>
                <w:spacing w:val="0"/>
                <w:w w:val="100"/>
                <w:position w:val="0"/>
                <w:sz w:val="24"/>
                <w:szCs w:val="24"/>
              </w:rPr>
              <w:t>12,703,761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34,818,980</w:t>
            </w: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334,543,063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403,281,511</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24"/>
                <w:szCs w:val="24"/>
              </w:rPr>
            </w:pPr>
            <w:r>
              <w:rPr>
                <w:rFonts w:ascii="Times New Roman" w:eastAsia="Times New Roman" w:hAnsi="Times New Roman" w:cs="Times New Roman"/>
                <w:color w:val="000000"/>
                <w:spacing w:val="0"/>
                <w:w w:val="100"/>
                <w:position w:val="0"/>
                <w:sz w:val="24"/>
                <w:szCs w:val="24"/>
                <w:u w:val="single"/>
              </w:rPr>
              <w:t>4,792,173,304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2,963,703,038</w:t>
            </w:r>
          </w:p>
        </w:tc>
      </w:tr>
      <w:tr>
        <w:trPr>
          <w:trHeight w:val="590" w:hRule="exact"/>
        </w:trPr>
        <w:tc>
          <w:tcPr>
            <w:tcBorders/>
            <w:shd w:val="clear" w:color="auto" w:fill="FFFFFF"/>
            <w:vAlign w:val="center"/>
          </w:tcPr>
          <w:p>
            <w:pPr>
              <w:pStyle w:val="Style22"/>
              <w:keepNext w:val="0"/>
              <w:keepLines w:val="0"/>
              <w:widowControl w:val="0"/>
              <w:shd w:val="clear" w:color="auto" w:fill="auto"/>
              <w:tabs>
                <w:tab w:pos="720"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2"/>
                <w:szCs w:val="22"/>
              </w:rPr>
              <w:t>、</w:t>
              <w:tab/>
              <w:t>财务费用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3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租赁负债的利息支出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977,322,874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1,233,926,883</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贷款及应付款项的利息支出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334,247,074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427,919,978</w:t>
            </w: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减：资本化利息</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660" w:right="0" w:firstLine="0"/>
              <w:jc w:val="both"/>
              <w:rPr>
                <w:sz w:val="24"/>
                <w:szCs w:val="24"/>
              </w:rPr>
            </w:pPr>
            <w:r>
              <w:rPr>
                <w:rFonts w:ascii="Times New Roman" w:eastAsia="Times New Roman" w:hAnsi="Times New Roman" w:cs="Times New Roman"/>
                <w:color w:val="000000"/>
                <w:spacing w:val="0"/>
                <w:w w:val="100"/>
                <w:position w:val="0"/>
                <w:sz w:val="24"/>
                <w:szCs w:val="24"/>
              </w:rPr>
              <w:t>82,233,028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205,876,419</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净利息支出</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60" w:right="0" w:firstLine="0"/>
              <w:jc w:val="both"/>
              <w:rPr>
                <w:sz w:val="24"/>
                <w:szCs w:val="24"/>
              </w:rPr>
            </w:pPr>
            <w:r>
              <w:rPr>
                <w:rFonts w:ascii="Times New Roman" w:eastAsia="Times New Roman" w:hAnsi="Times New Roman" w:cs="Times New Roman"/>
                <w:color w:val="000000"/>
                <w:spacing w:val="0"/>
                <w:w w:val="100"/>
                <w:position w:val="0"/>
                <w:sz w:val="24"/>
                <w:szCs w:val="24"/>
              </w:rPr>
              <w:t>1,229,336,920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1,455,970,442</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减：利息收入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360" w:right="0" w:firstLine="0"/>
              <w:jc w:val="both"/>
              <w:rPr>
                <w:sz w:val="24"/>
                <w:szCs w:val="24"/>
              </w:rPr>
            </w:pPr>
            <w:r>
              <w:rPr>
                <w:rFonts w:ascii="Times New Roman" w:eastAsia="Times New Roman" w:hAnsi="Times New Roman" w:cs="Times New Roman"/>
                <w:color w:val="000000"/>
                <w:spacing w:val="0"/>
                <w:w w:val="100"/>
                <w:position w:val="0"/>
                <w:sz w:val="24"/>
                <w:szCs w:val="24"/>
              </w:rPr>
              <w:t>1,215,525,637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1,366,325,886</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净汇兑亏损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7,547,638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46,405,733</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金融机构手续费及其他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rPr>
                <w:sz w:val="24"/>
                <w:szCs w:val="24"/>
              </w:rPr>
            </w:pPr>
            <w:r>
              <w:rPr>
                <w:rFonts w:ascii="Times New Roman" w:eastAsia="Times New Roman" w:hAnsi="Times New Roman" w:cs="Times New Roman"/>
                <w:color w:val="000000"/>
                <w:spacing w:val="0"/>
                <w:w w:val="100"/>
                <w:position w:val="0"/>
                <w:sz w:val="24"/>
                <w:szCs w:val="24"/>
              </w:rPr>
              <w:t>75,354,153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90,671,140</w:t>
            </w:r>
          </w:p>
        </w:tc>
      </w:tr>
      <w:tr>
        <w:trPr>
          <w:trHeight w:val="42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2660" w:right="0" w:firstLine="0"/>
              <w:jc w:val="both"/>
              <w:rPr>
                <w:sz w:val="24"/>
                <w:szCs w:val="24"/>
              </w:rPr>
            </w:pPr>
            <w:r>
              <w:rPr>
                <w:rFonts w:ascii="Times New Roman" w:eastAsia="Times New Roman" w:hAnsi="Times New Roman" w:cs="Times New Roman"/>
                <w:color w:val="000000"/>
                <w:spacing w:val="0"/>
                <w:w w:val="100"/>
                <w:position w:val="0"/>
                <w:sz w:val="24"/>
                <w:szCs w:val="24"/>
                <w:u w:val="single"/>
              </w:rPr>
              <w:t>96,713,074</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226,721,429</w:t>
            </w:r>
          </w:p>
        </w:tc>
      </w:tr>
      <w:tr>
        <w:trPr>
          <w:trHeight w:val="590" w:hRule="exact"/>
        </w:trPr>
        <w:tc>
          <w:tcPr>
            <w:tcBorders/>
            <w:shd w:val="clear" w:color="auto" w:fill="FFFFFF"/>
            <w:vAlign w:val="center"/>
          </w:tcPr>
          <w:p>
            <w:pPr>
              <w:pStyle w:val="Style22"/>
              <w:keepNext w:val="0"/>
              <w:keepLines w:val="0"/>
              <w:widowControl w:val="0"/>
              <w:shd w:val="clear" w:color="auto" w:fill="auto"/>
              <w:tabs>
                <w:tab w:pos="701"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2"/>
                <w:szCs w:val="22"/>
              </w:rPr>
              <w:t>、</w:t>
              <w:tab/>
              <w:t>其他收益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tabs>
                <w:tab w:pos="1474" w:val="left"/>
              </w:tabs>
              <w:bidi w:val="0"/>
              <w:spacing w:before="0" w:after="0" w:line="240" w:lineRule="auto"/>
              <w:ind w:left="0" w:right="540" w:firstLine="0"/>
              <w:jc w:val="right"/>
              <w:rPr>
                <w:sz w:val="22"/>
                <w:szCs w:val="22"/>
              </w:rPr>
            </w:pPr>
            <w:r>
              <w:rPr>
                <w:color w:val="000000"/>
                <w:spacing w:val="0"/>
                <w:w w:val="100"/>
                <w:position w:val="0"/>
                <w:sz w:val="22"/>
                <w:szCs w:val="22"/>
                <w:u w:val="single"/>
              </w:rPr>
              <w:t>注</w:t>
              <w:tab/>
            </w: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与资产相关的政府补助</w:t>
            </w:r>
          </w:p>
        </w:tc>
        <w:tc>
          <w:tcPr>
            <w:tcBorders/>
            <w:shd w:val="clear" w:color="auto" w:fill="FFFFFF"/>
            <w:vAlign w:val="bottom"/>
          </w:tcPr>
          <w:p>
            <w:pPr>
              <w:pStyle w:val="Style22"/>
              <w:keepNext w:val="0"/>
              <w:keepLines w:val="0"/>
              <w:widowControl w:val="0"/>
              <w:shd w:val="clear" w:color="auto" w:fill="auto"/>
              <w:tabs>
                <w:tab w:pos="2179" w:val="left"/>
              </w:tabs>
              <w:bidi w:val="0"/>
              <w:spacing w:before="0" w:after="0" w:line="240" w:lineRule="auto"/>
              <w:ind w:left="0" w:right="220" w:firstLine="0"/>
              <w:jc w:val="right"/>
              <w:rPr>
                <w:sz w:val="24"/>
                <w:szCs w:val="24"/>
              </w:rPr>
            </w:pP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(29)(a)</w:t>
              <w:tab/>
            </w:r>
            <w:r>
              <w:rPr>
                <w:rFonts w:ascii="Times New Roman" w:eastAsia="Times New Roman" w:hAnsi="Times New Roman" w:cs="Times New Roman"/>
                <w:color w:val="000000"/>
                <w:spacing w:val="0"/>
                <w:w w:val="100"/>
                <w:position w:val="0"/>
                <w:sz w:val="24"/>
                <w:szCs w:val="24"/>
              </w:rPr>
              <w:t>349,902,922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242,115,290</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与收益相关的政府补助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262,735,466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211,266,746</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增值税加计抵减</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360" w:right="0" w:firstLine="0"/>
              <w:jc w:val="both"/>
              <w:rPr>
                <w:sz w:val="24"/>
                <w:szCs w:val="24"/>
              </w:rPr>
            </w:pPr>
            <w:r>
              <w:rPr>
                <w:rFonts w:ascii="Times New Roman" w:eastAsia="Times New Roman" w:hAnsi="Times New Roman" w:cs="Times New Roman"/>
                <w:color w:val="000000"/>
                <w:spacing w:val="0"/>
                <w:w w:val="100"/>
                <w:position w:val="0"/>
                <w:sz w:val="24"/>
                <w:szCs w:val="24"/>
              </w:rPr>
              <w:t>2,383,925,256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1,455,818,502</w:t>
            </w:r>
          </w:p>
        </w:tc>
      </w:tr>
      <w:tr>
        <w:trPr>
          <w:trHeight w:val="43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2360" w:right="0" w:firstLine="0"/>
              <w:jc w:val="both"/>
              <w:rPr>
                <w:sz w:val="24"/>
                <w:szCs w:val="24"/>
              </w:rPr>
            </w:pPr>
            <w:r>
              <w:rPr>
                <w:rFonts w:ascii="Times New Roman" w:eastAsia="Times New Roman" w:hAnsi="Times New Roman" w:cs="Times New Roman"/>
                <w:color w:val="000000"/>
                <w:spacing w:val="0"/>
                <w:w w:val="100"/>
                <w:position w:val="0"/>
                <w:sz w:val="24"/>
                <w:szCs w:val="24"/>
                <w:u w:val="single"/>
              </w:rPr>
              <w:t>2,996,563,644</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1,909,200,538</w:t>
            </w:r>
          </w:p>
        </w:tc>
      </w:tr>
      <w:tr>
        <w:trPr>
          <w:trHeight w:val="576" w:hRule="exact"/>
        </w:trPr>
        <w:tc>
          <w:tcPr>
            <w:tcBorders/>
            <w:shd w:val="clear" w:color="auto" w:fill="FFFFFF"/>
            <w:vAlign w:val="center"/>
          </w:tcPr>
          <w:p>
            <w:pPr>
              <w:pStyle w:val="Style22"/>
              <w:keepNext w:val="0"/>
              <w:keepLines w:val="0"/>
              <w:widowControl w:val="0"/>
              <w:shd w:val="clear" w:color="auto" w:fill="auto"/>
              <w:tabs>
                <w:tab w:pos="725"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43</w:t>
            </w:r>
            <w:r>
              <w:rPr>
                <w:color w:val="000000"/>
                <w:spacing w:val="0"/>
                <w:w w:val="100"/>
                <w:position w:val="0"/>
                <w:sz w:val="22"/>
                <w:szCs w:val="22"/>
              </w:rPr>
              <w:t>、</w:t>
              <w:tab/>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56" w:hRule="exact"/>
        </w:trPr>
        <w:tc>
          <w:tcPr>
            <w:gridSpan w:val="2"/>
            <w:tcBorders/>
            <w:shd w:val="clear" w:color="auto" w:fill="FFFFFF"/>
            <w:vAlign w:val="bottom"/>
          </w:tcPr>
          <w:p>
            <w:pPr>
              <w:pStyle w:val="Style22"/>
              <w:keepNext w:val="0"/>
              <w:keepLines w:val="0"/>
              <w:widowControl w:val="0"/>
              <w:shd w:val="clear" w:color="auto" w:fill="auto"/>
              <w:tabs>
                <w:tab w:pos="7048" w:val="left"/>
              </w:tabs>
              <w:bidi w:val="0"/>
              <w:spacing w:before="0" w:after="0" w:line="240" w:lineRule="auto"/>
              <w:ind w:left="0" w:right="0" w:firstLine="760"/>
              <w:jc w:val="left"/>
              <w:rPr>
                <w:sz w:val="24"/>
                <w:szCs w:val="24"/>
              </w:rPr>
            </w:pPr>
            <w:r>
              <w:rPr>
                <w:color w:val="000000"/>
                <w:spacing w:val="0"/>
                <w:w w:val="100"/>
                <w:position w:val="0"/>
                <w:sz w:val="22"/>
                <w:szCs w:val="22"/>
              </w:rPr>
              <w:t>其他权益工具投资持有期间的股利收益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tab/>
              <w:t>178,502,888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210,046,666</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权益法核算的长期股权投资收益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360" w:right="0" w:firstLine="0"/>
              <w:jc w:val="both"/>
              <w:rPr>
                <w:sz w:val="24"/>
                <w:szCs w:val="24"/>
              </w:rPr>
            </w:pPr>
            <w:r>
              <w:rPr>
                <w:rFonts w:ascii="Times New Roman" w:eastAsia="Times New Roman" w:hAnsi="Times New Roman" w:cs="Times New Roman"/>
                <w:color w:val="000000"/>
                <w:spacing w:val="0"/>
                <w:w w:val="100"/>
                <w:position w:val="0"/>
                <w:sz w:val="24"/>
                <w:szCs w:val="24"/>
              </w:rPr>
              <w:t>3,309,997,716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2,375,149,156</w:t>
            </w: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540" w:right="0" w:firstLine="0"/>
              <w:jc w:val="both"/>
              <w:rPr>
                <w:sz w:val="24"/>
                <w:szCs w:val="24"/>
              </w:rPr>
            </w:pPr>
            <w:r>
              <w:rPr>
                <w:rFonts w:ascii="Times New Roman" w:eastAsia="Times New Roman" w:hAnsi="Times New Roman" w:cs="Times New Roman"/>
                <w:color w:val="000000"/>
                <w:spacing w:val="0"/>
                <w:w w:val="100"/>
                <w:position w:val="0"/>
                <w:sz w:val="24"/>
                <w:szCs w:val="24"/>
              </w:rPr>
              <w:t>888,249,284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261,421,208</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2360" w:right="0" w:firstLine="0"/>
              <w:jc w:val="both"/>
              <w:rPr>
                <w:sz w:val="24"/>
                <w:szCs w:val="24"/>
              </w:rPr>
            </w:pPr>
            <w:r>
              <w:rPr>
                <w:rFonts w:ascii="Times New Roman" w:eastAsia="Times New Roman" w:hAnsi="Times New Roman" w:cs="Times New Roman"/>
                <w:color w:val="000000"/>
                <w:spacing w:val="0"/>
                <w:w w:val="100"/>
                <w:position w:val="0"/>
                <w:sz w:val="24"/>
                <w:szCs w:val="24"/>
                <w:u w:val="single"/>
              </w:rPr>
              <w:t>4,376,749,888</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2,846,617,030</w:t>
            </w:r>
          </w:p>
        </w:tc>
      </w:tr>
    </w:tbl>
    <w:p>
      <w:pPr>
        <w:pStyle w:val="Style97"/>
        <w:keepNext/>
        <w:keepLines/>
        <w:widowControl w:val="0"/>
        <w:shd w:val="clear" w:color="auto" w:fill="auto"/>
        <w:bidi w:val="0"/>
        <w:spacing w:before="0" w:after="40" w:line="240" w:lineRule="auto"/>
        <w:ind w:left="0" w:right="0" w:firstLine="0"/>
        <w:jc w:val="left"/>
      </w:pPr>
      <w:bookmarkStart w:id="1326" w:name="bookmark1326"/>
      <w:bookmarkStart w:id="1327" w:name="bookmark1327"/>
      <w:bookmarkStart w:id="1328" w:name="bookmark1328"/>
      <w:r>
        <w:rPr>
          <w:color w:val="000000"/>
          <w:spacing w:val="0"/>
          <w:w w:val="100"/>
          <w:position w:val="0"/>
        </w:rPr>
        <w:t>财务报表附注</w:t>
      </w:r>
      <w:bookmarkEnd w:id="1326"/>
      <w:bookmarkEnd w:id="1327"/>
      <w:bookmarkEnd w:id="1328"/>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40" w:line="240" w:lineRule="auto"/>
        <w:ind w:left="0" w:right="0" w:firstLine="0"/>
        <w:jc w:val="left"/>
        <w:rPr>
          <w:sz w:val="24"/>
          <w:szCs w:val="24"/>
        </w:rPr>
      </w:pPr>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329"/>
      <w:bookmarkEnd w:id="1330"/>
      <w:bookmarkEnd w:id="1331"/>
    </w:p>
    <w:p>
      <w:pPr>
        <w:pStyle w:val="Style97"/>
        <w:keepNext/>
        <w:keepLines/>
        <w:widowControl w:val="0"/>
        <w:shd w:val="clear" w:color="auto" w:fill="auto"/>
        <w:tabs>
          <w:tab w:pos="674" w:val="left"/>
        </w:tabs>
        <w:bidi w:val="0"/>
        <w:spacing w:before="0" w:after="280" w:line="307" w:lineRule="exact"/>
        <w:ind w:left="0" w:right="0" w:firstLine="0"/>
        <w:jc w:val="left"/>
      </w:pPr>
      <w:bookmarkStart w:id="1332" w:name="bookmark1332"/>
      <w:bookmarkStart w:id="1333" w:name="bookmark1333"/>
      <w:bookmarkStart w:id="1334" w:name="bookmark1334"/>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332"/>
      <w:bookmarkEnd w:id="1333"/>
      <w:bookmarkEnd w:id="1334"/>
    </w:p>
    <w:p>
      <w:pPr>
        <w:pStyle w:val="Style97"/>
        <w:keepNext/>
        <w:keepLines/>
        <w:widowControl w:val="0"/>
        <w:shd w:val="clear" w:color="auto" w:fill="auto"/>
        <w:tabs>
          <w:tab w:pos="674" w:val="left"/>
        </w:tabs>
        <w:bidi w:val="0"/>
        <w:spacing w:before="0" w:after="220" w:line="266"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sz w:val="24"/>
          <w:szCs w:val="24"/>
        </w:rPr>
        <w:t>4</w:t>
      </w:r>
      <w:bookmarkEnd w:id="133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投资收益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335"/>
      <w:bookmarkEnd w:id="1336"/>
      <w:bookmarkEnd w:id="1338"/>
    </w:p>
    <w:p>
      <w:pPr>
        <w:pStyle w:val="Style97"/>
        <w:keepNext/>
        <w:keepLines/>
        <w:widowControl w:val="0"/>
        <w:shd w:val="clear" w:color="auto" w:fill="auto"/>
        <w:bidi w:val="0"/>
        <w:spacing w:before="0" w:after="280" w:line="307" w:lineRule="exact"/>
        <w:ind w:left="1460" w:right="0" w:hanging="720"/>
        <w:jc w:val="left"/>
      </w:pPr>
      <w:bookmarkStart w:id="1339" w:name="bookmark1339"/>
      <w:bookmarkStart w:id="1340" w:name="bookmark1340"/>
      <w:bookmarkStart w:id="1341" w:name="bookmark1341"/>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年度，西班牙电信宣布向本集团所属子公司联通红筹公司派发现金股利约 人民币</w:t>
      </w:r>
      <w:r>
        <w:rPr>
          <w:rFonts w:ascii="Times New Roman" w:eastAsia="Times New Roman" w:hAnsi="Times New Roman" w:cs="Times New Roman"/>
          <w:color w:val="000000"/>
          <w:spacing w:val="0"/>
          <w:w w:val="100"/>
          <w:position w:val="0"/>
          <w:sz w:val="24"/>
          <w:szCs w:val="24"/>
        </w:rPr>
        <w:t>1.70</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年：约人民币</w:t>
      </w:r>
      <w:r>
        <w:rPr>
          <w:rFonts w:ascii="Times New Roman" w:eastAsia="Times New Roman" w:hAnsi="Times New Roman" w:cs="Times New Roman"/>
          <w:color w:val="000000"/>
          <w:spacing w:val="0"/>
          <w:w w:val="100"/>
          <w:position w:val="0"/>
          <w:sz w:val="24"/>
          <w:szCs w:val="24"/>
        </w:rPr>
        <w:t>2.02</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bookmarkEnd w:id="1339"/>
      <w:bookmarkEnd w:id="1340"/>
      <w:bookmarkEnd w:id="1341"/>
    </w:p>
    <w:p>
      <w:pPr>
        <w:pStyle w:val="Style97"/>
        <w:keepNext/>
        <w:keepLines/>
        <w:widowControl w:val="0"/>
        <w:shd w:val="clear" w:color="auto" w:fill="auto"/>
        <w:tabs>
          <w:tab w:pos="674" w:val="left"/>
        </w:tabs>
        <w:bidi w:val="0"/>
        <w:spacing w:before="0" w:after="280" w:line="266"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sz w:val="24"/>
          <w:szCs w:val="24"/>
        </w:rPr>
        <w:t>4</w:t>
      </w:r>
      <w:bookmarkEnd w:id="1344"/>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信用减值损失</w:t>
      </w:r>
      <w:bookmarkEnd w:id="1342"/>
      <w:bookmarkEnd w:id="1343"/>
      <w:bookmarkEnd w:id="1345"/>
    </w:p>
    <w:tbl>
      <w:tblPr>
        <w:tblOverlap w:val="never"/>
        <w:jc w:val="center"/>
        <w:tblLayout w:type="fixed"/>
      </w:tblPr>
      <w:tblGrid>
        <w:gridCol w:w="3816"/>
        <w:gridCol w:w="4574"/>
        <w:gridCol w:w="1762"/>
      </w:tblGrid>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300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应收账款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2,564,055,191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5,077,646,310</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其他应收款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34,816,143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95,595,494</w:t>
            </w:r>
          </w:p>
        </w:tc>
      </w:tr>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3180" w:right="0" w:firstLine="0"/>
              <w:jc w:val="both"/>
              <w:rPr>
                <w:sz w:val="24"/>
                <w:szCs w:val="24"/>
              </w:rPr>
            </w:pPr>
            <w:r>
              <w:rPr>
                <w:rFonts w:ascii="Times New Roman" w:eastAsia="Times New Roman" w:hAnsi="Times New Roman" w:cs="Times New Roman"/>
                <w:color w:val="000000"/>
                <w:spacing w:val="0"/>
                <w:w w:val="100"/>
                <w:position w:val="0"/>
                <w:sz w:val="24"/>
                <w:szCs w:val="24"/>
              </w:rPr>
              <w:t>210,406,113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135,148,010</w:t>
            </w:r>
          </w:p>
        </w:tc>
      </w:tr>
      <w:tr>
        <w:trPr>
          <w:trHeight w:val="45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u w:val="single"/>
              </w:rPr>
              <w:t>2,809,277,447</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5,308,389,814</w:t>
            </w:r>
          </w:p>
        </w:tc>
      </w:tr>
      <w:tr>
        <w:trPr>
          <w:trHeight w:val="595" w:hRule="exact"/>
        </w:trPr>
        <w:tc>
          <w:tcPr>
            <w:tcBorders/>
            <w:shd w:val="clear" w:color="auto" w:fill="FFFFFF"/>
            <w:vAlign w:val="center"/>
          </w:tcPr>
          <w:p>
            <w:pPr>
              <w:pStyle w:val="Style22"/>
              <w:keepNext w:val="0"/>
              <w:keepLines w:val="0"/>
              <w:widowControl w:val="0"/>
              <w:shd w:val="clear" w:color="auto" w:fill="auto"/>
              <w:tabs>
                <w:tab w:pos="701"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2"/>
                <w:szCs w:val="22"/>
              </w:rPr>
              <w:t>、</w:t>
              <w:tab/>
              <w:t>资产减值损失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存货跌价准备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3180" w:right="0" w:firstLine="0"/>
              <w:jc w:val="both"/>
              <w:rPr>
                <w:sz w:val="24"/>
                <w:szCs w:val="24"/>
              </w:rPr>
            </w:pPr>
            <w:r>
              <w:rPr>
                <w:rFonts w:ascii="Times New Roman" w:eastAsia="Times New Roman" w:hAnsi="Times New Roman" w:cs="Times New Roman"/>
                <w:color w:val="000000"/>
                <w:spacing w:val="0"/>
                <w:w w:val="100"/>
                <w:position w:val="0"/>
                <w:sz w:val="24"/>
                <w:szCs w:val="24"/>
              </w:rPr>
              <w:t>464,326,095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349,436,592</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合同资产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(4,930,196)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(73,660,524)</w:t>
            </w:r>
          </w:p>
        </w:tc>
      </w:tr>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32,334,986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11,963,007</w:t>
            </w:r>
          </w:p>
        </w:tc>
      </w:tr>
      <w:tr>
        <w:trPr>
          <w:trHeight w:val="43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3180" w:right="0" w:firstLine="0"/>
              <w:jc w:val="both"/>
              <w:rPr>
                <w:sz w:val="24"/>
                <w:szCs w:val="24"/>
              </w:rPr>
            </w:pPr>
            <w:r>
              <w:rPr>
                <w:rFonts w:ascii="Times New Roman" w:eastAsia="Times New Roman" w:hAnsi="Times New Roman" w:cs="Times New Roman"/>
                <w:color w:val="000000"/>
                <w:spacing w:val="0"/>
                <w:w w:val="100"/>
                <w:position w:val="0"/>
                <w:sz w:val="24"/>
                <w:szCs w:val="24"/>
                <w:u w:val="single"/>
              </w:rPr>
              <w:t>491,730,885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287,739,075</w:t>
            </w:r>
          </w:p>
        </w:tc>
      </w:tr>
      <w:tr>
        <w:trPr>
          <w:trHeight w:val="619" w:hRule="exact"/>
        </w:trPr>
        <w:tc>
          <w:tcPr>
            <w:tcBorders/>
            <w:shd w:val="clear" w:color="auto" w:fill="FFFFFF"/>
            <w:vAlign w:val="center"/>
          </w:tcPr>
          <w:p>
            <w:pPr>
              <w:pStyle w:val="Style22"/>
              <w:keepNext w:val="0"/>
              <w:keepLines w:val="0"/>
              <w:widowControl w:val="0"/>
              <w:shd w:val="clear" w:color="auto" w:fill="auto"/>
              <w:tabs>
                <w:tab w:pos="701"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46</w:t>
            </w:r>
            <w:r>
              <w:rPr>
                <w:color w:val="000000"/>
                <w:spacing w:val="0"/>
                <w:w w:val="100"/>
                <w:position w:val="0"/>
                <w:sz w:val="22"/>
                <w:szCs w:val="22"/>
              </w:rPr>
              <w:t>、</w:t>
              <w:tab/>
              <w:t>资产处置损失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计入非经常性</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tabs>
                <w:tab w:pos="1877" w:val="left"/>
              </w:tabs>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tab/>
            </w: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u w:val="single"/>
              </w:rPr>
              <w:t>损益的金额</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固定资产处置损失</w:t>
            </w:r>
          </w:p>
        </w:tc>
        <w:tc>
          <w:tcPr>
            <w:tcBorders/>
            <w:shd w:val="clear" w:color="auto" w:fill="FFFFFF"/>
            <w:vAlign w:val="bottom"/>
          </w:tcPr>
          <w:p>
            <w:pPr>
              <w:pStyle w:val="Style22"/>
              <w:keepNext w:val="0"/>
              <w:keepLines w:val="0"/>
              <w:widowControl w:val="0"/>
              <w:shd w:val="clear" w:color="auto" w:fill="auto"/>
              <w:tabs>
                <w:tab w:pos="3007" w:val="left"/>
              </w:tabs>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rPr>
              <w:t>3,471,140,820</w:t>
              <w:tab/>
              <w:t>2,186,188,456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3,471,140,820</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在建工程处置损失</w:t>
            </w:r>
          </w:p>
        </w:tc>
        <w:tc>
          <w:tcPr>
            <w:tcBorders/>
            <w:shd w:val="clear" w:color="auto" w:fill="FFFFFF"/>
            <w:vAlign w:val="bottom"/>
          </w:tcPr>
          <w:p>
            <w:pPr>
              <w:pStyle w:val="Style22"/>
              <w:keepNext w:val="0"/>
              <w:keepLines w:val="0"/>
              <w:widowControl w:val="0"/>
              <w:shd w:val="clear" w:color="auto" w:fill="auto"/>
              <w:tabs>
                <w:tab w:pos="1877" w:val="left"/>
              </w:tabs>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2,417,995</w:t>
              <w:tab/>
              <w:t>3,275,851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2,417,995</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无形资产处置损失</w:t>
            </w:r>
          </w:p>
        </w:tc>
        <w:tc>
          <w:tcPr>
            <w:tcBorders/>
            <w:shd w:val="clear" w:color="auto" w:fill="FFFFFF"/>
            <w:vAlign w:val="bottom"/>
          </w:tcPr>
          <w:p>
            <w:pPr>
              <w:pStyle w:val="Style22"/>
              <w:keepNext w:val="0"/>
              <w:keepLines w:val="0"/>
              <w:widowControl w:val="0"/>
              <w:shd w:val="clear" w:color="auto" w:fill="auto"/>
              <w:tabs>
                <w:tab w:pos="1867" w:val="left"/>
              </w:tabs>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53,611,153</w:t>
              <w:tab/>
              <w:t>79,792,757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53,611,153</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tabs>
                <w:tab w:pos="1752" w:val="left"/>
              </w:tabs>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(3,760,730)</w:t>
              <w:tab/>
              <w:t>(11,221,283)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(3,760,730)</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tabs>
                <w:tab w:pos="3012" w:val="left"/>
              </w:tabs>
              <w:bidi w:val="0"/>
              <w:spacing w:before="0" w:after="0" w:line="240" w:lineRule="auto"/>
              <w:ind w:left="1140" w:right="0" w:firstLine="0"/>
              <w:jc w:val="both"/>
              <w:rPr>
                <w:sz w:val="24"/>
                <w:szCs w:val="24"/>
              </w:rPr>
            </w:pPr>
            <w:r>
              <w:rPr>
                <w:rFonts w:ascii="Times New Roman" w:eastAsia="Times New Roman" w:hAnsi="Times New Roman" w:cs="Times New Roman"/>
                <w:color w:val="000000"/>
                <w:spacing w:val="0"/>
                <w:w w:val="100"/>
                <w:position w:val="0"/>
                <w:sz w:val="24"/>
                <w:szCs w:val="24"/>
                <w:u w:val="single"/>
              </w:rPr>
              <w:t>3,523,409,238</w:t>
              <w:tab/>
              <w:t>2,258,035,781</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3,523,409,238</w:t>
            </w:r>
          </w:p>
        </w:tc>
      </w:tr>
    </w:tbl>
    <w:p>
      <w:pPr>
        <w:spacing w:lineRule="exact" w:line="1"/>
        <w:rPr>
          <w:sz w:val="2"/>
          <w:szCs w:val="2"/>
        </w:rPr>
      </w:pPr>
      <w:r>
        <w:br w:type="page"/>
      </w:r>
    </w:p>
    <w:p>
      <w:pPr>
        <w:pStyle w:val="Style97"/>
        <w:keepNext/>
        <w:keepLines/>
        <w:widowControl w:val="0"/>
        <w:shd w:val="clear" w:color="auto" w:fill="auto"/>
        <w:bidi w:val="0"/>
        <w:spacing w:before="0" w:after="40" w:line="240" w:lineRule="auto"/>
        <w:ind w:left="0" w:right="0" w:firstLine="0"/>
        <w:jc w:val="left"/>
      </w:pPr>
      <w:bookmarkStart w:id="1346" w:name="bookmark1346"/>
      <w:bookmarkStart w:id="1347" w:name="bookmark1347"/>
      <w:bookmarkStart w:id="1348" w:name="bookmark1348"/>
      <w:r>
        <w:rPr>
          <w:color w:val="000000"/>
          <w:spacing w:val="0"/>
          <w:w w:val="100"/>
          <w:position w:val="0"/>
        </w:rPr>
        <w:t>财务报表附注</w:t>
      </w:r>
      <w:bookmarkEnd w:id="1346"/>
      <w:bookmarkEnd w:id="1347"/>
      <w:bookmarkEnd w:id="1348"/>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349"/>
      <w:bookmarkEnd w:id="1350"/>
      <w:bookmarkEnd w:id="1351"/>
    </w:p>
    <w:p>
      <w:pPr>
        <w:pStyle w:val="Style97"/>
        <w:keepNext/>
        <w:keepLines/>
        <w:widowControl w:val="0"/>
        <w:shd w:val="clear" w:color="auto" w:fill="auto"/>
        <w:tabs>
          <w:tab w:pos="703" w:val="left"/>
        </w:tabs>
        <w:bidi w:val="0"/>
        <w:spacing w:before="0" w:after="300" w:line="240" w:lineRule="auto"/>
        <w:ind w:left="0" w:right="0" w:firstLine="0"/>
        <w:jc w:val="left"/>
      </w:pPr>
      <w:bookmarkStart w:id="1352" w:name="bookmark1352"/>
      <w:bookmarkStart w:id="1353" w:name="bookmark1353"/>
      <w:bookmarkStart w:id="1354" w:name="bookmark1354"/>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352"/>
      <w:bookmarkEnd w:id="1353"/>
      <w:bookmarkEnd w:id="1354"/>
    </w:p>
    <w:p>
      <w:pPr>
        <w:pStyle w:val="Style97"/>
        <w:keepNext/>
        <w:keepLines/>
        <w:widowControl w:val="0"/>
        <w:shd w:val="clear" w:color="auto" w:fill="auto"/>
        <w:tabs>
          <w:tab w:pos="703" w:val="left"/>
        </w:tabs>
        <w:bidi w:val="0"/>
        <w:spacing w:before="0" w:after="30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sz w:val="24"/>
          <w:szCs w:val="24"/>
          <w:shd w:val="clear" w:color="auto" w:fill="FFFFFF"/>
        </w:rPr>
        <w:t>4</w:t>
      </w:r>
      <w:bookmarkEnd w:id="1357"/>
      <w:r>
        <w:rPr>
          <w:rFonts w:ascii="Times New Roman" w:eastAsia="Times New Roman" w:hAnsi="Times New Roman" w:cs="Times New Roman"/>
          <w:color w:val="000000"/>
          <w:spacing w:val="0"/>
          <w:w w:val="100"/>
          <w:position w:val="0"/>
          <w:sz w:val="24"/>
          <w:szCs w:val="24"/>
          <w:shd w:val="clear" w:color="auto" w:fill="FFFFFF"/>
        </w:rPr>
        <w:t>7</w:t>
      </w:r>
      <w:r>
        <w:rPr>
          <w:color w:val="000000"/>
          <w:spacing w:val="0"/>
          <w:w w:val="100"/>
          <w:position w:val="0"/>
          <w:shd w:val="clear" w:color="auto" w:fill="FFFFFF"/>
        </w:rPr>
        <w:t>、</w:t>
      </w:r>
      <w:r>
        <w:rPr>
          <w:color w:val="000000"/>
          <w:spacing w:val="0"/>
          <w:w w:val="100"/>
          <w:position w:val="0"/>
        </w:rPr>
        <w:tab/>
        <w:t>营业外收支</w:t>
      </w:r>
      <w:bookmarkEnd w:id="1355"/>
      <w:bookmarkEnd w:id="1356"/>
      <w:bookmarkEnd w:id="1358"/>
    </w:p>
    <w:p>
      <w:pPr>
        <w:pStyle w:val="Style25"/>
        <w:keepNext w:val="0"/>
        <w:keepLines w:val="0"/>
        <w:widowControl w:val="0"/>
        <w:shd w:val="clear" w:color="auto" w:fill="auto"/>
        <w:bidi w:val="0"/>
        <w:spacing w:before="0" w:after="0" w:line="240" w:lineRule="auto"/>
        <w:ind w:left="725" w:right="0" w:firstLine="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营业外收入</w:t>
      </w:r>
    </w:p>
    <w:tbl>
      <w:tblPr>
        <w:tblOverlap w:val="never"/>
        <w:jc w:val="center"/>
        <w:tblLayout w:type="fixed"/>
      </w:tblPr>
      <w:tblGrid>
        <w:gridCol w:w="4085"/>
        <w:gridCol w:w="2659"/>
        <w:gridCol w:w="1718"/>
        <w:gridCol w:w="1690"/>
      </w:tblGrid>
      <w:tr>
        <w:trPr>
          <w:trHeight w:val="106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42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 xml:space="preserve">计入非经常性 </w:t>
            </w:r>
            <w:r>
              <w:rPr>
                <w:color w:val="000000"/>
                <w:spacing w:val="0"/>
                <w:w w:val="100"/>
                <w:position w:val="0"/>
                <w:sz w:val="22"/>
                <w:szCs w:val="22"/>
                <w:u w:val="single"/>
              </w:rPr>
              <w:t>损益的金额</w:t>
            </w:r>
          </w:p>
        </w:tc>
      </w:tr>
      <w:tr>
        <w:trPr>
          <w:trHeight w:val="46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违约赔款收入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219,932,608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236,307,205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219,932,608</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政府补助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23,875,373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53,381,238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23,875,373</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无法支付的应付账款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184,221,133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321,789,874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184,221,133</w:t>
            </w:r>
          </w:p>
        </w:tc>
      </w:tr>
      <w:tr>
        <w:trPr>
          <w:trHeight w:val="28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209,888,454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251,744,520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209,888,454</w:t>
            </w:r>
          </w:p>
        </w:tc>
      </w:tr>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637,917,568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863,222,837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637,917,568</w:t>
            </w:r>
          </w:p>
        </w:tc>
      </w:tr>
      <w:tr>
        <w:trPr>
          <w:trHeight w:val="63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营业外支出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计入非经常性</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8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损益的金额</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违约赔偿支出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60,050,785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56,199,570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60,050,785</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捐赠支出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1,255,157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6,241,810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1,255,157</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非流动资产报废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266,318,280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115,737,320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266,318,280</w:t>
            </w:r>
          </w:p>
        </w:tc>
      </w:tr>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198,767,343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315,833,755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198,767,343</w:t>
            </w:r>
          </w:p>
        </w:tc>
      </w:tr>
      <w:tr>
        <w:trPr>
          <w:trHeight w:val="45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526,391,565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494,012,455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526,391,565</w:t>
            </w:r>
          </w:p>
        </w:tc>
      </w:tr>
      <w:tr>
        <w:trPr>
          <w:trHeight w:val="595" w:hRule="exact"/>
        </w:trPr>
        <w:tc>
          <w:tcPr>
            <w:tcBorders/>
            <w:shd w:val="clear" w:color="auto" w:fill="FFFFFF"/>
            <w:vAlign w:val="center"/>
          </w:tcPr>
          <w:p>
            <w:pPr>
              <w:pStyle w:val="Style22"/>
              <w:keepNext w:val="0"/>
              <w:keepLines w:val="0"/>
              <w:widowControl w:val="0"/>
              <w:shd w:val="clear" w:color="auto" w:fill="auto"/>
              <w:tabs>
                <w:tab w:pos="720"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2"/>
                <w:szCs w:val="22"/>
              </w:rPr>
              <w:t>、</w:t>
              <w:tab/>
              <w:t>所得税费用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6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当期所得税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24"/>
                <w:szCs w:val="24"/>
              </w:rPr>
            </w:pPr>
            <w:r>
              <w:rPr>
                <w:rFonts w:ascii="Times New Roman" w:eastAsia="Times New Roman" w:hAnsi="Times New Roman" w:cs="Times New Roman"/>
                <w:color w:val="000000"/>
                <w:spacing w:val="0"/>
                <w:w w:val="100"/>
                <w:position w:val="0"/>
                <w:sz w:val="24"/>
                <w:szCs w:val="24"/>
              </w:rPr>
              <w:t>2,614,071,451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3,030,097,736</w:t>
            </w: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力口：递延所得税</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777,065,709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404,488,304</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3,391,137,160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3,434,586,040</w:t>
            </w:r>
          </w:p>
        </w:tc>
      </w:tr>
    </w:tbl>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6" w:val="left"/>
        </w:tabs>
        <w:bidi w:val="0"/>
        <w:spacing w:before="0" w:after="28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6" w:val="left"/>
        </w:tabs>
        <w:bidi w:val="0"/>
        <w:spacing w:before="0" w:after="280" w:line="240" w:lineRule="auto"/>
        <w:ind w:left="0" w:right="0" w:firstLine="0"/>
        <w:jc w:val="left"/>
        <w:rPr>
          <w:sz w:val="22"/>
          <w:szCs w:val="22"/>
        </w:rPr>
      </w:pPr>
      <w:bookmarkStart w:id="1359" w:name="bookmark1359"/>
      <w:r>
        <w:rPr>
          <w:rFonts w:ascii="Times New Roman" w:eastAsia="Times New Roman" w:hAnsi="Times New Roman" w:cs="Times New Roman"/>
          <w:color w:val="000000"/>
          <w:spacing w:val="0"/>
          <w:w w:val="100"/>
          <w:position w:val="0"/>
          <w:sz w:val="24"/>
          <w:szCs w:val="24"/>
        </w:rPr>
        <w:t>4</w:t>
      </w:r>
      <w:bookmarkEnd w:id="1359"/>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w:t>
        <w:tab/>
        <w:t>所得税费用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240" w:lineRule="auto"/>
        <w:ind w:left="0" w:right="0" w:firstLine="74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按法定税率计算之所得税与实际所得税费用调整如下:</w:t>
      </w:r>
    </w:p>
    <w:tbl>
      <w:tblPr>
        <w:tblOverlap w:val="never"/>
        <w:jc w:val="right"/>
        <w:tblLayout w:type="fixed"/>
      </w:tblPr>
      <w:tblGrid>
        <w:gridCol w:w="4675"/>
        <w:gridCol w:w="1133"/>
        <w:gridCol w:w="1939"/>
        <w:gridCol w:w="1661"/>
      </w:tblGrid>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rPr>
              <w:t>注释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利润总额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17,807,323,798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15,959,508,916</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计算的所得税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4,451,830,950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3,989,877,229</w:t>
            </w:r>
          </w:p>
        </w:tc>
      </w:tr>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所得税影响调整：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加：不得扣除的成本、费用和损失的影响</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504,060,381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446,760,999</w:t>
            </w:r>
          </w:p>
        </w:tc>
      </w:tr>
      <w:tr>
        <w:trPr>
          <w:trHeight w:val="32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权益法核算的长期股权投资的投资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收益的影响</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(762,309,017)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(527,364,564)</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当期汇算清缴差异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(114,576,201)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39,771,406</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使用前期未确认递延所得税资产的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可抵扣亏损的影响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(83,569,223)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(90,149,798)</w:t>
            </w: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本年未确认递延所得税资产的可抵扣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暂时性差异和可抵扣亏损的影响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16,344,770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22,492,455</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子公司适用不同税率的影响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(287,971,218)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(179,089,361)</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研发费用加计扣除的影响</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(332,673,282)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(267,712,326)</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所得税费用</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3,391,137,160</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3,434,586,040</w:t>
            </w:r>
          </w:p>
        </w:tc>
      </w:tr>
    </w:tbl>
    <w:p>
      <w:pPr>
        <w:widowControl w:val="0"/>
        <w:spacing w:after="279" w:line="1" w:lineRule="exact"/>
      </w:pPr>
    </w:p>
    <w:p>
      <w:pPr>
        <w:pStyle w:val="Style5"/>
        <w:keepNext w:val="0"/>
        <w:keepLines w:val="0"/>
        <w:widowControl w:val="0"/>
        <w:numPr>
          <w:ilvl w:val="0"/>
          <w:numId w:val="129"/>
        </w:numPr>
        <w:shd w:val="clear" w:color="auto" w:fill="auto"/>
        <w:tabs>
          <w:tab w:pos="1462" w:val="left"/>
        </w:tabs>
        <w:bidi w:val="0"/>
        <w:spacing w:before="0" w:after="280" w:line="317" w:lineRule="exact"/>
        <w:ind w:left="1460" w:right="0" w:hanging="720"/>
        <w:jc w:val="both"/>
        <w:rPr>
          <w:sz w:val="22"/>
          <w:szCs w:val="22"/>
        </w:rPr>
      </w:pPr>
      <w:bookmarkStart w:id="1360" w:name="bookmark1360"/>
      <w:bookmarkEnd w:id="1360"/>
      <w:r>
        <w:rPr>
          <w:color w:val="000000"/>
          <w:spacing w:val="0"/>
          <w:w w:val="100"/>
          <w:position w:val="0"/>
          <w:sz w:val="22"/>
          <w:szCs w:val="22"/>
        </w:rPr>
        <w:t>本集团在年度企业所得税汇算清缴时，因前期与税务机关就部分税前可抵扣项目的 认定存在差异，经与主管税务机关确认后退回</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补缴企业所得税。</w:t>
      </w:r>
    </w:p>
    <w:p>
      <w:pPr>
        <w:pStyle w:val="Style5"/>
        <w:keepNext w:val="0"/>
        <w:keepLines w:val="0"/>
        <w:widowControl w:val="0"/>
        <w:numPr>
          <w:ilvl w:val="0"/>
          <w:numId w:val="129"/>
        </w:numPr>
        <w:shd w:val="clear" w:color="auto" w:fill="auto"/>
        <w:tabs>
          <w:tab w:pos="1462" w:val="left"/>
        </w:tabs>
        <w:bidi w:val="0"/>
        <w:spacing w:before="0" w:after="280" w:line="322" w:lineRule="exact"/>
        <w:ind w:left="1460" w:right="0" w:hanging="720"/>
        <w:jc w:val="both"/>
        <w:rPr>
          <w:sz w:val="22"/>
          <w:szCs w:val="22"/>
        </w:rPr>
      </w:pPr>
      <w:bookmarkStart w:id="1361" w:name="bookmark1361"/>
      <w:bookmarkEnd w:id="1361"/>
      <w:r>
        <w:rPr>
          <w:color w:val="000000"/>
          <w:spacing w:val="0"/>
          <w:w w:val="100"/>
          <w:position w:val="0"/>
          <w:sz w:val="22"/>
          <w:szCs w:val="22"/>
        </w:rPr>
        <w:t>本公司的个别子公司运营状况改善实现盈利，因而使用前期未确认递延所得税资产 的可抵扣亏损。</w:t>
      </w:r>
    </w:p>
    <w:p>
      <w:pPr>
        <w:pStyle w:val="Style5"/>
        <w:keepNext w:val="0"/>
        <w:keepLines w:val="0"/>
        <w:widowControl w:val="0"/>
        <w:numPr>
          <w:ilvl w:val="0"/>
          <w:numId w:val="129"/>
        </w:numPr>
        <w:shd w:val="clear" w:color="auto" w:fill="auto"/>
        <w:tabs>
          <w:tab w:pos="1462" w:val="left"/>
        </w:tabs>
        <w:bidi w:val="0"/>
        <w:spacing w:before="0" w:after="280" w:line="322" w:lineRule="exact"/>
        <w:ind w:left="1460" w:right="0" w:hanging="720"/>
        <w:jc w:val="both"/>
        <w:rPr>
          <w:sz w:val="22"/>
          <w:szCs w:val="22"/>
        </w:rPr>
      </w:pPr>
      <w:bookmarkStart w:id="1362" w:name="bookmark1362"/>
      <w:bookmarkEnd w:id="1362"/>
      <w:r>
        <w:rPr>
          <w:color w:val="000000"/>
          <w:spacing w:val="0"/>
          <w:w w:val="100"/>
          <w:position w:val="0"/>
          <w:sz w:val="22"/>
          <w:szCs w:val="22"/>
        </w:rPr>
        <w:t>本集团管理层预计在未来期间很可能无法获得足够的应税利润用于弥补个别子公司 的可抵扣亏损或可抵扣暂时性差异，因此本年未确认递延所得税资产。</w:t>
      </w:r>
    </w:p>
    <w:p>
      <w:pPr>
        <w:pStyle w:val="Style5"/>
        <w:keepNext w:val="0"/>
        <w:keepLines w:val="0"/>
        <w:widowControl w:val="0"/>
        <w:numPr>
          <w:ilvl w:val="0"/>
          <w:numId w:val="129"/>
        </w:numPr>
        <w:shd w:val="clear" w:color="auto" w:fill="auto"/>
        <w:tabs>
          <w:tab w:pos="1462" w:val="left"/>
        </w:tabs>
        <w:bidi w:val="0"/>
        <w:spacing w:before="0" w:after="280" w:line="312" w:lineRule="exact"/>
        <w:ind w:left="1460" w:right="0" w:hanging="720"/>
        <w:jc w:val="both"/>
        <w:rPr>
          <w:sz w:val="22"/>
          <w:szCs w:val="22"/>
        </w:rPr>
      </w:pPr>
      <w:bookmarkStart w:id="1363" w:name="bookmark1363"/>
      <w:bookmarkEnd w:id="1363"/>
      <w:r>
        <w:rPr>
          <w:color w:val="000000"/>
          <w:spacing w:val="0"/>
          <w:w w:val="100"/>
          <w:position w:val="0"/>
          <w:sz w:val="22"/>
          <w:szCs w:val="22"/>
        </w:rPr>
        <w:t>子公司适用不同税率的影响包括本集团中的若干子公司及分公司享受的优惠税率及 境外子公司不同税率的影响，参见附注四</w:t>
      </w:r>
      <w:r>
        <w:rPr>
          <w:rFonts w:ascii="Times New Roman" w:eastAsia="Times New Roman" w:hAnsi="Times New Roman" w:cs="Times New Roman"/>
          <w:color w:val="000000"/>
          <w:spacing w:val="0"/>
          <w:w w:val="100"/>
          <w:position w:val="0"/>
          <w:sz w:val="24"/>
          <w:szCs w:val="24"/>
        </w:rPr>
        <w:t>(2)(b)</w:t>
      </w:r>
      <w:r>
        <w:rPr>
          <w:color w:val="000000"/>
          <w:spacing w:val="0"/>
          <w:w w:val="100"/>
          <w:position w:val="0"/>
          <w:sz w:val="22"/>
          <w:szCs w:val="22"/>
        </w:rPr>
        <w:t>、</w:t>
      </w:r>
      <w:r>
        <w:rPr>
          <w:color w:val="000000"/>
          <w:spacing w:val="0"/>
          <w:w w:val="100"/>
          <w:position w:val="0"/>
          <w:sz w:val="22"/>
          <w:szCs w:val="22"/>
        </w:rPr>
        <w:t>附注四</w:t>
      </w:r>
      <w:r>
        <w:rPr>
          <w:rFonts w:ascii="Times New Roman" w:eastAsia="Times New Roman" w:hAnsi="Times New Roman" w:cs="Times New Roman"/>
          <w:color w:val="000000"/>
          <w:spacing w:val="0"/>
          <w:w w:val="100"/>
          <w:position w:val="0"/>
          <w:sz w:val="24"/>
          <w:szCs w:val="24"/>
        </w:rPr>
        <w:t>(2)(c)</w:t>
      </w:r>
      <w:r>
        <w:rPr>
          <w:color w:val="000000"/>
          <w:spacing w:val="0"/>
          <w:w w:val="100"/>
          <w:position w:val="0"/>
          <w:sz w:val="22"/>
          <w:szCs w:val="22"/>
        </w:rPr>
        <w:t>及附注四</w:t>
      </w:r>
      <w:r>
        <w:rPr>
          <w:rFonts w:ascii="Times New Roman" w:eastAsia="Times New Roman" w:hAnsi="Times New Roman" w:cs="Times New Roman"/>
          <w:color w:val="000000"/>
          <w:spacing w:val="0"/>
          <w:w w:val="100"/>
          <w:position w:val="0"/>
          <w:sz w:val="24"/>
          <w:szCs w:val="24"/>
        </w:rPr>
        <w:t>(2)(d)</w:t>
      </w:r>
      <w:r>
        <w:rPr>
          <w:color w:val="000000"/>
          <w:spacing w:val="0"/>
          <w:w w:val="100"/>
          <w:position w:val="0"/>
          <w:sz w:val="22"/>
          <w:szCs w:val="22"/>
        </w:rPr>
        <w:t>。</w:t>
      </w:r>
    </w:p>
    <w:p>
      <w:pPr>
        <w:pStyle w:val="Style5"/>
        <w:keepNext w:val="0"/>
        <w:keepLines w:val="0"/>
        <w:widowControl w:val="0"/>
        <w:numPr>
          <w:ilvl w:val="0"/>
          <w:numId w:val="129"/>
        </w:numPr>
        <w:shd w:val="clear" w:color="auto" w:fill="auto"/>
        <w:tabs>
          <w:tab w:pos="1462" w:val="left"/>
        </w:tabs>
        <w:bidi w:val="0"/>
        <w:spacing w:before="0" w:after="280" w:line="312" w:lineRule="exact"/>
        <w:ind w:left="1460" w:right="0" w:hanging="720"/>
        <w:jc w:val="both"/>
        <w:rPr>
          <w:sz w:val="22"/>
          <w:szCs w:val="22"/>
        </w:rPr>
      </w:pPr>
      <w:bookmarkStart w:id="1364" w:name="bookmark1364"/>
      <w:bookmarkEnd w:id="1364"/>
      <w:r>
        <w:rPr>
          <w:color w:val="000000"/>
          <w:spacing w:val="0"/>
          <w:w w:val="100"/>
          <w:position w:val="0"/>
          <w:sz w:val="22"/>
          <w:szCs w:val="22"/>
        </w:rPr>
        <w:t>根据所得税法，联通运营公司及子公司实际发生的研发费用，可以在计算应纳税所 得额时实行</w:t>
      </w:r>
      <w:r>
        <w:rPr>
          <w:rFonts w:ascii="Times New Roman" w:eastAsia="Times New Roman" w:hAnsi="Times New Roman" w:cs="Times New Roman"/>
          <w:color w:val="000000"/>
          <w:spacing w:val="0"/>
          <w:w w:val="100"/>
          <w:position w:val="0"/>
          <w:sz w:val="24"/>
          <w:szCs w:val="24"/>
        </w:rPr>
        <w:t>75%(2020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75%)</w:t>
      </w:r>
      <w:r>
        <w:rPr>
          <w:color w:val="000000"/>
          <w:spacing w:val="0"/>
          <w:w w:val="100"/>
          <w:position w:val="0"/>
          <w:sz w:val="22"/>
          <w:szCs w:val="22"/>
        </w:rPr>
        <w:t>加计扣除。</w:t>
      </w:r>
    </w:p>
    <w:p>
      <w:pPr>
        <w:pStyle w:val="Style97"/>
        <w:keepNext/>
        <w:keepLines/>
        <w:widowControl w:val="0"/>
        <w:shd w:val="clear" w:color="auto" w:fill="auto"/>
        <w:bidi w:val="0"/>
        <w:spacing w:before="0" w:after="40" w:line="240" w:lineRule="auto"/>
        <w:ind w:left="0" w:right="0" w:firstLine="0"/>
        <w:jc w:val="left"/>
      </w:pPr>
      <w:bookmarkStart w:id="1365" w:name="bookmark1365"/>
      <w:bookmarkStart w:id="1366" w:name="bookmark1366"/>
      <w:bookmarkStart w:id="1367" w:name="bookmark1367"/>
      <w:r>
        <w:rPr>
          <w:color w:val="000000"/>
          <w:spacing w:val="0"/>
          <w:w w:val="100"/>
          <w:position w:val="0"/>
        </w:rPr>
        <w:t>财务报表附注</w:t>
      </w:r>
      <w:bookmarkEnd w:id="1365"/>
      <w:bookmarkEnd w:id="1366"/>
      <w:bookmarkEnd w:id="1367"/>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368"/>
      <w:bookmarkEnd w:id="1369"/>
      <w:bookmarkEnd w:id="1370"/>
    </w:p>
    <w:p>
      <w:pPr>
        <w:pStyle w:val="Style97"/>
        <w:keepNext/>
        <w:keepLines/>
        <w:widowControl w:val="0"/>
        <w:shd w:val="clear" w:color="auto" w:fill="auto"/>
        <w:tabs>
          <w:tab w:pos="696" w:val="left"/>
        </w:tabs>
        <w:bidi w:val="0"/>
        <w:spacing w:before="0" w:after="300" w:line="240" w:lineRule="auto"/>
        <w:ind w:left="0" w:right="0" w:firstLine="0"/>
        <w:jc w:val="left"/>
      </w:pPr>
      <w:bookmarkStart w:id="1371" w:name="bookmark1371"/>
      <w:bookmarkStart w:id="1372" w:name="bookmark1372"/>
      <w:bookmarkStart w:id="1373" w:name="bookmark1373"/>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371"/>
      <w:bookmarkEnd w:id="1372"/>
      <w:bookmarkEnd w:id="1373"/>
    </w:p>
    <w:p>
      <w:pPr>
        <w:pStyle w:val="Style97"/>
        <w:keepNext/>
        <w:keepLines/>
        <w:widowControl w:val="0"/>
        <w:shd w:val="clear" w:color="auto" w:fill="auto"/>
        <w:tabs>
          <w:tab w:pos="696" w:val="left"/>
        </w:tabs>
        <w:bidi w:val="0"/>
        <w:spacing w:before="0" w:after="300" w:line="240" w:lineRule="auto"/>
        <w:ind w:left="0" w:right="0" w:firstLine="0"/>
        <w:jc w:val="left"/>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sz w:val="24"/>
          <w:szCs w:val="24"/>
        </w:rPr>
        <w:t>48</w:t>
      </w:r>
      <w:r>
        <w:rPr>
          <w:color w:val="000000"/>
          <w:spacing w:val="0"/>
          <w:w w:val="100"/>
          <w:position w:val="0"/>
        </w:rPr>
        <w:t>、</w:t>
        <w:tab/>
        <w:t>所得税费用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374"/>
      <w:bookmarkEnd w:id="1375"/>
      <w:bookmarkEnd w:id="1376"/>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递延所得税资产及负债的变动如下:</w:t>
      </w:r>
    </w:p>
    <w:tbl>
      <w:tblPr>
        <w:tblOverlap w:val="never"/>
        <w:jc w:val="right"/>
        <w:tblLayout w:type="fixed"/>
      </w:tblPr>
      <w:tblGrid>
        <w:gridCol w:w="4906"/>
        <w:gridCol w:w="2870"/>
        <w:gridCol w:w="1627"/>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1843" w:hRule="exact"/>
        </w:trPr>
        <w:tc>
          <w:tcPr>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递延所得税资产:</w:t>
            </w:r>
          </w:p>
          <w:p>
            <w:pPr>
              <w:pStyle w:val="Style22"/>
              <w:keepNext w:val="0"/>
              <w:keepLines w:val="0"/>
              <w:widowControl w:val="0"/>
              <w:shd w:val="clear" w:color="auto" w:fill="auto"/>
              <w:bidi w:val="0"/>
              <w:spacing w:before="0" w:after="60" w:line="240" w:lineRule="auto"/>
              <w:ind w:left="0" w:right="0" w:firstLine="240"/>
              <w:jc w:val="left"/>
              <w:rPr>
                <w:sz w:val="22"/>
                <w:szCs w:val="22"/>
              </w:rPr>
            </w:pPr>
            <w:r>
              <w:rPr>
                <w:color w:val="000000"/>
                <w:spacing w:val="0"/>
                <w:w w:val="100"/>
                <w:position w:val="0"/>
                <w:sz w:val="22"/>
                <w:szCs w:val="22"/>
              </w:rPr>
              <w:t>年初余额</w:t>
            </w:r>
          </w:p>
          <w:p>
            <w:pPr>
              <w:pStyle w:val="Style22"/>
              <w:keepNext w:val="0"/>
              <w:keepLines w:val="0"/>
              <w:widowControl w:val="0"/>
              <w:shd w:val="clear" w:color="auto" w:fill="auto"/>
              <w:bidi w:val="0"/>
              <w:spacing w:before="0" w:after="60" w:line="240" w:lineRule="auto"/>
              <w:ind w:left="0" w:right="0" w:firstLine="240"/>
              <w:jc w:val="left"/>
              <w:rPr>
                <w:sz w:val="22"/>
                <w:szCs w:val="22"/>
              </w:rPr>
            </w:pPr>
            <w:r>
              <w:rPr>
                <w:color w:val="000000"/>
                <w:spacing w:val="0"/>
                <w:w w:val="100"/>
                <w:position w:val="0"/>
                <w:sz w:val="22"/>
                <w:szCs w:val="22"/>
              </w:rPr>
              <w:t>计入利润表的递延所得税</w:t>
            </w:r>
          </w:p>
          <w:p>
            <w:pPr>
              <w:pStyle w:val="Style22"/>
              <w:keepNext w:val="0"/>
              <w:keepLines w:val="0"/>
              <w:widowControl w:val="0"/>
              <w:shd w:val="clear" w:color="auto" w:fill="auto"/>
              <w:bidi w:val="0"/>
              <w:spacing w:before="0" w:after="60" w:line="240" w:lineRule="auto"/>
              <w:ind w:left="0" w:right="0" w:firstLine="240"/>
              <w:jc w:val="left"/>
              <w:rPr>
                <w:sz w:val="22"/>
                <w:szCs w:val="22"/>
              </w:rPr>
            </w:pPr>
            <w:r>
              <w:rPr>
                <w:color w:val="000000"/>
                <w:spacing w:val="0"/>
                <w:w w:val="100"/>
                <w:position w:val="0"/>
                <w:sz w:val="22"/>
                <w:szCs w:val="22"/>
              </w:rPr>
              <w:t>计入其他综合收益的递延所得税</w:t>
            </w:r>
          </w:p>
          <w:p>
            <w:pPr>
              <w:pStyle w:val="Style22"/>
              <w:keepNext w:val="0"/>
              <w:keepLines w:val="0"/>
              <w:widowControl w:val="0"/>
              <w:shd w:val="clear" w:color="auto" w:fill="auto"/>
              <w:bidi w:val="0"/>
              <w:spacing w:before="0" w:after="60" w:line="240" w:lineRule="auto"/>
              <w:ind w:left="0" w:right="0" w:firstLine="240"/>
              <w:jc w:val="left"/>
              <w:rPr>
                <w:sz w:val="22"/>
                <w:szCs w:val="22"/>
              </w:rPr>
            </w:pPr>
            <w:r>
              <w:rPr>
                <w:color w:val="000000"/>
                <w:spacing w:val="0"/>
                <w:w w:val="100"/>
                <w:position w:val="0"/>
                <w:sz w:val="22"/>
                <w:szCs w:val="22"/>
              </w:rPr>
              <w:t>年末余额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208,114,399</w:t>
            </w:r>
          </w:p>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62,884,493</w:t>
            </w:r>
          </w:p>
          <w:p>
            <w:pPr>
              <w:pStyle w:val="Style22"/>
              <w:keepNext w:val="0"/>
              <w:keepLines w:val="0"/>
              <w:widowControl w:val="0"/>
              <w:shd w:val="clear" w:color="auto" w:fill="auto"/>
              <w:tabs>
                <w:tab w:leader="underscore" w:pos="850" w:val="left"/>
              </w:tabs>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u w:val="single"/>
              </w:rPr>
              <w:t>325,808</w:t>
            </w:r>
          </w:p>
          <w:p>
            <w:pPr>
              <w:pStyle w:val="Style22"/>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u w:val="single"/>
              </w:rPr>
              <w:t>271,324,700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369,979,729</w:t>
            </w:r>
          </w:p>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(151,863,316)</w:t>
            </w:r>
          </w:p>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(10,002,014)</w:t>
            </w:r>
          </w:p>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208,114,399</w:t>
            </w: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1747" w:hRule="exact"/>
        </w:trPr>
        <w:tc>
          <w:tcPr>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递延所得税负债:</w:t>
            </w:r>
          </w:p>
          <w:p>
            <w:pPr>
              <w:pStyle w:val="Style22"/>
              <w:keepNext w:val="0"/>
              <w:keepLines w:val="0"/>
              <w:widowControl w:val="0"/>
              <w:shd w:val="clear" w:color="auto" w:fill="auto"/>
              <w:bidi w:val="0"/>
              <w:spacing w:before="0" w:after="60" w:line="240" w:lineRule="auto"/>
              <w:ind w:left="0" w:right="0" w:firstLine="240"/>
              <w:jc w:val="left"/>
              <w:rPr>
                <w:sz w:val="22"/>
                <w:szCs w:val="22"/>
              </w:rPr>
            </w:pPr>
            <w:r>
              <w:rPr>
                <w:color w:val="000000"/>
                <w:spacing w:val="0"/>
                <w:w w:val="100"/>
                <w:position w:val="0"/>
                <w:sz w:val="22"/>
                <w:szCs w:val="22"/>
              </w:rPr>
              <w:t>年初余额</w:t>
            </w:r>
          </w:p>
          <w:p>
            <w:pPr>
              <w:pStyle w:val="Style22"/>
              <w:keepNext w:val="0"/>
              <w:keepLines w:val="0"/>
              <w:widowControl w:val="0"/>
              <w:shd w:val="clear" w:color="auto" w:fill="auto"/>
              <w:bidi w:val="0"/>
              <w:spacing w:before="0" w:after="60" w:line="240" w:lineRule="auto"/>
              <w:ind w:left="0" w:right="0" w:firstLine="240"/>
              <w:jc w:val="left"/>
              <w:rPr>
                <w:sz w:val="22"/>
                <w:szCs w:val="22"/>
              </w:rPr>
            </w:pPr>
            <w:r>
              <w:rPr>
                <w:color w:val="000000"/>
                <w:spacing w:val="0"/>
                <w:w w:val="100"/>
                <w:position w:val="0"/>
                <w:sz w:val="22"/>
                <w:szCs w:val="22"/>
              </w:rPr>
              <w:t>计入利润表的递延所得税</w:t>
            </w:r>
          </w:p>
          <w:p>
            <w:pPr>
              <w:pStyle w:val="Style22"/>
              <w:keepNext w:val="0"/>
              <w:keepLines w:val="0"/>
              <w:widowControl w:val="0"/>
              <w:shd w:val="clear" w:color="auto" w:fill="auto"/>
              <w:bidi w:val="0"/>
              <w:spacing w:before="0" w:after="60" w:line="240" w:lineRule="auto"/>
              <w:ind w:left="0" w:right="0" w:firstLine="240"/>
              <w:jc w:val="left"/>
              <w:rPr>
                <w:sz w:val="22"/>
                <w:szCs w:val="22"/>
              </w:rPr>
            </w:pPr>
            <w:r>
              <w:rPr>
                <w:color w:val="000000"/>
                <w:spacing w:val="0"/>
                <w:w w:val="100"/>
                <w:position w:val="0"/>
                <w:sz w:val="22"/>
                <w:szCs w:val="22"/>
              </w:rPr>
              <w:t>计入其他综合收益的递延所得税</w:t>
            </w:r>
          </w:p>
          <w:p>
            <w:pPr>
              <w:pStyle w:val="Style22"/>
              <w:keepNext w:val="0"/>
              <w:keepLines w:val="0"/>
              <w:widowControl w:val="0"/>
              <w:shd w:val="clear" w:color="auto" w:fill="auto"/>
              <w:bidi w:val="0"/>
              <w:spacing w:before="0" w:after="60" w:line="240" w:lineRule="auto"/>
              <w:ind w:left="0" w:right="0" w:firstLine="240"/>
              <w:jc w:val="left"/>
              <w:rPr>
                <w:sz w:val="22"/>
                <w:szCs w:val="22"/>
              </w:rPr>
            </w:pPr>
            <w:r>
              <w:rPr>
                <w:color w:val="000000"/>
                <w:spacing w:val="0"/>
                <w:w w:val="100"/>
                <w:position w:val="0"/>
                <w:sz w:val="22"/>
                <w:szCs w:val="22"/>
              </w:rPr>
              <w:t>年末余额</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796,405,653</w:t>
            </w:r>
          </w:p>
          <w:p>
            <w:pPr>
              <w:pStyle w:val="Style22"/>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839,950,202</w:t>
            </w:r>
          </w:p>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439,446</w:t>
            </w:r>
          </w:p>
          <w:p>
            <w:pPr>
              <w:pStyle w:val="Style2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1,636,795,301</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548,989,767</w:t>
            </w:r>
          </w:p>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252,624,988</w:t>
            </w:r>
          </w:p>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(5,209,102)</w:t>
            </w:r>
          </w:p>
          <w:p>
            <w:pPr>
              <w:pStyle w:val="Style22"/>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796,405,653</w:t>
            </w:r>
          </w:p>
        </w:tc>
      </w:tr>
    </w:tbl>
    <w:p>
      <w:pPr>
        <w:spacing w:lineRule="exact" w:line="1"/>
        <w:rPr>
          <w:sz w:val="2"/>
          <w:szCs w:val="2"/>
        </w:rPr>
      </w:pPr>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2" w:val="left"/>
        </w:tabs>
        <w:bidi w:val="0"/>
        <w:spacing w:before="0" w:after="30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2"/>
          <w:szCs w:val="22"/>
        </w:rPr>
        <w:t>、 所得税费用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23"/>
        </w:numPr>
        <w:shd w:val="clear" w:color="auto" w:fill="auto"/>
        <w:bidi w:val="0"/>
        <w:spacing w:before="0" w:after="300" w:line="240" w:lineRule="auto"/>
        <w:ind w:left="0" w:right="0" w:firstLine="720"/>
        <w:jc w:val="left"/>
        <w:rPr>
          <w:sz w:val="22"/>
          <w:szCs w:val="22"/>
        </w:rPr>
      </w:pPr>
      <w:bookmarkStart w:id="1377" w:name="bookmark1377"/>
      <w:bookmarkEnd w:id="1377"/>
      <w:r>
        <w:rPr>
          <w:color w:val="000000"/>
          <w:spacing w:val="0"/>
          <w:w w:val="100"/>
          <w:position w:val="0"/>
          <w:sz w:val="22"/>
          <w:szCs w:val="22"/>
        </w:rPr>
        <w:t>递延所得税资产及负债包括以下暂时性差异对所得税的影响:</w:t>
      </w:r>
    </w:p>
    <w:p>
      <w:pPr>
        <w:pStyle w:val="Style5"/>
        <w:keepNext w:val="0"/>
        <w:keepLines w:val="0"/>
        <w:widowControl w:val="0"/>
        <w:shd w:val="clear" w:color="auto" w:fill="auto"/>
        <w:bidi w:val="0"/>
        <w:spacing w:before="0" w:after="300" w:line="240" w:lineRule="auto"/>
        <w:ind w:left="0" w:right="0" w:firstLine="720"/>
        <w:jc w:val="left"/>
        <w:rPr>
          <w:sz w:val="22"/>
          <w:szCs w:val="22"/>
        </w:rPr>
      </w:pPr>
      <w:r>
        <w:rPr>
          <w:color w:val="000000"/>
          <w:spacing w:val="0"/>
          <w:w w:val="100"/>
          <w:position w:val="0"/>
          <w:sz w:val="22"/>
          <w:szCs w:val="22"/>
        </w:rPr>
        <w:t>⑴递延所得税资产与递延所得税负债:</w:t>
      </w:r>
    </w:p>
    <w:p>
      <w:pPr>
        <w:pStyle w:val="Style25"/>
        <w:keepNext w:val="0"/>
        <w:keepLines w:val="0"/>
        <w:widowControl w:val="0"/>
        <w:shd w:val="clear" w:color="auto" w:fill="auto"/>
        <w:tabs>
          <w:tab w:pos="3082"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bl>
      <w:tblPr>
        <w:tblOverlap w:val="never"/>
        <w:jc w:val="right"/>
        <w:tblLayout w:type="fixed"/>
      </w:tblPr>
      <w:tblGrid>
        <w:gridCol w:w="2674"/>
        <w:gridCol w:w="629"/>
        <w:gridCol w:w="1579"/>
        <w:gridCol w:w="1531"/>
        <w:gridCol w:w="1560"/>
        <w:gridCol w:w="1464"/>
      </w:tblGrid>
      <w:tr>
        <w:trPr>
          <w:trHeight w:val="58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项目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注释</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可抵扣或应纳税 暂时性差异</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递延所得税 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负债</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可抵扣或应纳税 暂时性差异</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递延所得税 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负债</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固定资产及在建工程减值准备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99,023,151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22,859,407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26,456,716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6,614,179</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153,795,563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37,910,188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19,387,916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4,846,979</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应收款项及合同资产减值准备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11,274,740,676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2,622,641,336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10,377,064,610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2,475,841,813</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尚未抵扣的预提费用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18,998,155,873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4,743,433,758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16,578,252,147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4,138,679,579</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合同负债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7,155,041,036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1,786,384,340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6,362,435,102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1,588,365,862</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已计提尚未发放的职工福利开支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2,986,082,897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743,717,676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2,280,508,977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566,897,031</w:t>
            </w: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集团内部购销业务未实现净利润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1,640,541,846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410,135,461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1,471,934,984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367,983,746</w:t>
            </w: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与联营企业交易未实现净利润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1,001,160,694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250,290,173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1,260,347,952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315,086,989</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无形资产摊销差异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1,954,699,790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478,513,228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1,700,613,462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420,404,658</w:t>
            </w:r>
          </w:p>
        </w:tc>
      </w:tr>
      <w:tr>
        <w:trP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224,656,502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33,698,475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新租赁准则影响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1,623,230,608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402,789,914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1,557,268,568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390,805,071</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其他债权投资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公允价值变动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5,657,119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848,568</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尚未解锁的权益结算股份支付</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67,947,952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14,054,095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797,519,992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199,379,998</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622,721,535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134,837,493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834,413,313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206,881,743</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47,801,798,123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11,681,265,544</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43,271,860,858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10,682,636,216</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互抵金额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(11,409,940,844)</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(10,474,521,817)</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互抵后的金额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271,324,700</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208,114,399</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固定资产加速折旧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51,767,449,494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12,867,770,292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44,396,354,816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11,099,088,704</w:t>
            </w: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固定资产计提折旧的核算差异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691,931,935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114,168,769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497,257,200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82,047,438</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改制评估增值</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48,096,079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7,214,412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51,106,900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7,666,035</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其他债权投资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公允价值变动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115,076,681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20,793,589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130,224,900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19,533,735</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146,834,106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36,789,083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250,366,232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62,591,558</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52,769,388,295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13,046,736,145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45,325,310,048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11,270,927,470</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互抵金额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(11,409,940,844)</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(10,474,521,817)</w:t>
            </w:r>
          </w:p>
        </w:tc>
      </w:tr>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互抵后的金额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1,636,795,301</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796,405,653</w:t>
            </w:r>
          </w:p>
        </w:tc>
      </w:tr>
    </w:tbl>
    <w:p>
      <w:pPr>
        <w:sectPr>
          <w:footnotePr>
            <w:pos w:val="pageBottom"/>
            <w:numFmt w:val="decimal"/>
            <w:numRestart w:val="continuous"/>
          </w:footnotePr>
          <w:type w:val="continuous"/>
          <w:pgSz w:w="11900" w:h="16840"/>
          <w:pgMar w:top="1599" w:right="736" w:bottom="845" w:left="959"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58" w:val="left"/>
        </w:tabs>
        <w:bidi w:val="0"/>
        <w:spacing w:before="0" w:after="260" w:line="314" w:lineRule="exact"/>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58" w:val="left"/>
        </w:tabs>
        <w:bidi w:val="0"/>
        <w:spacing w:before="0" w:after="260" w:line="276"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2"/>
          <w:szCs w:val="22"/>
        </w:rPr>
        <w:t>、</w:t>
        <w:tab/>
        <w:t>所得税费用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31"/>
        </w:numPr>
        <w:shd w:val="clear" w:color="auto" w:fill="auto"/>
        <w:bidi w:val="0"/>
        <w:spacing w:before="0" w:after="320" w:line="314" w:lineRule="exact"/>
        <w:ind w:left="0" w:right="0" w:firstLine="740"/>
        <w:jc w:val="left"/>
        <w:rPr>
          <w:sz w:val="22"/>
          <w:szCs w:val="22"/>
        </w:rPr>
      </w:pPr>
      <w:bookmarkStart w:id="1378" w:name="bookmark1378"/>
      <w:bookmarkEnd w:id="1378"/>
      <w:r>
        <w:rPr>
          <w:color w:val="000000"/>
          <w:spacing w:val="0"/>
          <w:w w:val="100"/>
          <w:position w:val="0"/>
          <w:sz w:val="22"/>
          <w:szCs w:val="22"/>
        </w:rPr>
        <w:t>递延所得税资产及负债包括以下暂时性差异对所得税的影响：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89"/>
        <w:keepNext w:val="0"/>
        <w:keepLines w:val="0"/>
        <w:widowControl w:val="0"/>
        <w:shd w:val="clear" w:color="auto" w:fill="auto"/>
        <w:bidi w:val="0"/>
        <w:spacing w:before="0" w:after="260" w:line="276" w:lineRule="auto"/>
        <w:ind w:left="1460" w:right="0" w:hanging="720"/>
        <w:jc w:val="both"/>
        <w:rPr>
          <w:sz w:val="22"/>
          <w:szCs w:val="22"/>
        </w:rPr>
      </w:pPr>
      <w:r>
        <w:rPr>
          <w:color w:val="000000"/>
          <w:spacing w:val="0"/>
          <w:w w:val="100"/>
          <w:position w:val="0"/>
          <w:sz w:val="24"/>
          <w:szCs w:val="24"/>
          <w:u w:val="none"/>
        </w:rPr>
        <w:t>(ii)</w:t>
      </w:r>
      <w:r>
        <w:rPr>
          <w:rFonts w:ascii="SimSun" w:eastAsia="SimSun" w:hAnsi="SimSun" w:cs="SimSun"/>
          <w:color w:val="000000"/>
          <w:spacing w:val="0"/>
          <w:w w:val="100"/>
          <w:position w:val="0"/>
          <w:sz w:val="22"/>
          <w:szCs w:val="22"/>
          <w:u w:val="none"/>
        </w:rPr>
        <w:t>注释</w:t>
      </w:r>
    </w:p>
    <w:p>
      <w:pPr>
        <w:pStyle w:val="Style5"/>
        <w:keepNext w:val="0"/>
        <w:keepLines w:val="0"/>
        <w:widowControl w:val="0"/>
        <w:shd w:val="clear" w:color="auto" w:fill="auto"/>
        <w:bidi w:val="0"/>
        <w:spacing w:before="0" w:after="0" w:line="302" w:lineRule="exact"/>
        <w:ind w:left="1460" w:right="0" w:hanging="720"/>
        <w:jc w:val="both"/>
        <w:rPr>
          <w:sz w:val="22"/>
          <w:szCs w:val="22"/>
        </w:rPr>
      </w:pPr>
      <w:r>
        <w:rPr>
          <w:color w:val="000000"/>
          <w:spacing w:val="0"/>
          <w:w w:val="100"/>
          <w:position w:val="0"/>
          <w:sz w:val="22"/>
          <w:szCs w:val="22"/>
        </w:rPr>
        <w:t>以上递延所得税资产及负债是根据本集团在各期间因暂时性差异对所得税影响金额计算。</w:t>
      </w:r>
    </w:p>
    <w:p>
      <w:pPr>
        <w:pStyle w:val="Style5"/>
        <w:keepNext w:val="0"/>
        <w:keepLines w:val="0"/>
        <w:widowControl w:val="0"/>
        <w:shd w:val="clear" w:color="auto" w:fill="auto"/>
        <w:bidi w:val="0"/>
        <w:spacing w:before="0" w:after="320" w:line="302" w:lineRule="exact"/>
        <w:ind w:left="740" w:right="0" w:firstLine="0"/>
        <w:jc w:val="both"/>
        <w:rPr>
          <w:sz w:val="22"/>
          <w:szCs w:val="22"/>
        </w:rPr>
      </w:pPr>
      <w:r>
        <w:rPr>
          <w:color w:val="000000"/>
          <w:spacing w:val="0"/>
          <w:w w:val="100"/>
          <w:position w:val="0"/>
          <w:sz w:val="22"/>
          <w:szCs w:val="22"/>
        </w:rPr>
        <w:t>在资产负债表债务法下，暂时性差异对所得税的影响金额，在考虑了当时有关税务法规及 市场发展情况，可以递延和分配到以后各期。这些暂时性差异的详细说明如下：</w:t>
      </w:r>
    </w:p>
    <w:p>
      <w:pPr>
        <w:pStyle w:val="Style5"/>
        <w:keepNext w:val="0"/>
        <w:keepLines w:val="0"/>
        <w:widowControl w:val="0"/>
        <w:numPr>
          <w:ilvl w:val="0"/>
          <w:numId w:val="133"/>
        </w:numPr>
        <w:shd w:val="clear" w:color="auto" w:fill="auto"/>
        <w:tabs>
          <w:tab w:pos="1460" w:val="left"/>
        </w:tabs>
        <w:bidi w:val="0"/>
        <w:spacing w:before="0" w:after="260" w:line="313" w:lineRule="exact"/>
        <w:ind w:left="1460" w:right="0" w:hanging="720"/>
        <w:jc w:val="both"/>
        <w:rPr>
          <w:sz w:val="22"/>
          <w:szCs w:val="22"/>
        </w:rPr>
      </w:pPr>
      <w:bookmarkStart w:id="1379" w:name="bookmark1379"/>
      <w:bookmarkEnd w:id="1379"/>
      <w:r>
        <w:rPr>
          <w:color w:val="000000"/>
          <w:spacing w:val="0"/>
          <w:w w:val="100"/>
          <w:position w:val="0"/>
          <w:sz w:val="22"/>
          <w:szCs w:val="22"/>
        </w:rPr>
        <w:t>本集团于资产负债表日对集团内受同一纳税征管部门管理的同一纳税实体的递延所 得税资产和递延所得税负债的余额进行分析，如果递延所得税资产的余额大于递延 所得税负债的余额，则将递延所得税资产与递延所得税负债抵销后的净额列示于资 产负债表的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项下；如果递延所得税资产的余额小于递延所得税负 债的余额，则将递延所得税资产与递延所得税负债抵销后的净额列示于资产负债表 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递延所得税负债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项下。</w:t>
      </w:r>
    </w:p>
    <w:p>
      <w:pPr>
        <w:pStyle w:val="Style5"/>
        <w:keepNext w:val="0"/>
        <w:keepLines w:val="0"/>
        <w:widowControl w:val="0"/>
        <w:numPr>
          <w:ilvl w:val="0"/>
          <w:numId w:val="133"/>
        </w:numPr>
        <w:shd w:val="clear" w:color="auto" w:fill="auto"/>
        <w:tabs>
          <w:tab w:pos="1460" w:val="left"/>
        </w:tabs>
        <w:bidi w:val="0"/>
        <w:spacing w:before="0" w:after="260" w:line="314" w:lineRule="exact"/>
        <w:ind w:left="1460" w:right="0" w:hanging="720"/>
        <w:jc w:val="both"/>
        <w:rPr>
          <w:sz w:val="22"/>
          <w:szCs w:val="22"/>
        </w:rPr>
      </w:pPr>
      <w:bookmarkStart w:id="1380" w:name="bookmark1380"/>
      <w:bookmarkEnd w:id="1380"/>
      <w:r>
        <w:rPr>
          <w:color w:val="000000"/>
          <w:spacing w:val="0"/>
          <w:w w:val="100"/>
          <w:position w:val="0"/>
          <w:sz w:val="22"/>
          <w:szCs w:val="22"/>
        </w:rPr>
        <w:t>本集团于资产负债表日，对有关资产减值准备是否能在未来为本集团抵扣以后年度 的所得税进行评估。按税务法规的有关规定，当期计提的各项资产减值准备虽然不 得在当期税前列支，但期后可于相关资产的减值损失实现时在税前列支。这些已计 提减值准备的资产根据减值前的金额通过折旧和摊销在以后年度抵减应纳税所得 额。因此本集团对未来期间很可能获得足够的应纳税所得额用来抵扣资产减值准备 对应的所得税的影响，确认递延所得税资产。</w:t>
      </w:r>
    </w:p>
    <w:p>
      <w:pPr>
        <w:pStyle w:val="Style5"/>
        <w:keepNext w:val="0"/>
        <w:keepLines w:val="0"/>
        <w:widowControl w:val="0"/>
        <w:numPr>
          <w:ilvl w:val="0"/>
          <w:numId w:val="133"/>
        </w:numPr>
        <w:shd w:val="clear" w:color="auto" w:fill="auto"/>
        <w:tabs>
          <w:tab w:pos="1460" w:val="left"/>
        </w:tabs>
        <w:bidi w:val="0"/>
        <w:spacing w:before="0" w:after="260" w:line="315" w:lineRule="exact"/>
        <w:ind w:left="1460" w:right="0" w:hanging="720"/>
        <w:jc w:val="both"/>
        <w:rPr>
          <w:sz w:val="22"/>
          <w:szCs w:val="22"/>
        </w:rPr>
      </w:pPr>
      <w:bookmarkStart w:id="1381" w:name="bookmark1381"/>
      <w:bookmarkEnd w:id="1381"/>
      <w:r>
        <w:rPr>
          <w:color w:val="000000"/>
          <w:spacing w:val="0"/>
          <w:w w:val="100"/>
          <w:position w:val="0"/>
          <w:sz w:val="22"/>
          <w:szCs w:val="22"/>
        </w:rPr>
        <w:t>应收款项及合同资产减值准备所对应的递延所得税资产主要由本集团计提的应收账 款、合同资产及其他应收款信用损失准备产生。根据税收相关法规，实际损失经向 主管税务机关报备后可作为税前扣除项目。因此，本集团将尚未形成实际损失的信 用损失准备所对应的所得税的影响确认为递延所得税资产，而将形成实际损失的信 用损失准备向主管税务机关报备后于所得税前扣除，同时转回相应的递延所得税资 产。</w:t>
      </w:r>
    </w:p>
    <w:p>
      <w:pPr>
        <w:pStyle w:val="Style5"/>
        <w:keepNext w:val="0"/>
        <w:keepLines w:val="0"/>
        <w:widowControl w:val="0"/>
        <w:numPr>
          <w:ilvl w:val="0"/>
          <w:numId w:val="133"/>
        </w:numPr>
        <w:shd w:val="clear" w:color="auto" w:fill="auto"/>
        <w:tabs>
          <w:tab w:pos="1460" w:val="left"/>
        </w:tabs>
        <w:bidi w:val="0"/>
        <w:spacing w:before="0" w:after="260" w:line="317" w:lineRule="exact"/>
        <w:ind w:left="1460" w:right="0" w:hanging="720"/>
        <w:jc w:val="both"/>
        <w:rPr>
          <w:sz w:val="22"/>
          <w:szCs w:val="22"/>
        </w:rPr>
      </w:pPr>
      <w:bookmarkStart w:id="1382" w:name="bookmark1382"/>
      <w:bookmarkEnd w:id="1382"/>
      <w:r>
        <w:rPr>
          <w:color w:val="000000"/>
          <w:spacing w:val="0"/>
          <w:w w:val="100"/>
          <w:position w:val="0"/>
          <w:sz w:val="22"/>
          <w:szCs w:val="22"/>
        </w:rPr>
        <w:t>本集团对本年已经发生但尚未支付的成本费用在合理估计的基础上进行预提。而根 据中国税收法规的有关规定，成本费用应该按照实际发生额在税前列支，对于没有 明确证据的预提费用不得在税前列支，因此本集团对估计预提的成本费用确认了相 应的递延所得税资产，并在该等估计预提成本费用实际支付时，将有关递延所得税 资产予以转回。</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2" w:val="left"/>
        </w:tabs>
        <w:bidi w:val="0"/>
        <w:spacing w:before="0" w:after="280" w:line="314" w:lineRule="exact"/>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2" w:val="left"/>
        </w:tabs>
        <w:bidi w:val="0"/>
        <w:spacing w:before="0" w:after="220" w:line="276"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2"/>
          <w:szCs w:val="22"/>
        </w:rPr>
        <w:t>、</w:t>
        <w:tab/>
        <w:t>所得税费用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35"/>
        </w:numPr>
        <w:shd w:val="clear" w:color="auto" w:fill="auto"/>
        <w:bidi w:val="0"/>
        <w:spacing w:before="0" w:after="280" w:line="314" w:lineRule="exact"/>
        <w:ind w:left="1460" w:right="0" w:hanging="720"/>
        <w:jc w:val="both"/>
        <w:rPr>
          <w:sz w:val="22"/>
          <w:szCs w:val="22"/>
        </w:rPr>
      </w:pPr>
      <w:bookmarkStart w:id="1383" w:name="bookmark1383"/>
      <w:bookmarkEnd w:id="1383"/>
      <w:r>
        <w:rPr>
          <w:color w:val="000000"/>
          <w:spacing w:val="0"/>
          <w:w w:val="100"/>
          <w:position w:val="0"/>
          <w:sz w:val="22"/>
          <w:szCs w:val="22"/>
        </w:rPr>
        <w:t>递延所得税资产及负债包括以下暂时性差异对所得税的影响：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89"/>
        <w:keepNext w:val="0"/>
        <w:keepLines w:val="0"/>
        <w:widowControl w:val="0"/>
        <w:shd w:val="clear" w:color="auto" w:fill="auto"/>
        <w:bidi w:val="0"/>
        <w:spacing w:before="0" w:after="220" w:line="276" w:lineRule="auto"/>
        <w:ind w:left="1460" w:right="0" w:hanging="720"/>
        <w:jc w:val="both"/>
        <w:rPr>
          <w:sz w:val="22"/>
          <w:szCs w:val="22"/>
        </w:rPr>
      </w:pPr>
      <w:r>
        <w:rPr>
          <w:color w:val="000000"/>
          <w:spacing w:val="0"/>
          <w:w w:val="100"/>
          <w:position w:val="0"/>
          <w:sz w:val="24"/>
          <w:szCs w:val="24"/>
          <w:u w:val="none"/>
        </w:rPr>
        <w:t>(ii)</w:t>
      </w:r>
      <w:r>
        <w:rPr>
          <w:rFonts w:ascii="SimSun" w:eastAsia="SimSun" w:hAnsi="SimSun" w:cs="SimSun"/>
          <w:color w:val="000000"/>
          <w:spacing w:val="0"/>
          <w:w w:val="100"/>
          <w:position w:val="0"/>
          <w:sz w:val="22"/>
          <w:szCs w:val="22"/>
          <w:u w:val="none"/>
        </w:rPr>
        <w:t>注释</w:t>
      </w:r>
      <w:r>
        <w:rPr>
          <w:color w:val="000000"/>
          <w:spacing w:val="0"/>
          <w:w w:val="100"/>
          <w:position w:val="0"/>
          <w:sz w:val="24"/>
          <w:szCs w:val="24"/>
          <w:u w:val="none"/>
        </w:rPr>
        <w:t>-</w:t>
      </w:r>
      <w:r>
        <w:rPr>
          <w:rFonts w:ascii="SimSun" w:eastAsia="SimSun" w:hAnsi="SimSun" w:cs="SimSun"/>
          <w:color w:val="000000"/>
          <w:spacing w:val="0"/>
          <w:w w:val="100"/>
          <w:position w:val="0"/>
          <w:sz w:val="22"/>
          <w:szCs w:val="22"/>
          <w:u w:val="none"/>
        </w:rPr>
        <w:t>续</w:t>
      </w:r>
    </w:p>
    <w:p>
      <w:pPr>
        <w:pStyle w:val="Style5"/>
        <w:keepNext w:val="0"/>
        <w:keepLines w:val="0"/>
        <w:widowControl w:val="0"/>
        <w:numPr>
          <w:ilvl w:val="0"/>
          <w:numId w:val="133"/>
        </w:numPr>
        <w:shd w:val="clear" w:color="auto" w:fill="auto"/>
        <w:tabs>
          <w:tab w:pos="1469" w:val="left"/>
        </w:tabs>
        <w:bidi w:val="0"/>
        <w:spacing w:before="0" w:after="280" w:line="317" w:lineRule="exact"/>
        <w:ind w:left="1460" w:right="0" w:hanging="720"/>
        <w:jc w:val="both"/>
        <w:rPr>
          <w:sz w:val="22"/>
          <w:szCs w:val="22"/>
        </w:rPr>
      </w:pPr>
      <w:bookmarkStart w:id="1384" w:name="bookmark1384"/>
      <w:bookmarkEnd w:id="1384"/>
      <w:r>
        <w:rPr>
          <w:color w:val="000000"/>
          <w:spacing w:val="0"/>
          <w:w w:val="100"/>
          <w:position w:val="0"/>
          <w:sz w:val="22"/>
          <w:szCs w:val="22"/>
        </w:rPr>
        <w:t>在税法下与资产相关以及与收益相关的政府补助于收到当期计入应税收入并缴纳所 得税，而在会计上将在以后递延收益摊销期间确认收入，由此产生的可抵扣暂时性 差异确认为相关的递延所得税资产。</w:t>
      </w:r>
    </w:p>
    <w:p>
      <w:pPr>
        <w:pStyle w:val="Style5"/>
        <w:keepNext w:val="0"/>
        <w:keepLines w:val="0"/>
        <w:widowControl w:val="0"/>
        <w:shd w:val="clear" w:color="auto" w:fill="auto"/>
        <w:bidi w:val="0"/>
        <w:spacing w:before="0" w:after="280" w:line="313" w:lineRule="exact"/>
        <w:ind w:left="1460" w:right="0" w:firstLine="0"/>
        <w:jc w:val="both"/>
        <w:rPr>
          <w:sz w:val="22"/>
          <w:szCs w:val="22"/>
        </w:rPr>
      </w:pPr>
      <w:r>
        <w:rPr>
          <w:color w:val="000000"/>
          <w:spacing w:val="0"/>
          <w:w w:val="100"/>
          <w:position w:val="0"/>
          <w:sz w:val="22"/>
          <w:szCs w:val="22"/>
        </w:rPr>
        <w:t>本集团实施积分奖励计划，将部分交易价格分摊至用户在未来购买本集团商品或服 务时可兑换抵扣的奖励积分。分摊比例按照奖励积分和相关商品或服务单独售价的 相对比例确定。本集团将分摊至奖励积分的金额予以递延并在积分兑换或到期时确 认为收入。但是根据税法要求，当本集团就向用户收取或应收现金时即已产生纳税 义务，而非在积分兑换或到期的当期。因此，年末未兑换的积分奖励计划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列示为合 同负债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对应的所得税影响被确认为递延所得税资产。</w:t>
      </w:r>
    </w:p>
    <w:p>
      <w:pPr>
        <w:pStyle w:val="Style5"/>
        <w:keepNext w:val="0"/>
        <w:keepLines w:val="0"/>
        <w:widowControl w:val="0"/>
        <w:numPr>
          <w:ilvl w:val="0"/>
          <w:numId w:val="133"/>
        </w:numPr>
        <w:shd w:val="clear" w:color="auto" w:fill="auto"/>
        <w:tabs>
          <w:tab w:pos="1469" w:val="left"/>
        </w:tabs>
        <w:bidi w:val="0"/>
        <w:spacing w:before="0" w:after="280" w:line="315" w:lineRule="exact"/>
        <w:ind w:left="1460" w:right="0" w:hanging="720"/>
        <w:jc w:val="both"/>
        <w:rPr>
          <w:sz w:val="22"/>
          <w:szCs w:val="22"/>
        </w:rPr>
      </w:pPr>
      <w:bookmarkStart w:id="1385" w:name="bookmark1385"/>
      <w:bookmarkEnd w:id="1385"/>
      <w:r>
        <w:rPr>
          <w:color w:val="000000"/>
          <w:spacing w:val="0"/>
          <w:w w:val="100"/>
          <w:position w:val="0"/>
          <w:sz w:val="22"/>
          <w:szCs w:val="22"/>
        </w:rPr>
        <w:t>本集团位于中国境内的若干子公司年末有未支付的工资。根据中国税收法规的有关 规定，年末未发放的工资薪金在以后期间实际发放时或一定比例内计提的企业年金 在缴纳时，经主管税务机关审核，可在实际发放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缴纳期间企业所得税前扣除，由此 产生的可抵扣暂时性差异被确认为递延所得税资产。</w:t>
      </w:r>
    </w:p>
    <w:p>
      <w:pPr>
        <w:pStyle w:val="Style5"/>
        <w:keepNext w:val="0"/>
        <w:keepLines w:val="0"/>
        <w:widowControl w:val="0"/>
        <w:numPr>
          <w:ilvl w:val="0"/>
          <w:numId w:val="133"/>
        </w:numPr>
        <w:shd w:val="clear" w:color="auto" w:fill="auto"/>
        <w:tabs>
          <w:tab w:pos="1469" w:val="left"/>
        </w:tabs>
        <w:bidi w:val="0"/>
        <w:spacing w:before="0" w:after="280" w:line="317" w:lineRule="exact"/>
        <w:ind w:left="1460" w:right="0" w:hanging="720"/>
        <w:jc w:val="both"/>
        <w:rPr>
          <w:sz w:val="22"/>
          <w:szCs w:val="22"/>
        </w:rPr>
      </w:pPr>
      <w:bookmarkStart w:id="1386" w:name="bookmark1386"/>
      <w:bookmarkEnd w:id="1386"/>
      <w:r>
        <w:rPr>
          <w:color w:val="000000"/>
          <w:spacing w:val="0"/>
          <w:w w:val="100"/>
          <w:position w:val="0"/>
          <w:sz w:val="22"/>
          <w:szCs w:val="22"/>
        </w:rPr>
        <w:t>本集团子公司之间的内部交易产生的未实现利润抵销构成会计与税务上的可抵扣暂 时性差异，其所得税影响确认递延所得税资产。</w:t>
      </w:r>
    </w:p>
    <w:p>
      <w:pPr>
        <w:pStyle w:val="Style5"/>
        <w:keepNext w:val="0"/>
        <w:keepLines w:val="0"/>
        <w:widowControl w:val="0"/>
        <w:numPr>
          <w:ilvl w:val="0"/>
          <w:numId w:val="133"/>
        </w:numPr>
        <w:shd w:val="clear" w:color="auto" w:fill="auto"/>
        <w:tabs>
          <w:tab w:pos="1469" w:val="left"/>
        </w:tabs>
        <w:bidi w:val="0"/>
        <w:spacing w:before="0" w:after="280" w:line="326" w:lineRule="exact"/>
        <w:ind w:left="1460" w:right="0" w:hanging="720"/>
        <w:jc w:val="both"/>
        <w:rPr>
          <w:sz w:val="22"/>
          <w:szCs w:val="22"/>
        </w:rPr>
      </w:pPr>
      <w:bookmarkStart w:id="1387" w:name="bookmark1387"/>
      <w:bookmarkEnd w:id="1387"/>
      <w:r>
        <w:rPr>
          <w:color w:val="000000"/>
          <w:spacing w:val="0"/>
          <w:w w:val="100"/>
          <w:position w:val="0"/>
          <w:sz w:val="22"/>
          <w:szCs w:val="22"/>
        </w:rPr>
        <w:t>中讯设计院、中国联通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运营有限公司等子公司部分固定资产的折旧年限在会 计与税务上存在差异，此暂时性差异的所得税影响确认递延所得税负债。</w:t>
      </w:r>
    </w:p>
    <w:p>
      <w:pPr>
        <w:pStyle w:val="Style5"/>
        <w:keepNext w:val="0"/>
        <w:keepLines w:val="0"/>
        <w:widowControl w:val="0"/>
        <w:numPr>
          <w:ilvl w:val="0"/>
          <w:numId w:val="133"/>
        </w:numPr>
        <w:shd w:val="clear" w:color="auto" w:fill="auto"/>
        <w:tabs>
          <w:tab w:pos="1469" w:val="left"/>
        </w:tabs>
        <w:bidi w:val="0"/>
        <w:spacing w:before="0" w:after="280" w:line="314" w:lineRule="exact"/>
        <w:ind w:left="1460" w:right="0" w:hanging="720"/>
        <w:jc w:val="both"/>
        <w:rPr>
          <w:sz w:val="22"/>
          <w:szCs w:val="22"/>
        </w:rPr>
      </w:pPr>
      <w:bookmarkStart w:id="1388" w:name="bookmark1388"/>
      <w:bookmarkEnd w:id="1388"/>
      <w:r>
        <w:rPr>
          <w:color w:val="000000"/>
          <w:spacing w:val="0"/>
          <w:w w:val="100"/>
          <w:position w:val="0"/>
          <w:sz w:val="22"/>
          <w:szCs w:val="22"/>
        </w:rPr>
        <w:t>中讯设计院和北京电信规划设计院有限公司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规划设计院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进行公司制改建时确认 了相关资产的评估增值，并按评估值作为基础计提折旧及摊销；而根据所得税法规 定，中讯设计院和规划设计院仍按原计税基础，即资产以历史成本为计税基础并按 历史成本计提折旧和摊销并计算应交所得税，因此资产评估增值的所得税影响被确 认为递延所得税负债。</w:t>
      </w:r>
    </w:p>
    <w:p>
      <w:pPr>
        <w:pStyle w:val="Style5"/>
        <w:keepNext w:val="0"/>
        <w:keepLines w:val="0"/>
        <w:widowControl w:val="0"/>
        <w:numPr>
          <w:ilvl w:val="0"/>
          <w:numId w:val="133"/>
        </w:numPr>
        <w:shd w:val="clear" w:color="auto" w:fill="auto"/>
        <w:tabs>
          <w:tab w:pos="1469" w:val="left"/>
        </w:tabs>
        <w:bidi w:val="0"/>
        <w:spacing w:before="0" w:after="280" w:line="312" w:lineRule="exact"/>
        <w:ind w:left="1460" w:right="0" w:hanging="720"/>
        <w:jc w:val="both"/>
        <w:rPr>
          <w:sz w:val="22"/>
          <w:szCs w:val="22"/>
        </w:rPr>
      </w:pPr>
      <w:bookmarkStart w:id="1389" w:name="bookmark1389"/>
      <w:bookmarkEnd w:id="1389"/>
      <w:r>
        <w:rPr>
          <w:color w:val="000000"/>
          <w:spacing w:val="0"/>
          <w:w w:val="100"/>
          <w:position w:val="0"/>
          <w:sz w:val="22"/>
          <w:szCs w:val="22"/>
        </w:rPr>
        <w:t>按照企业会计准则要求，本集团每一会计期间会确认本集团持有的其他权益工具投 资和其他债权投资的公允价值的变动并计入其他综合收益。在本集团持有该等其他 权益工具投资和其他债权投资期间的公允价值的变动不计入应纳税所得额，而实际 处置或出售该等其他权益工具投资和其他债权投资时产生的收益或损失将计入当期 应纳税所得额，由此产生的暂时性差异的所得税影响被确认为递延所得税负债或递 延所得税资产。</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6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2" w:val="left"/>
        </w:tabs>
        <w:bidi w:val="0"/>
        <w:spacing w:before="0" w:after="240" w:line="240" w:lineRule="auto"/>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40" w:line="308" w:lineRule="exact"/>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2"/>
          <w:szCs w:val="22"/>
        </w:rPr>
        <w:t>、 所得税费用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37"/>
        </w:numPr>
        <w:shd w:val="clear" w:color="auto" w:fill="auto"/>
        <w:bidi w:val="0"/>
        <w:spacing w:before="0" w:after="300" w:line="308" w:lineRule="exact"/>
        <w:ind w:left="0" w:right="0" w:firstLine="720"/>
        <w:jc w:val="both"/>
        <w:rPr>
          <w:sz w:val="22"/>
          <w:szCs w:val="22"/>
        </w:rPr>
      </w:pPr>
      <w:bookmarkStart w:id="1390" w:name="bookmark1390"/>
      <w:bookmarkEnd w:id="1390"/>
      <w:r>
        <w:rPr>
          <w:color w:val="000000"/>
          <w:spacing w:val="0"/>
          <w:w w:val="100"/>
          <w:position w:val="0"/>
          <w:sz w:val="22"/>
          <w:szCs w:val="22"/>
        </w:rPr>
        <w:t>递延所得税资产及负债包括以下暂时性差异对所得税的影响：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89"/>
        <w:keepNext w:val="0"/>
        <w:keepLines w:val="0"/>
        <w:widowControl w:val="0"/>
        <w:numPr>
          <w:ilvl w:val="0"/>
          <w:numId w:val="139"/>
        </w:numPr>
        <w:shd w:val="clear" w:color="auto" w:fill="auto"/>
        <w:bidi w:val="0"/>
        <w:spacing w:before="0" w:after="240" w:line="269" w:lineRule="auto"/>
        <w:ind w:left="0" w:right="0" w:firstLine="720"/>
        <w:jc w:val="both"/>
        <w:rPr>
          <w:sz w:val="22"/>
          <w:szCs w:val="22"/>
        </w:rPr>
      </w:pPr>
      <w:bookmarkStart w:id="1391" w:name="bookmark1391"/>
      <w:bookmarkEnd w:id="1391"/>
      <w:r>
        <w:rPr>
          <w:rFonts w:ascii="SimSun" w:eastAsia="SimSun" w:hAnsi="SimSun" w:cs="SimSun"/>
          <w:color w:val="000000"/>
          <w:spacing w:val="0"/>
          <w:w w:val="100"/>
          <w:position w:val="0"/>
          <w:sz w:val="22"/>
          <w:szCs w:val="22"/>
          <w:u w:val="none"/>
        </w:rPr>
        <w:t>注释</w:t>
      </w:r>
      <w:r>
        <w:rPr>
          <w:color w:val="000000"/>
          <w:spacing w:val="0"/>
          <w:w w:val="100"/>
          <w:position w:val="0"/>
          <w:sz w:val="24"/>
          <w:szCs w:val="24"/>
          <w:u w:val="none"/>
        </w:rPr>
        <w:t>-</w:t>
      </w:r>
      <w:r>
        <w:rPr>
          <w:rFonts w:ascii="SimSun" w:eastAsia="SimSun" w:hAnsi="SimSun" w:cs="SimSun"/>
          <w:color w:val="000000"/>
          <w:spacing w:val="0"/>
          <w:w w:val="100"/>
          <w:position w:val="0"/>
          <w:sz w:val="22"/>
          <w:szCs w:val="22"/>
          <w:u w:val="none"/>
        </w:rPr>
        <w:t>续</w:t>
      </w:r>
    </w:p>
    <w:p>
      <w:pPr>
        <w:pStyle w:val="Style5"/>
        <w:keepNext w:val="0"/>
        <w:keepLines w:val="0"/>
        <w:widowControl w:val="0"/>
        <w:numPr>
          <w:ilvl w:val="0"/>
          <w:numId w:val="133"/>
        </w:numPr>
        <w:shd w:val="clear" w:color="auto" w:fill="auto"/>
        <w:tabs>
          <w:tab w:pos="1474" w:val="left"/>
        </w:tabs>
        <w:bidi w:val="0"/>
        <w:spacing w:before="0" w:after="240" w:line="302" w:lineRule="exact"/>
        <w:ind w:left="1460" w:right="0" w:hanging="720"/>
        <w:jc w:val="both"/>
        <w:rPr>
          <w:sz w:val="22"/>
          <w:szCs w:val="22"/>
        </w:rPr>
      </w:pPr>
      <w:bookmarkStart w:id="1392" w:name="bookmark1392"/>
      <w:bookmarkEnd w:id="1392"/>
      <w:r>
        <w:rPr>
          <w:color w:val="000000"/>
          <w:spacing w:val="0"/>
          <w:w w:val="100"/>
          <w:position w:val="0"/>
          <w:sz w:val="22"/>
          <w:szCs w:val="22"/>
        </w:rPr>
        <w:t>由于出售铁塔资产未实现利润中按本集团持股比例享有部分构成会计与税务上的可 抵扣暂时性差异，其所得税影响确认递延所得税资产。</w:t>
      </w:r>
    </w:p>
    <w:p>
      <w:pPr>
        <w:pStyle w:val="Style5"/>
        <w:keepNext w:val="0"/>
        <w:keepLines w:val="0"/>
        <w:widowControl w:val="0"/>
        <w:numPr>
          <w:ilvl w:val="0"/>
          <w:numId w:val="133"/>
        </w:numPr>
        <w:shd w:val="clear" w:color="auto" w:fill="auto"/>
        <w:tabs>
          <w:tab w:pos="1474" w:val="left"/>
        </w:tabs>
        <w:bidi w:val="0"/>
        <w:spacing w:before="0" w:after="240" w:line="312" w:lineRule="exact"/>
        <w:ind w:left="1460" w:right="0" w:hanging="720"/>
        <w:jc w:val="both"/>
        <w:rPr>
          <w:sz w:val="22"/>
          <w:szCs w:val="22"/>
        </w:rPr>
      </w:pPr>
      <w:bookmarkStart w:id="1393" w:name="bookmark1393"/>
      <w:bookmarkEnd w:id="1393"/>
      <w:r>
        <w:rPr>
          <w:color w:val="000000"/>
          <w:spacing w:val="0"/>
          <w:w w:val="100"/>
          <w:position w:val="0"/>
          <w:sz w:val="22"/>
          <w:szCs w:val="22"/>
        </w:rPr>
        <w:t>本集团部分软件的摊销年限在会计与税务上存在差异，此可抵扣暂时性差异的所得 税影响确认递延所得税资产。</w:t>
      </w:r>
    </w:p>
    <w:p>
      <w:pPr>
        <w:pStyle w:val="Style5"/>
        <w:keepNext w:val="0"/>
        <w:keepLines w:val="0"/>
        <w:widowControl w:val="0"/>
        <w:numPr>
          <w:ilvl w:val="0"/>
          <w:numId w:val="133"/>
        </w:numPr>
        <w:shd w:val="clear" w:color="auto" w:fill="auto"/>
        <w:tabs>
          <w:tab w:pos="1474" w:val="left"/>
        </w:tabs>
        <w:bidi w:val="0"/>
        <w:spacing w:before="0" w:after="240" w:line="308" w:lineRule="exact"/>
        <w:ind w:left="1460" w:right="0" w:hanging="720"/>
        <w:jc w:val="both"/>
        <w:rPr>
          <w:sz w:val="22"/>
          <w:szCs w:val="22"/>
        </w:rPr>
      </w:pPr>
      <w:bookmarkStart w:id="1394" w:name="bookmark1394"/>
      <w:bookmarkEnd w:id="1394"/>
      <w:r>
        <w:rPr>
          <w:color w:val="000000"/>
          <w:spacing w:val="0"/>
          <w:w w:val="100"/>
          <w:position w:val="0"/>
          <w:sz w:val="22"/>
          <w:szCs w:val="22"/>
        </w:rPr>
        <w:t>本集团于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年起，根据财政部、国家税务总局《关于完善固定资产加速折旧企 业所得税政策的通知》</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财税</w:t>
      </w:r>
      <w:r>
        <w:rPr>
          <w:rFonts w:ascii="Times New Roman" w:eastAsia="Times New Roman" w:hAnsi="Times New Roman" w:cs="Times New Roman"/>
          <w:color w:val="000000"/>
          <w:spacing w:val="0"/>
          <w:w w:val="100"/>
          <w:position w:val="0"/>
          <w:sz w:val="24"/>
          <w:szCs w:val="24"/>
        </w:rPr>
        <w:t>[2014]75</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文件规定，在计算应纳税所得额时对符 合规定的固定资产按照缩短折旧年限方法计算折旧或一次性计入当期成本费用，税 法与会计上折旧年限差异构成应纳税暂时性差异，其所得税影响确认为递延所得税 负债。</w:t>
      </w:r>
    </w:p>
    <w:p>
      <w:pPr>
        <w:pStyle w:val="Style5"/>
        <w:keepNext w:val="0"/>
        <w:keepLines w:val="0"/>
        <w:widowControl w:val="0"/>
        <w:numPr>
          <w:ilvl w:val="0"/>
          <w:numId w:val="133"/>
        </w:numPr>
        <w:shd w:val="clear" w:color="auto" w:fill="auto"/>
        <w:tabs>
          <w:tab w:pos="1474" w:val="left"/>
        </w:tabs>
        <w:bidi w:val="0"/>
        <w:spacing w:before="0" w:after="300" w:line="307" w:lineRule="exact"/>
        <w:ind w:left="1460" w:right="0" w:hanging="720"/>
        <w:jc w:val="both"/>
        <w:rPr>
          <w:sz w:val="22"/>
          <w:szCs w:val="22"/>
        </w:rPr>
      </w:pPr>
      <w:bookmarkStart w:id="1395" w:name="bookmark1395"/>
      <w:bookmarkEnd w:id="1395"/>
      <w:r>
        <w:rPr>
          <w:color w:val="000000"/>
          <w:spacing w:val="0"/>
          <w:w w:val="100"/>
          <w:position w:val="0"/>
          <w:sz w:val="22"/>
          <w:szCs w:val="22"/>
        </w:rPr>
        <w:t>由于适用新租赁准则，本集团确认的使用权资产及租赁负债的账面价值与所得税法 认可的计税基础存在暂时性差异，确认相关递延所得税影响。</w:t>
      </w:r>
    </w:p>
    <w:p>
      <w:pPr>
        <w:pStyle w:val="Style5"/>
        <w:keepNext w:val="0"/>
        <w:keepLines w:val="0"/>
        <w:widowControl w:val="0"/>
        <w:numPr>
          <w:ilvl w:val="0"/>
          <w:numId w:val="123"/>
        </w:numPr>
        <w:shd w:val="clear" w:color="auto" w:fill="auto"/>
        <w:bidi w:val="0"/>
        <w:spacing w:before="0" w:after="300" w:line="240" w:lineRule="auto"/>
        <w:ind w:left="0" w:right="0" w:firstLine="720"/>
        <w:jc w:val="both"/>
        <w:rPr>
          <w:sz w:val="22"/>
          <w:szCs w:val="22"/>
        </w:rPr>
      </w:pPr>
      <w:bookmarkStart w:id="1396" w:name="bookmark1396"/>
      <w:bookmarkEnd w:id="1396"/>
      <w:r>
        <w:rPr>
          <w:color w:val="000000"/>
          <w:spacing w:val="0"/>
          <w:w w:val="100"/>
          <w:position w:val="0"/>
          <w:sz w:val="22"/>
          <w:szCs w:val="22"/>
        </w:rPr>
        <w:t>本集团未确认递延所得税资产的可抵扣暂时性差异及可抵扣亏损分析如下：</w:t>
      </w:r>
    </w:p>
    <w:p>
      <w:pPr>
        <w:pStyle w:val="Style25"/>
        <w:keepNext w:val="0"/>
        <w:keepLines w:val="0"/>
        <w:widowControl w:val="0"/>
        <w:shd w:val="clear" w:color="auto" w:fill="auto"/>
        <w:tabs>
          <w:tab w:pos="1661"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tab/>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5"/>
        <w:keepNext w:val="0"/>
        <w:keepLines w:val="0"/>
        <w:widowControl w:val="0"/>
        <w:shd w:val="clear" w:color="auto" w:fill="auto"/>
        <w:tabs>
          <w:tab w:pos="1661" w:val="left"/>
        </w:tabs>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tab/>
      </w: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bl>
      <w:tblPr>
        <w:tblOverlap w:val="never"/>
        <w:jc w:val="center"/>
        <w:tblLayout w:type="fixed"/>
      </w:tblPr>
      <w:tblGrid>
        <w:gridCol w:w="6211"/>
        <w:gridCol w:w="1646"/>
        <w:gridCol w:w="1565"/>
      </w:tblGrid>
      <w:tr>
        <w:trPr>
          <w:trHeight w:val="739" w:hRule="exact"/>
        </w:trPr>
        <w:tc>
          <w:tcPr>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可抵扣暂时性差异 可抵扣亏损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9,372,265,716</w:t>
            </w:r>
          </w:p>
          <w:p>
            <w:pPr>
              <w:pStyle w:val="Style22"/>
              <w:keepNext w:val="0"/>
              <w:keepLines w:val="0"/>
              <w:widowControl w:val="0"/>
              <w:shd w:val="clear" w:color="auto" w:fill="auto"/>
              <w:bidi w:val="0"/>
              <w:spacing w:before="0" w:after="0" w:line="233"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203,199,729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9,792,749,841</w:t>
            </w:r>
          </w:p>
          <w:p>
            <w:pPr>
              <w:pStyle w:val="Style22"/>
              <w:keepNext w:val="0"/>
              <w:keepLines w:val="0"/>
              <w:widowControl w:val="0"/>
              <w:shd w:val="clear" w:color="auto" w:fill="auto"/>
              <w:bidi w:val="0"/>
              <w:spacing w:before="0" w:after="0" w:line="233"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726,403,084</w:t>
            </w:r>
          </w:p>
        </w:tc>
      </w:tr>
      <w:tr>
        <w:trPr>
          <w:trHeight w:val="1008" w:hRule="exact"/>
        </w:trPr>
        <w:tc>
          <w:tcPr>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(e)</w:t>
            </w:r>
            <w:r>
              <w:rPr>
                <w:color w:val="000000"/>
                <w:spacing w:val="0"/>
                <w:w w:val="100"/>
                <w:position w:val="0"/>
                <w:sz w:val="22"/>
                <w:szCs w:val="22"/>
              </w:rPr>
              <w:t>未确认递延所得税资产的可抵扣亏损将于以下年度到期: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403,106,341</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2022 </w:t>
            </w:r>
            <w:r>
              <w:rPr>
                <w:color w:val="000000"/>
                <w:spacing w:val="0"/>
                <w:w w:val="100"/>
                <w:position w:val="0"/>
                <w:sz w:val="22"/>
                <w:szCs w:val="22"/>
              </w:rPr>
              <w:t>年度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12,911,254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33,670,432</w:t>
            </w:r>
          </w:p>
        </w:tc>
      </w:tr>
      <w:tr>
        <w:trPr>
          <w:trHeight w:val="28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2023 </w:t>
            </w:r>
            <w:r>
              <w:rPr>
                <w:color w:val="000000"/>
                <w:spacing w:val="0"/>
                <w:w w:val="100"/>
                <w:position w:val="0"/>
                <w:sz w:val="22"/>
                <w:szCs w:val="22"/>
              </w:rPr>
              <w:t>年度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13,495,276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15,646,914</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2024 </w:t>
            </w:r>
            <w:r>
              <w:rPr>
                <w:color w:val="000000"/>
                <w:spacing w:val="0"/>
                <w:w w:val="100"/>
                <w:position w:val="0"/>
                <w:sz w:val="22"/>
                <w:szCs w:val="22"/>
              </w:rPr>
              <w:t>年度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17,678,136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104,177,958</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2025 </w:t>
            </w:r>
            <w:r>
              <w:rPr>
                <w:color w:val="000000"/>
                <w:spacing w:val="0"/>
                <w:w w:val="100"/>
                <w:position w:val="0"/>
                <w:sz w:val="22"/>
                <w:szCs w:val="22"/>
              </w:rPr>
              <w:t>年度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130,701,439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169,801,439</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2026</w:t>
            </w:r>
            <w:r>
              <w:rPr>
                <w:color w:val="000000"/>
                <w:spacing w:val="0"/>
                <w:w w:val="100"/>
                <w:position w:val="0"/>
                <w:sz w:val="22"/>
                <w:szCs w:val="22"/>
              </w:rPr>
              <w:t>年度及以后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28,413,624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203,199,729</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726,403,084</w:t>
            </w:r>
          </w:p>
        </w:tc>
      </w:tr>
    </w:tbl>
    <w:p>
      <w:pPr>
        <w:pStyle w:val="Style97"/>
        <w:keepNext/>
        <w:keepLines/>
        <w:widowControl w:val="0"/>
        <w:shd w:val="clear" w:color="auto" w:fill="auto"/>
        <w:bidi w:val="0"/>
        <w:spacing w:before="0" w:after="40" w:line="240" w:lineRule="auto"/>
        <w:ind w:left="0" w:right="0" w:firstLine="0"/>
        <w:jc w:val="left"/>
      </w:pPr>
      <w:bookmarkStart w:id="1397" w:name="bookmark1397"/>
      <w:bookmarkStart w:id="1398" w:name="bookmark1398"/>
      <w:bookmarkStart w:id="1399" w:name="bookmark1399"/>
      <w:r>
        <w:rPr>
          <w:color w:val="000000"/>
          <w:spacing w:val="0"/>
          <w:w w:val="100"/>
          <w:position w:val="0"/>
        </w:rPr>
        <w:t>财务报表附注</w:t>
      </w:r>
      <w:bookmarkEnd w:id="1397"/>
      <w:bookmarkEnd w:id="1398"/>
      <w:bookmarkEnd w:id="1399"/>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60" w:line="240" w:lineRule="auto"/>
        <w:ind w:left="0" w:right="0" w:firstLine="0"/>
        <w:jc w:val="left"/>
        <w:rPr>
          <w:sz w:val="24"/>
          <w:szCs w:val="24"/>
        </w:rPr>
      </w:pPr>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400"/>
      <w:bookmarkEnd w:id="1401"/>
      <w:bookmarkEnd w:id="1402"/>
    </w:p>
    <w:p>
      <w:pPr>
        <w:pStyle w:val="Style97"/>
        <w:keepNext/>
        <w:keepLines/>
        <w:widowControl w:val="0"/>
        <w:shd w:val="clear" w:color="auto" w:fill="auto"/>
        <w:tabs>
          <w:tab w:pos="688" w:val="left"/>
        </w:tabs>
        <w:bidi w:val="0"/>
        <w:spacing w:before="0" w:after="280" w:line="240" w:lineRule="auto"/>
        <w:ind w:left="0" w:right="0" w:firstLine="0"/>
        <w:jc w:val="left"/>
      </w:pPr>
      <w:bookmarkStart w:id="1403" w:name="bookmark1403"/>
      <w:bookmarkStart w:id="1404" w:name="bookmark1404"/>
      <w:bookmarkStart w:id="1405" w:name="bookmark1405"/>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403"/>
      <w:bookmarkEnd w:id="1404"/>
      <w:bookmarkEnd w:id="1405"/>
    </w:p>
    <w:p>
      <w:pPr>
        <w:pStyle w:val="Style97"/>
        <w:keepNext/>
        <w:keepLines/>
        <w:widowControl w:val="0"/>
        <w:shd w:val="clear" w:color="auto" w:fill="auto"/>
        <w:tabs>
          <w:tab w:pos="688" w:val="left"/>
        </w:tabs>
        <w:bidi w:val="0"/>
        <w:spacing w:before="0" w:after="2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sz w:val="24"/>
          <w:szCs w:val="24"/>
        </w:rPr>
        <w:t>4</w:t>
      </w:r>
      <w:bookmarkEnd w:id="1408"/>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t>每股收益</w:t>
      </w:r>
      <w:bookmarkEnd w:id="1406"/>
      <w:bookmarkEnd w:id="1407"/>
      <w:bookmarkEnd w:id="1409"/>
    </w:p>
    <w:p>
      <w:pPr>
        <w:pStyle w:val="Style97"/>
        <w:keepNext/>
        <w:keepLines/>
        <w:widowControl w:val="0"/>
        <w:shd w:val="clear" w:color="auto" w:fill="auto"/>
        <w:bidi w:val="0"/>
        <w:spacing w:before="0" w:after="280" w:line="240" w:lineRule="auto"/>
        <w:ind w:left="0" w:right="0" w:firstLine="720"/>
        <w:jc w:val="left"/>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sz w:val="24"/>
          <w:szCs w:val="24"/>
        </w:rPr>
        <w:t>(a)</w:t>
      </w:r>
      <w:r>
        <w:rPr>
          <w:color w:val="000000"/>
          <w:spacing w:val="0"/>
          <w:w w:val="100"/>
          <w:position w:val="0"/>
        </w:rPr>
        <w:t>基本每股收益</w:t>
      </w:r>
      <w:bookmarkEnd w:id="1410"/>
      <w:bookmarkEnd w:id="1411"/>
      <w:bookmarkEnd w:id="1412"/>
    </w:p>
    <w:p>
      <w:pPr>
        <w:pStyle w:val="Style97"/>
        <w:keepNext/>
        <w:keepLines/>
        <w:widowControl w:val="0"/>
        <w:shd w:val="clear" w:color="auto" w:fill="auto"/>
        <w:bidi w:val="0"/>
        <w:spacing w:before="0" w:after="40" w:line="240" w:lineRule="auto"/>
        <w:ind w:left="0" w:right="0" w:firstLine="720"/>
        <w:jc w:val="left"/>
      </w:pPr>
      <w:bookmarkStart w:id="1413" w:name="bookmark1413"/>
      <w:bookmarkStart w:id="1414" w:name="bookmark1414"/>
      <w:bookmarkStart w:id="1415" w:name="bookmark1415"/>
      <w:r>
        <w:rPr>
          <w:color w:val="000000"/>
          <w:spacing w:val="0"/>
          <w:w w:val="100"/>
          <w:position w:val="0"/>
        </w:rPr>
        <w:t>基本每股收益以归属于母公司普通股股东的合并净利润除以母公司发行在外普通股的加权</w:t>
      </w:r>
      <w:bookmarkEnd w:id="1413"/>
      <w:bookmarkEnd w:id="1414"/>
      <w:bookmarkEnd w:id="1415"/>
    </w:p>
    <w:p>
      <w:pPr>
        <w:pStyle w:val="Style97"/>
        <w:keepNext/>
        <w:keepLines/>
        <w:widowControl w:val="0"/>
        <w:shd w:val="clear" w:color="auto" w:fill="auto"/>
        <w:bidi w:val="0"/>
        <w:spacing w:before="0" w:after="280" w:line="240" w:lineRule="auto"/>
        <w:ind w:left="0" w:right="0" w:firstLine="720"/>
        <w:jc w:val="left"/>
      </w:pPr>
      <w:bookmarkStart w:id="1416" w:name="bookmark1416"/>
      <w:bookmarkStart w:id="1417" w:name="bookmark1417"/>
      <w:bookmarkStart w:id="1418" w:name="bookmark1418"/>
      <w:r>
        <w:rPr>
          <w:color w:val="000000"/>
          <w:spacing w:val="0"/>
          <w:w w:val="100"/>
          <w:position w:val="0"/>
        </w:rPr>
        <w:t>平均数计算：</w:t>
      </w:r>
      <w:bookmarkEnd w:id="1416"/>
      <w:bookmarkEnd w:id="1417"/>
      <w:bookmarkEnd w:id="1418"/>
    </w:p>
    <w:tbl>
      <w:tblPr>
        <w:tblOverlap w:val="never"/>
        <w:jc w:val="right"/>
        <w:tblLayout w:type="fixed"/>
      </w:tblPr>
      <w:tblGrid>
        <w:gridCol w:w="5112"/>
        <w:gridCol w:w="2640"/>
        <w:gridCol w:w="1675"/>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3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归属于母公司股东的合并净利润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24"/>
                <w:szCs w:val="24"/>
              </w:rPr>
            </w:pPr>
            <w:r>
              <w:rPr>
                <w:rFonts w:ascii="Times New Roman" w:eastAsia="Times New Roman" w:hAnsi="Times New Roman" w:cs="Times New Roman"/>
                <w:color w:val="000000"/>
                <w:spacing w:val="0"/>
                <w:w w:val="100"/>
                <w:position w:val="0"/>
                <w:sz w:val="24"/>
                <w:szCs w:val="24"/>
              </w:rPr>
              <w:t>6,305,465,753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5,521,311,508</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减：限制性股票影响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45,399,354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94,414,427</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调整后归属于母公司股东的合并净利润</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24"/>
                <w:szCs w:val="24"/>
              </w:rPr>
            </w:pPr>
            <w:r>
              <w:rPr>
                <w:rFonts w:ascii="Times New Roman" w:eastAsia="Times New Roman" w:hAnsi="Times New Roman" w:cs="Times New Roman"/>
                <w:color w:val="000000"/>
                <w:spacing w:val="0"/>
                <w:w w:val="100"/>
                <w:position w:val="0"/>
                <w:sz w:val="24"/>
                <w:szCs w:val="24"/>
              </w:rPr>
              <w:t>6,260,066,399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5,426,897,081</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本公司发行在外普通股的加权平均数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30,349,942,230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30,461,436,487</w:t>
            </w:r>
          </w:p>
        </w:tc>
      </w:tr>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基本每股收益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0.206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0.178</w:t>
            </w:r>
          </w:p>
        </w:tc>
      </w:tr>
      <w:tr>
        <w:trPr>
          <w:trHeight w:val="59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稀释每股收益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279" w:line="1" w:lineRule="exact"/>
      </w:pPr>
    </w:p>
    <w:p>
      <w:pPr>
        <w:pStyle w:val="Style97"/>
        <w:keepNext/>
        <w:keepLines/>
        <w:widowControl w:val="0"/>
        <w:shd w:val="clear" w:color="auto" w:fill="auto"/>
        <w:bidi w:val="0"/>
        <w:spacing w:before="0" w:after="280" w:line="240" w:lineRule="auto"/>
        <w:ind w:left="0" w:right="0" w:firstLine="720"/>
        <w:jc w:val="left"/>
      </w:pPr>
      <w:bookmarkStart w:id="1419" w:name="bookmark1419"/>
      <w:bookmarkStart w:id="1420" w:name="bookmark1420"/>
      <w:bookmarkStart w:id="1421" w:name="bookmark1421"/>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年度，本公司发行在外的限制性股票对每股收益无稀释性影响。</w:t>
      </w:r>
      <w:bookmarkEnd w:id="1419"/>
      <w:bookmarkEnd w:id="1420"/>
      <w:bookmarkEnd w:id="1421"/>
    </w:p>
    <w:p>
      <w:pPr>
        <w:pStyle w:val="Style97"/>
        <w:keepNext/>
        <w:keepLines/>
        <w:widowControl w:val="0"/>
        <w:shd w:val="clear" w:color="auto" w:fill="auto"/>
        <w:tabs>
          <w:tab w:pos="688" w:val="left"/>
        </w:tabs>
        <w:bidi w:val="0"/>
        <w:spacing w:before="0" w:after="2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sz w:val="24"/>
          <w:szCs w:val="24"/>
        </w:rPr>
        <w:t>5</w:t>
      </w:r>
      <w:bookmarkEnd w:id="1424"/>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现金流量表项目注释</w:t>
      </w:r>
      <w:bookmarkEnd w:id="1422"/>
      <w:bookmarkEnd w:id="1423"/>
      <w:bookmarkEnd w:id="1425"/>
    </w:p>
    <w:p>
      <w:pPr>
        <w:pStyle w:val="Style97"/>
        <w:keepNext/>
        <w:keepLines/>
        <w:widowControl w:val="0"/>
        <w:shd w:val="clear" w:color="auto" w:fill="auto"/>
        <w:bidi w:val="0"/>
        <w:spacing w:before="0" w:after="280" w:line="240" w:lineRule="auto"/>
        <w:ind w:left="0" w:right="0" w:firstLine="720"/>
        <w:jc w:val="left"/>
      </w:pPr>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sz w:val="24"/>
          <w:szCs w:val="24"/>
        </w:rPr>
        <w:t>(a)</w:t>
      </w:r>
      <w:r>
        <w:rPr>
          <w:color w:val="000000"/>
          <w:spacing w:val="0"/>
          <w:w w:val="100"/>
          <w:position w:val="0"/>
        </w:rPr>
        <w:t>收到其他与经营活动有关的现金</w:t>
      </w:r>
      <w:bookmarkEnd w:id="1426"/>
      <w:bookmarkEnd w:id="1427"/>
      <w:bookmarkEnd w:id="1428"/>
    </w:p>
    <w:tbl>
      <w:tblPr>
        <w:tblOverlap w:val="never"/>
        <w:jc w:val="right"/>
        <w:tblLayout w:type="fixed"/>
      </w:tblPr>
      <w:tblGrid>
        <w:gridCol w:w="4968"/>
        <w:gridCol w:w="2837"/>
        <w:gridCol w:w="1622"/>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违约赔款收入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51,660,474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42,687,033</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政府补助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937,239,665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832,255,125</w:t>
            </w:r>
          </w:p>
        </w:tc>
      </w:tr>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1,984,800,247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2,348,607,739</w:t>
            </w:r>
          </w:p>
        </w:tc>
      </w:tr>
      <w:tr>
        <w:trPr>
          <w:trHeight w:val="44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2,973,700,386</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3,223,549,897</w:t>
            </w:r>
          </w:p>
        </w:tc>
      </w:tr>
      <w:tr>
        <w:trPr>
          <w:trHeight w:val="1181" w:hRule="exact"/>
        </w:trPr>
        <w:tc>
          <w:tcPr>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支付其他与经营活动有关的现金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6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办公及交通费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960,532,045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1,010,334,617</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水电及取暖费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638,857,558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628,662,000</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差旅费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160,253,137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158,607,174</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违约赔偿支出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60,050,785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56,199,570</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3,551,156,902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4,332,761,383</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5,370,850,427</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6,186,564,744</w:t>
            </w:r>
          </w:p>
        </w:tc>
      </w:tr>
    </w:tbl>
    <w:p>
      <w:pPr>
        <w:spacing w:lineRule="exact" w:line="1"/>
        <w:rPr>
          <w:sz w:val="2"/>
          <w:szCs w:val="2"/>
        </w:rPr>
      </w:pPr>
      <w:r>
        <w:br w:type="page"/>
      </w:r>
    </w:p>
    <w:p>
      <w:pPr>
        <w:pStyle w:val="Style97"/>
        <w:keepNext/>
        <w:keepLines/>
        <w:widowControl w:val="0"/>
        <w:shd w:val="clear" w:color="auto" w:fill="auto"/>
        <w:bidi w:val="0"/>
        <w:spacing w:before="0" w:after="40" w:line="240" w:lineRule="auto"/>
        <w:ind w:left="0" w:right="0" w:firstLine="0"/>
        <w:jc w:val="left"/>
      </w:pPr>
      <w:bookmarkStart w:id="1429" w:name="bookmark1429"/>
      <w:bookmarkStart w:id="1430" w:name="bookmark1430"/>
      <w:bookmarkStart w:id="1431" w:name="bookmark1431"/>
      <w:r>
        <w:rPr>
          <w:color w:val="000000"/>
          <w:spacing w:val="0"/>
          <w:w w:val="100"/>
          <w:position w:val="0"/>
        </w:rPr>
        <w:t>财务报表附注</w:t>
      </w:r>
      <w:bookmarkEnd w:id="1429"/>
      <w:bookmarkEnd w:id="1430"/>
      <w:bookmarkEnd w:id="1431"/>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432"/>
      <w:bookmarkEnd w:id="1433"/>
      <w:bookmarkEnd w:id="1434"/>
    </w:p>
    <w:p>
      <w:pPr>
        <w:pStyle w:val="Style97"/>
        <w:keepNext/>
        <w:keepLines/>
        <w:widowControl w:val="0"/>
        <w:shd w:val="clear" w:color="auto" w:fill="auto"/>
        <w:tabs>
          <w:tab w:pos="672" w:val="left"/>
        </w:tabs>
        <w:bidi w:val="0"/>
        <w:spacing w:before="0" w:after="300" w:line="240" w:lineRule="auto"/>
        <w:ind w:left="0" w:right="0" w:firstLine="0"/>
        <w:jc w:val="left"/>
      </w:pPr>
      <w:bookmarkStart w:id="1435" w:name="bookmark1435"/>
      <w:bookmarkStart w:id="1436" w:name="bookmark1436"/>
      <w:bookmarkStart w:id="1437" w:name="bookmark1437"/>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435"/>
      <w:bookmarkEnd w:id="1436"/>
      <w:bookmarkEnd w:id="1437"/>
    </w:p>
    <w:p>
      <w:pPr>
        <w:pStyle w:val="Style97"/>
        <w:keepNext/>
        <w:keepLines/>
        <w:widowControl w:val="0"/>
        <w:shd w:val="clear" w:color="auto" w:fill="auto"/>
        <w:tabs>
          <w:tab w:pos="672" w:val="left"/>
        </w:tabs>
        <w:bidi w:val="0"/>
        <w:spacing w:before="0" w:after="300" w:line="240" w:lineRule="auto"/>
        <w:ind w:left="0" w:right="0" w:firstLine="0"/>
        <w:jc w:val="left"/>
      </w:pPr>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sz w:val="24"/>
          <w:szCs w:val="24"/>
        </w:rPr>
        <w:t>50</w:t>
      </w:r>
      <w:r>
        <w:rPr>
          <w:color w:val="000000"/>
          <w:spacing w:val="0"/>
          <w:w w:val="100"/>
          <w:position w:val="0"/>
        </w:rPr>
        <w:t>、</w:t>
        <w:tab/>
        <w:t>现金流量表项目注释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438"/>
      <w:bookmarkEnd w:id="1439"/>
      <w:bookmarkEnd w:id="1440"/>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2"/>
          <w:szCs w:val="22"/>
        </w:rPr>
        <w:t>收到其他与投资活动有关的现金</w:t>
      </w:r>
    </w:p>
    <w:tbl>
      <w:tblPr>
        <w:tblOverlap w:val="never"/>
        <w:jc w:val="right"/>
        <w:tblLayout w:type="fixed"/>
      </w:tblPr>
      <w:tblGrid>
        <w:gridCol w:w="5482"/>
        <w:gridCol w:w="2270"/>
        <w:gridCol w:w="1675"/>
      </w:tblGrid>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个月以上银行存款及限制性存款的减少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6,900,000,000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财务公司收回贷款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11,500,000,000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13,704,000,000</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取得子公司收到的现金净额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1,461,030,365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46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u w:val="single"/>
              </w:rPr>
              <w:t>19,861,030,365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13,704,000,000</w:t>
            </w:r>
          </w:p>
        </w:tc>
      </w:tr>
      <w:tr>
        <w:trPr>
          <w:trHeight w:val="60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2"/>
                <w:szCs w:val="22"/>
              </w:rPr>
              <w:t>支付其他与投资活动有关的现金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6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个月以上银行存款及限制性存款的增加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7,300,000,000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6,900,000,000</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财务公司发放贷款</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11,400,000,000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16,500,000,000</w:t>
            </w:r>
          </w:p>
        </w:tc>
      </w:tr>
      <w:tr>
        <w:trPr>
          <w:trHeight w:val="45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18,700,000,000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23,400,000,000</w:t>
            </w:r>
          </w:p>
        </w:tc>
      </w:tr>
      <w:tr>
        <w:trPr>
          <w:trHeight w:val="60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(e)</w:t>
            </w:r>
            <w:r>
              <w:rPr>
                <w:color w:val="000000"/>
                <w:spacing w:val="0"/>
                <w:w w:val="100"/>
                <w:position w:val="0"/>
                <w:sz w:val="22"/>
                <w:szCs w:val="22"/>
              </w:rPr>
              <w:t>收到其他与筹资活动有关的现金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财务公司法定存款准备金减少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170,740,759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财务公司吸收存款净增加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639,953,474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确认为金融负债的子公司少数股东投入的款项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300,000,000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1,110,694,233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60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(f)</w:t>
            </w:r>
            <w:r>
              <w:rPr>
                <w:color w:val="000000"/>
                <w:spacing w:val="0"/>
                <w:w w:val="100"/>
                <w:position w:val="0"/>
                <w:sz w:val="22"/>
                <w:szCs w:val="22"/>
              </w:rPr>
              <w:t>支付其他与筹资活动有关的现金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财务公司法定存款准备金增加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1,139,639,283</w:t>
            </w:r>
          </w:p>
        </w:tc>
      </w:tr>
      <w:tr>
        <w:trPr>
          <w:trHeight w:val="30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财务公司吸收存款净减少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791,506,891</w:t>
            </w:r>
          </w:p>
        </w:tc>
      </w:tr>
      <w:tr>
        <w:trPr>
          <w:trHeight w:val="32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回购股份及回购失效的限制性股票支付的现金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及其他手续费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2,296,485,265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51,750,176</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偿付租赁负债支付的金额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12,728,197,029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11,695,870,107</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3,900,000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6,750,000</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15,028,582,294</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13,685,516,457</w:t>
            </w:r>
          </w:p>
        </w:tc>
      </w:tr>
    </w:tbl>
    <w:p>
      <w:pPr>
        <w:spacing w:lineRule="exact" w:line="1"/>
        <w:rPr>
          <w:sz w:val="2"/>
          <w:szCs w:val="2"/>
        </w:rPr>
      </w:pPr>
      <w:r>
        <w:br w:type="page"/>
      </w:r>
    </w:p>
    <w:p>
      <w:pPr>
        <w:pStyle w:val="Style97"/>
        <w:keepNext/>
        <w:keepLines/>
        <w:widowControl w:val="0"/>
        <w:shd w:val="clear" w:color="auto" w:fill="auto"/>
        <w:bidi w:val="0"/>
        <w:spacing w:before="0" w:after="40" w:line="240" w:lineRule="auto"/>
        <w:ind w:left="0" w:right="0" w:firstLine="0"/>
        <w:jc w:val="left"/>
      </w:pPr>
      <w:bookmarkStart w:id="1441" w:name="bookmark1441"/>
      <w:bookmarkStart w:id="1442" w:name="bookmark1442"/>
      <w:bookmarkStart w:id="1443" w:name="bookmark1443"/>
      <w:r>
        <w:rPr>
          <w:color w:val="000000"/>
          <w:spacing w:val="0"/>
          <w:w w:val="100"/>
          <w:position w:val="0"/>
        </w:rPr>
        <w:t>财务报表附注</w:t>
      </w:r>
      <w:bookmarkEnd w:id="1441"/>
      <w:bookmarkEnd w:id="1442"/>
      <w:bookmarkEnd w:id="1443"/>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444"/>
      <w:bookmarkEnd w:id="1445"/>
      <w:bookmarkEnd w:id="1446"/>
    </w:p>
    <w:p>
      <w:pPr>
        <w:pStyle w:val="Style97"/>
        <w:keepNext/>
        <w:keepLines/>
        <w:widowControl w:val="0"/>
        <w:shd w:val="clear" w:color="auto" w:fill="auto"/>
        <w:tabs>
          <w:tab w:pos="691" w:val="left"/>
        </w:tabs>
        <w:bidi w:val="0"/>
        <w:spacing w:before="0" w:after="300" w:line="240" w:lineRule="auto"/>
        <w:ind w:left="0" w:right="0" w:firstLine="0"/>
        <w:jc w:val="left"/>
      </w:pPr>
      <w:bookmarkStart w:id="1447" w:name="bookmark1447"/>
      <w:bookmarkStart w:id="1448" w:name="bookmark1448"/>
      <w:bookmarkStart w:id="1449" w:name="bookmark1449"/>
      <w:r>
        <w:rPr>
          <w:color w:val="000000"/>
          <w:spacing w:val="0"/>
          <w:w w:val="100"/>
          <w:position w:val="0"/>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447"/>
      <w:bookmarkEnd w:id="1448"/>
      <w:bookmarkEnd w:id="1449"/>
    </w:p>
    <w:p>
      <w:pPr>
        <w:pStyle w:val="Style97"/>
        <w:keepNext/>
        <w:keepLines/>
        <w:widowControl w:val="0"/>
        <w:shd w:val="clear" w:color="auto" w:fill="auto"/>
        <w:tabs>
          <w:tab w:pos="691" w:val="left"/>
        </w:tabs>
        <w:bidi w:val="0"/>
        <w:spacing w:before="0" w:after="30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sz w:val="24"/>
          <w:szCs w:val="24"/>
        </w:rPr>
        <w:t>5</w:t>
      </w:r>
      <w:bookmarkEnd w:id="145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现金流量表补充资料</w:t>
      </w:r>
      <w:bookmarkEnd w:id="1450"/>
      <w:bookmarkEnd w:id="1451"/>
      <w:bookmarkEnd w:id="1453"/>
    </w:p>
    <w:p>
      <w:pPr>
        <w:pStyle w:val="Style97"/>
        <w:keepNext/>
        <w:keepLines/>
        <w:widowControl w:val="0"/>
        <w:shd w:val="clear" w:color="auto" w:fill="auto"/>
        <w:bidi w:val="0"/>
        <w:spacing w:before="0" w:after="300" w:line="240" w:lineRule="auto"/>
        <w:ind w:left="0" w:right="0" w:firstLine="72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sz w:val="24"/>
          <w:szCs w:val="24"/>
        </w:rPr>
        <w:t>（a）</w:t>
      </w:r>
      <w:r>
        <w:rPr>
          <w:color w:val="000000"/>
          <w:spacing w:val="0"/>
          <w:w w:val="100"/>
          <w:position w:val="0"/>
        </w:rPr>
        <w:t>现金流量表补充资料</w:t>
      </w:r>
      <w:bookmarkEnd w:id="1454"/>
      <w:bookmarkEnd w:id="1455"/>
      <w:bookmarkEnd w:id="1456"/>
    </w:p>
    <w:p>
      <w:pPr>
        <w:pStyle w:val="Style97"/>
        <w:keepNext/>
        <w:keepLines/>
        <w:widowControl w:val="0"/>
        <w:shd w:val="clear" w:color="auto" w:fill="auto"/>
        <w:bidi w:val="0"/>
        <w:spacing w:before="0" w:after="300" w:line="240" w:lineRule="auto"/>
        <w:ind w:left="0" w:right="0" w:firstLine="720"/>
        <w:jc w:val="left"/>
      </w:pPr>
      <w:bookmarkStart w:id="1457" w:name="bookmark1457"/>
      <w:bookmarkStart w:id="1458" w:name="bookmark1458"/>
      <w:bookmarkStart w:id="1459" w:name="bookmark1459"/>
      <w:r>
        <w:rPr>
          <w:color w:val="000000"/>
          <w:spacing w:val="0"/>
          <w:w w:val="100"/>
          <w:position w:val="0"/>
        </w:rPr>
        <w:t>将净利润调节为经营活动现金流量:</w:t>
      </w:r>
      <w:bookmarkEnd w:id="1457"/>
      <w:bookmarkEnd w:id="1458"/>
      <w:bookmarkEnd w:id="1459"/>
    </w:p>
    <w:tbl>
      <w:tblPr>
        <w:tblOverlap w:val="never"/>
        <w:jc w:val="right"/>
        <w:tblLayout w:type="fixed"/>
      </w:tblPr>
      <w:tblGrid>
        <w:gridCol w:w="5304"/>
        <w:gridCol w:w="2246"/>
        <w:gridCol w:w="1867"/>
      </w:tblGrid>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14,416,186,638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12,524,922,876</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加：资产减值损失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491,730,885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287,739,075</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信用减值损失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2,809,277,447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5,308,389,814</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固定资产折旧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65,456,184,667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62,230,731,986</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使用权资产折旧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12,446,170,938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12,278,943,361</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无形资产摊销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4,433,659,453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5,326,560,929</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长期待摊费用摊销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1,452,101,458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1,437,427,468</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经营性长期待摊费用增加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(1,001,188,443)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(1,368,284,542)</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处置、报废固定资产、无形资产的净损失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3,749,858,513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2,364,530,542</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以股份为基础支付的员工薪酬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136,080,000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374,730,000</w:t>
            </w: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公允价值变动收益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38,971,641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(154,224,003)</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财务费用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1,175,628,054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1,338,756,332</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投资收益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(4,376,749,888)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(2,846,617,030)</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增加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减少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(62,884,493)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151,863,316</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递延所得税负债增加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839,950,202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252,624,988</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存货的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增加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减少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(359,197,432)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58,320,878</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经营性应收项目的增加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(7,632,595,643)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(6,531,253,008)</w:t>
            </w:r>
          </w:p>
        </w:tc>
      </w:tr>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经营性应付项目的增加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17,958,393,351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14,298,601,621</w:t>
            </w:r>
          </w:p>
        </w:tc>
      </w:tr>
      <w:tr>
        <w:trPr>
          <w:trHeight w:val="45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经营活动产生的现金流量净额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111,971,577,348</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24"/>
                <w:szCs w:val="24"/>
              </w:rPr>
            </w:pPr>
            <w:r>
              <w:rPr>
                <w:rFonts w:ascii="Times New Roman" w:eastAsia="Times New Roman" w:hAnsi="Times New Roman" w:cs="Times New Roman"/>
                <w:color w:val="000000"/>
                <w:spacing w:val="0"/>
                <w:w w:val="100"/>
                <w:position w:val="0"/>
                <w:sz w:val="24"/>
                <w:szCs w:val="24"/>
              </w:rPr>
              <w:t>107,333,764,603</w:t>
            </w:r>
          </w:p>
        </w:tc>
      </w:tr>
      <w:tr>
        <w:trPr>
          <w:trHeight w:val="59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现金及现金等价物净变动情况：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现金的年末余额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34,161,045,258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22,936,801,589</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减：现金的年初余额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22,936,801,589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34,824,654,765</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加：现金等价物的年末余额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144,635,243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165,555,197</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减：现金等价物的年初余额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165,555,197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125,131,226</w:t>
            </w:r>
          </w:p>
        </w:tc>
      </w:tr>
      <w:tr>
        <w:trPr>
          <w:trHeight w:val="35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现金及现金等价物净增加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减少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额</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11,203,323,715</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24"/>
                <w:szCs w:val="24"/>
              </w:rPr>
            </w:pPr>
            <w:r>
              <w:rPr>
                <w:rFonts w:ascii="Times New Roman" w:eastAsia="Times New Roman" w:hAnsi="Times New Roman" w:cs="Times New Roman"/>
                <w:color w:val="000000"/>
                <w:spacing w:val="0"/>
                <w:w w:val="100"/>
                <w:position w:val="0"/>
                <w:sz w:val="24"/>
                <w:szCs w:val="24"/>
              </w:rPr>
              <w:t>(11,847,429,205)</w:t>
            </w:r>
          </w:p>
        </w:tc>
      </w:tr>
    </w:tbl>
    <w:p>
      <w:pPr>
        <w:spacing w:lineRule="exact" w:line="1"/>
        <w:rPr>
          <w:sz w:val="2"/>
          <w:szCs w:val="2"/>
        </w:rPr>
      </w:pPr>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8" w:val="left"/>
        </w:tabs>
        <w:bidi w:val="0"/>
        <w:spacing w:before="0" w:after="300" w:line="240" w:lineRule="auto"/>
        <w:ind w:left="0" w:right="0" w:firstLine="0"/>
        <w:jc w:val="left"/>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8" w:val="left"/>
        </w:tabs>
        <w:bidi w:val="0"/>
        <w:spacing w:before="0" w:after="3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2"/>
          <w:szCs w:val="22"/>
        </w:rPr>
        <w:t>、</w:t>
        <w:tab/>
        <w:t>现金流量表补充资料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现金及现金等价物</w:t>
      </w:r>
    </w:p>
    <w:tbl>
      <w:tblPr>
        <w:tblOverlap w:val="never"/>
        <w:jc w:val="right"/>
        <w:tblLayout w:type="fixed"/>
      </w:tblPr>
      <w:tblGrid>
        <w:gridCol w:w="4843"/>
        <w:gridCol w:w="2870"/>
        <w:gridCol w:w="1690"/>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3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34,161,045,258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22,936,801,589</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其中：库存现金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481,269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758,530</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可随时用于支付的银行存款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34,160,563,989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22,936,043,059</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其他货币资金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144,635,243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165,555,197</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现金及现金等价物余额</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34,305,680,501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23,102,356,786</w:t>
            </w:r>
          </w:p>
        </w:tc>
      </w:tr>
    </w:tbl>
    <w:p>
      <w:pPr>
        <w:widowControl w:val="0"/>
        <w:spacing w:after="239" w:line="1" w:lineRule="exact"/>
      </w:pPr>
    </w:p>
    <w:p>
      <w:pPr>
        <w:pStyle w:val="Style5"/>
        <w:keepNext w:val="0"/>
        <w:keepLines w:val="0"/>
        <w:widowControl w:val="0"/>
        <w:shd w:val="clear" w:color="auto" w:fill="auto"/>
        <w:tabs>
          <w:tab w:pos="698" w:val="left"/>
        </w:tabs>
        <w:bidi w:val="0"/>
        <w:spacing w:before="0" w:after="300" w:line="240" w:lineRule="auto"/>
        <w:ind w:left="0" w:right="0" w:firstLine="0"/>
        <w:jc w:val="left"/>
        <w:rPr>
          <w:sz w:val="22"/>
          <w:szCs w:val="22"/>
        </w:rPr>
      </w:pPr>
      <w:bookmarkStart w:id="1460" w:name="bookmark1460"/>
      <w:r>
        <w:rPr>
          <w:rFonts w:ascii="Times New Roman" w:eastAsia="Times New Roman" w:hAnsi="Times New Roman" w:cs="Times New Roman"/>
          <w:color w:val="000000"/>
          <w:spacing w:val="0"/>
          <w:w w:val="100"/>
          <w:position w:val="0"/>
          <w:sz w:val="24"/>
          <w:szCs w:val="24"/>
          <w:shd w:val="clear" w:color="auto" w:fill="FFFFFF"/>
        </w:rPr>
        <w:t>5</w:t>
      </w:r>
      <w:bookmarkEnd w:id="1460"/>
      <w:r>
        <w:rPr>
          <w:rFonts w:ascii="Times New Roman" w:eastAsia="Times New Roman" w:hAnsi="Times New Roman" w:cs="Times New Roman"/>
          <w:color w:val="000000"/>
          <w:spacing w:val="0"/>
          <w:w w:val="100"/>
          <w:position w:val="0"/>
          <w:sz w:val="24"/>
          <w:szCs w:val="24"/>
          <w:shd w:val="clear" w:color="auto" w:fill="FFFFFF"/>
        </w:rPr>
        <w:t>2</w:t>
      </w:r>
      <w:r>
        <w:rPr>
          <w:color w:val="000000"/>
          <w:spacing w:val="0"/>
          <w:w w:val="100"/>
          <w:position w:val="0"/>
          <w:sz w:val="22"/>
          <w:szCs w:val="22"/>
          <w:shd w:val="clear" w:color="auto" w:fill="FFFFFF"/>
        </w:rPr>
        <w:t>、</w:t>
      </w:r>
      <w:r>
        <w:rPr>
          <w:color w:val="000000"/>
          <w:spacing w:val="0"/>
          <w:w w:val="100"/>
          <w:position w:val="0"/>
          <w:sz w:val="22"/>
          <w:szCs w:val="22"/>
        </w:rPr>
        <w:tab/>
        <w:t>租赁</w:t>
      </w:r>
    </w:p>
    <w:p>
      <w:pPr>
        <w:pStyle w:val="Style5"/>
        <w:keepNext w:val="0"/>
        <w:keepLines w:val="0"/>
        <w:widowControl w:val="0"/>
        <w:shd w:val="clear" w:color="auto" w:fill="auto"/>
        <w:bidi w:val="0"/>
        <w:spacing w:before="0" w:after="300" w:line="240" w:lineRule="auto"/>
        <w:ind w:left="0" w:right="0" w:firstLine="700"/>
        <w:jc w:val="left"/>
        <w:rPr>
          <w:sz w:val="22"/>
          <w:szCs w:val="22"/>
        </w:rPr>
      </w:pPr>
      <w:r>
        <w:rPr>
          <w:color w:val="000000"/>
          <w:spacing w:val="0"/>
          <w:w w:val="100"/>
          <w:position w:val="0"/>
          <w:sz w:val="22"/>
          <w:szCs w:val="22"/>
        </w:rPr>
        <w:t>本集团作为承租人的租赁情况</w:t>
      </w:r>
    </w:p>
    <w:tbl>
      <w:tblPr>
        <w:tblOverlap w:val="never"/>
        <w:jc w:val="right"/>
        <w:tblLayout w:type="fixed"/>
      </w:tblPr>
      <w:tblGrid>
        <w:gridCol w:w="1963"/>
        <w:gridCol w:w="2314"/>
        <w:gridCol w:w="1829"/>
        <w:gridCol w:w="1694"/>
        <w:gridCol w:w="1627"/>
      </w:tblGrid>
      <w:tr>
        <w:trPr>
          <w:trHeight w:val="97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使用权资产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u w:val="single"/>
              </w:rPr>
              <w:t>房屋建筑物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通信设备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u w:val="single"/>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r>
      <w:tr>
        <w:trPr>
          <w:trHeight w:val="725" w:hRule="exact"/>
        </w:trPr>
        <w:tc>
          <w:tcPr>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原值</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rFonts w:ascii="Times New Roman" w:eastAsia="Times New Roman" w:hAnsi="Times New Roman" w:cs="Times New Roman"/>
                <w:color w:val="000000"/>
                <w:spacing w:val="0"/>
                <w:w w:val="100"/>
                <w:position w:val="0"/>
                <w:sz w:val="22"/>
                <w:szCs w:val="22"/>
              </w:rPr>
              <w:t>15,865,695,954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42,455,765,219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1,133,193,701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59,454,654,874</w:t>
            </w: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本年增加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2"/>
                <w:szCs w:val="22"/>
              </w:rPr>
              <w:t>4,061,914,799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3,511,154,204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338,494,525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7,911,563,528</w:t>
            </w:r>
          </w:p>
        </w:tc>
      </w:tr>
      <w:tr>
        <w:trPr>
          <w:trHeight w:val="27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本年减少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2"/>
                <w:szCs w:val="22"/>
              </w:rPr>
              <w:t>4,089,418,757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1,036,783,745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133,862,007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5,260,064,509</w:t>
            </w:r>
          </w:p>
        </w:tc>
      </w:tr>
      <w:tr>
        <w:trPr>
          <w:trHeight w:val="3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年末余额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rFonts w:ascii="Times New Roman" w:eastAsia="Times New Roman" w:hAnsi="Times New Roman" w:cs="Times New Roman"/>
                <w:color w:val="000000"/>
                <w:spacing w:val="0"/>
                <w:w w:val="100"/>
                <w:position w:val="0"/>
                <w:sz w:val="22"/>
                <w:szCs w:val="22"/>
              </w:rPr>
              <w:t>15,838,191,996</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44,930,135,678</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1,337,826,219</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62,106,153,893</w:t>
            </w:r>
          </w:p>
        </w:tc>
      </w:tr>
      <w:tr>
        <w:trPr>
          <w:trHeight w:val="73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2"/>
                <w:szCs w:val="22"/>
              </w:rPr>
              <w:t>8,196,740,731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21,897,611,757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307,899,016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30,402,251,504</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本年计提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2"/>
                <w:szCs w:val="22"/>
              </w:rPr>
              <w:t>3,677,135,986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8,562,987,512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206,047,440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12,446,170,938</w:t>
            </w:r>
          </w:p>
        </w:tc>
      </w:tr>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本年减少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2"/>
                <w:szCs w:val="22"/>
              </w:rPr>
              <w:t>3,770,446,475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769,944,315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133,862,007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4,674,252,797</w:t>
            </w:r>
          </w:p>
        </w:tc>
      </w:tr>
      <w:tr>
        <w:trPr>
          <w:trHeight w:val="40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年末余额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2"/>
                <w:szCs w:val="22"/>
                <w:u w:val="single"/>
              </w:rPr>
              <w:t>8,103,430,242</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29,690,654,954</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380,084,449</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38,174,169,645</w:t>
            </w:r>
          </w:p>
        </w:tc>
      </w:tr>
      <w:tr>
        <w:trPr>
          <w:trHeight w:val="715" w:hRule="exact"/>
        </w:trPr>
        <w:tc>
          <w:tcPr>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账面价值 年末</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2"/>
                <w:szCs w:val="22"/>
              </w:rPr>
              <w:t>7,734,761,754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15,239,480,724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957,741,770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23,931,984,248</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年初</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2"/>
                <w:szCs w:val="22"/>
              </w:rPr>
              <w:t>7,668,955,223</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20,558,153,462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825,294,685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29,052,403,370</w:t>
            </w:r>
          </w:p>
        </w:tc>
      </w:tr>
    </w:tbl>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2" w:val="left"/>
        </w:tabs>
        <w:bidi w:val="0"/>
        <w:spacing w:before="0" w:after="300" w:line="240" w:lineRule="auto"/>
        <w:ind w:left="0" w:right="0" w:firstLine="0"/>
        <w:jc w:val="both"/>
        <w:rPr>
          <w:sz w:val="22"/>
          <w:szCs w:val="22"/>
        </w:rPr>
      </w:pPr>
      <w:r>
        <w:rPr>
          <w:color w:val="000000"/>
          <w:spacing w:val="0"/>
          <w:w w:val="100"/>
          <w:position w:val="0"/>
          <w:sz w:val="22"/>
          <w:szCs w:val="22"/>
        </w:rPr>
        <w:t>五、</w:t>
        <w:tab/>
        <w:t>合并财务报表项目附注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2" w:val="left"/>
        </w:tabs>
        <w:bidi w:val="0"/>
        <w:spacing w:before="0" w:after="30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52</w:t>
      </w:r>
      <w:r>
        <w:rPr>
          <w:color w:val="000000"/>
          <w:spacing w:val="0"/>
          <w:w w:val="100"/>
          <w:position w:val="0"/>
          <w:sz w:val="22"/>
          <w:szCs w:val="22"/>
        </w:rPr>
        <w:t>、</w:t>
        <w:tab/>
        <w:t>租赁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1460" w:right="0" w:hanging="720"/>
        <w:jc w:val="both"/>
        <w:rPr>
          <w:sz w:val="22"/>
          <w:szCs w:val="22"/>
        </w:rPr>
      </w:pPr>
      <w:r>
        <w:rPr>
          <w:color w:val="000000"/>
          <w:spacing w:val="0"/>
          <w:w w:val="100"/>
          <w:position w:val="0"/>
          <w:sz w:val="22"/>
          <w:szCs w:val="22"/>
        </w:rPr>
        <w:t>本集团作为承租人的租赁情况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1460" w:right="0" w:hanging="720"/>
        <w:jc w:val="both"/>
        <w:rPr>
          <w:sz w:val="22"/>
          <w:szCs w:val="22"/>
        </w:rPr>
      </w:pPr>
      <w:r>
        <w:rPr>
          <w:color w:val="000000"/>
          <w:spacing w:val="0"/>
          <w:w w:val="100"/>
          <w:position w:val="0"/>
          <w:sz w:val="22"/>
          <w:szCs w:val="22"/>
        </w:rPr>
        <w:t>租赁负债</w:t>
      </w:r>
    </w:p>
    <w:tbl>
      <w:tblPr>
        <w:tblOverlap w:val="never"/>
        <w:jc w:val="center"/>
        <w:tblLayout w:type="fixed"/>
      </w:tblPr>
      <w:tblGrid>
        <w:gridCol w:w="4325"/>
        <w:gridCol w:w="1445"/>
        <w:gridCol w:w="1862"/>
        <w:gridCol w:w="1781"/>
      </w:tblGrid>
      <w:tr>
        <w:trPr>
          <w:trHeight w:val="74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项目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rPr>
              <w:t>附注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长期租赁负债</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22,559,023,253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27,961,468,465</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减：一年内到期的租赁负债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4"/>
                <w:szCs w:val="24"/>
              </w:rPr>
              <w:t>(24)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12,143,997,643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11,503,167,537</w:t>
            </w:r>
          </w:p>
        </w:tc>
      </w:tr>
      <w:tr>
        <w:trPr>
          <w:trHeight w:val="4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u w:val="single"/>
              </w:rPr>
              <w:t>10,415,025,610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16,458,300,928</w:t>
            </w:r>
          </w:p>
        </w:tc>
      </w:tr>
      <w:tr>
        <w:trPr>
          <w:trHeight w:val="59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项目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6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选择简化处理方法的短期租赁的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相关费用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1,520,730,741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1,321,932,500</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未纳入租赁负债计量的可变租赁付款额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5,659,846,755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5,415,331,807</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与租赁相关的总现金流出</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20,754,760,961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19,667,026,288</w:t>
            </w:r>
          </w:p>
        </w:tc>
      </w:tr>
    </w:tbl>
    <w:p>
      <w:pPr>
        <w:widowControl w:val="0"/>
        <w:spacing w:after="239" w:line="1" w:lineRule="exact"/>
      </w:pPr>
    </w:p>
    <w:p>
      <w:pPr>
        <w:pStyle w:val="Style5"/>
        <w:keepNext w:val="0"/>
        <w:keepLines w:val="0"/>
        <w:widowControl w:val="0"/>
        <w:shd w:val="clear" w:color="auto" w:fill="auto"/>
        <w:bidi w:val="0"/>
        <w:spacing w:before="0" w:after="520" w:line="319" w:lineRule="exact"/>
        <w:ind w:left="1460" w:right="0" w:hanging="720"/>
        <w:jc w:val="both"/>
        <w:rPr>
          <w:sz w:val="22"/>
          <w:szCs w:val="22"/>
        </w:rPr>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日止，未纳入租赁负债计量的可变租赁付款额主要包括为获取 铁塔资产、通信设备及相关资产使用权利而支付的相关款项，该等款项以使用量或 销售额为基础进行计量，在实际发生时计入当期损益。</w:t>
      </w:r>
    </w:p>
    <w:p>
      <w:pPr>
        <w:pStyle w:val="Style5"/>
        <w:keepNext w:val="0"/>
        <w:keepLines w:val="0"/>
        <w:widowControl w:val="0"/>
        <w:shd w:val="clear" w:color="auto" w:fill="auto"/>
        <w:bidi w:val="0"/>
        <w:spacing w:before="0" w:after="300" w:line="317" w:lineRule="exact"/>
        <w:ind w:left="0" w:right="0" w:firstLine="0"/>
        <w:jc w:val="both"/>
        <w:rPr>
          <w:sz w:val="22"/>
          <w:szCs w:val="22"/>
        </w:rPr>
      </w:pPr>
      <w:bookmarkStart w:id="1461" w:name="bookmark1461"/>
      <w:r>
        <w:rPr>
          <w:color w:val="000000"/>
          <w:spacing w:val="0"/>
          <w:w w:val="100"/>
          <w:position w:val="0"/>
          <w:sz w:val="22"/>
          <w:szCs w:val="22"/>
        </w:rPr>
        <w:t>六</w:t>
      </w:r>
      <w:bookmarkEnd w:id="1461"/>
      <w:r>
        <w:rPr>
          <w:color w:val="000000"/>
          <w:spacing w:val="0"/>
          <w:w w:val="100"/>
          <w:position w:val="0"/>
          <w:sz w:val="22"/>
          <w:szCs w:val="22"/>
        </w:rPr>
        <w:t>、合并范围的变更</w:t>
      </w:r>
    </w:p>
    <w:p>
      <w:pPr>
        <w:pStyle w:val="Style5"/>
        <w:keepNext w:val="0"/>
        <w:keepLines w:val="0"/>
        <w:widowControl w:val="0"/>
        <w:shd w:val="clear" w:color="auto" w:fill="auto"/>
        <w:bidi w:val="0"/>
        <w:spacing w:before="0" w:after="300" w:line="317" w:lineRule="exact"/>
        <w:ind w:left="720" w:right="0" w:firstLine="20"/>
        <w:jc w:val="both"/>
        <w:rPr>
          <w:sz w:val="22"/>
          <w:szCs w:val="22"/>
        </w:rPr>
      </w:pPr>
      <w:r>
        <w:rPr>
          <w:color w:val="000000"/>
          <w:spacing w:val="0"/>
          <w:w w:val="100"/>
          <w:position w:val="0"/>
          <w:sz w:val="22"/>
          <w:szCs w:val="22"/>
        </w:rPr>
        <w:t>除新设或增资等方式导致若干子公司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附注七</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1)(a)</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本年纳入合并范围外，</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年本集团合 并范围未发生变更。</w:t>
      </w:r>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300" w:line="240" w:lineRule="auto"/>
        <w:ind w:left="0" w:right="0" w:firstLine="0"/>
        <w:jc w:val="left"/>
        <w:rPr>
          <w:sz w:val="22"/>
          <w:szCs w:val="22"/>
        </w:rPr>
      </w:pPr>
      <w:bookmarkStart w:id="1462" w:name="bookmark1462"/>
      <w:r>
        <w:rPr>
          <w:color w:val="000000"/>
          <w:spacing w:val="0"/>
          <w:w w:val="100"/>
          <w:position w:val="0"/>
          <w:sz w:val="22"/>
          <w:szCs w:val="22"/>
        </w:rPr>
        <w:t>七</w:t>
      </w:r>
      <w:bookmarkEnd w:id="1462"/>
      <w:r>
        <w:rPr>
          <w:color w:val="000000"/>
          <w:spacing w:val="0"/>
          <w:w w:val="100"/>
          <w:position w:val="0"/>
          <w:sz w:val="22"/>
          <w:szCs w:val="22"/>
        </w:rPr>
        <w:t>、在其他主体中的权益</w:t>
      </w:r>
    </w:p>
    <w:p>
      <w:pPr>
        <w:pStyle w:val="Style5"/>
        <w:keepNext w:val="0"/>
        <w:keepLines w:val="0"/>
        <w:widowControl w:val="0"/>
        <w:shd w:val="clear" w:color="auto" w:fill="auto"/>
        <w:tabs>
          <w:tab w:pos="696" w:val="left"/>
        </w:tabs>
        <w:bidi w:val="0"/>
        <w:spacing w:before="0" w:after="3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在子公司中的权益</w:t>
      </w:r>
    </w:p>
    <w:p>
      <w:pPr>
        <w:pStyle w:val="Style5"/>
        <w:keepNext w:val="0"/>
        <w:keepLines w:val="0"/>
        <w:widowControl w:val="0"/>
        <w:shd w:val="clear" w:color="auto" w:fill="auto"/>
        <w:bidi w:val="0"/>
        <w:spacing w:before="0" w:after="300" w:line="240" w:lineRule="auto"/>
        <w:ind w:left="0" w:right="0" w:firstLine="72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企业集团的构成</w:t>
      </w:r>
    </w:p>
    <w:p>
      <w:pPr>
        <w:pStyle w:val="Style5"/>
        <w:keepNext w:val="0"/>
        <w:keepLines w:val="0"/>
        <w:widowControl w:val="0"/>
        <w:shd w:val="clear" w:color="auto" w:fill="auto"/>
        <w:bidi w:val="0"/>
        <w:spacing w:before="0" w:after="300" w:line="240" w:lineRule="auto"/>
        <w:ind w:left="0" w:right="0" w:firstLine="72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通过设立或投资方式取得的子公司</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持股比例</w:t>
      </w:r>
      <w:r>
        <w:rPr>
          <w:color w:val="000000"/>
          <w:spacing w:val="0"/>
          <w:w w:val="100"/>
          <w:position w:val="0"/>
          <w:sz w:val="16"/>
          <w:szCs w:val="16"/>
        </w:rPr>
        <w:t>（％）</w:t>
      </w:r>
    </w:p>
    <w:tbl>
      <w:tblPr>
        <w:tblOverlap w:val="never"/>
        <w:jc w:val="right"/>
        <w:tblLayout w:type="fixed"/>
      </w:tblPr>
      <w:tblGrid>
        <w:gridCol w:w="2650"/>
        <w:gridCol w:w="1229"/>
        <w:gridCol w:w="1200"/>
        <w:gridCol w:w="1416"/>
        <w:gridCol w:w="1344"/>
        <w:gridCol w:w="845"/>
        <w:gridCol w:w="730"/>
      </w:tblGrid>
      <w:tr>
        <w:trPr>
          <w:trHeight w:val="51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子公司名称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u w:val="single"/>
              </w:rPr>
              <w:t>主要经营地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注册地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u w:val="single"/>
              </w:rPr>
              <w:t>业务性质</w:t>
            </w:r>
          </w:p>
        </w:tc>
        <w:tc>
          <w:tcPr>
            <w:tcBorders/>
            <w:shd w:val="clear" w:color="auto" w:fill="FFFFFF"/>
            <w:vAlign w:val="top"/>
          </w:tcPr>
          <w:p>
            <w:pPr>
              <w:pStyle w:val="Style2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5"/>
                <w:szCs w:val="15"/>
              </w:rPr>
              <w:t xml:space="preserve">注册资本 </w:t>
            </w:r>
            <w:r>
              <w:rPr>
                <w:rFonts w:ascii="Times New Roman" w:eastAsia="Times New Roman" w:hAnsi="Times New Roman" w:cs="Times New Roman"/>
                <w:color w:val="000000"/>
                <w:spacing w:val="0"/>
                <w:w w:val="100"/>
                <w:position w:val="0"/>
                <w:sz w:val="16"/>
                <w:szCs w:val="16"/>
                <w:u w:val="single"/>
              </w:rPr>
              <w:t>（</w:t>
            </w:r>
            <w:r>
              <w:rPr>
                <w:color w:val="000000"/>
                <w:spacing w:val="0"/>
                <w:w w:val="100"/>
                <w:position w:val="0"/>
                <w:sz w:val="15"/>
                <w:szCs w:val="15"/>
                <w:u w:val="single"/>
              </w:rPr>
              <w:t>千元</w:t>
            </w:r>
            <w:r>
              <w:rPr>
                <w:color w:val="000000"/>
                <w:spacing w:val="0"/>
                <w:w w:val="100"/>
                <w:position w:val="0"/>
                <w:sz w:val="16"/>
                <w:szCs w:val="16"/>
                <w:u w:val="single"/>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u w:val="single"/>
              </w:rPr>
              <w:t>直接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u w:val="single"/>
              </w:rPr>
              <w:t>间接</w:t>
            </w:r>
          </w:p>
        </w:tc>
      </w:tr>
      <w:tr>
        <w:trPr>
          <w:trHeight w:val="50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BVI</w:t>
            </w:r>
            <w:r>
              <w:rPr>
                <w:color w:val="000000"/>
                <w:spacing w:val="0"/>
                <w:w w:val="100"/>
                <w:position w:val="0"/>
                <w:sz w:val="15"/>
                <w:szCs w:val="15"/>
              </w:rPr>
              <w:t>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w:t>
            </w:r>
            <w:r>
              <w:rPr>
                <w:rFonts w:ascii="Times New Roman" w:eastAsia="Times New Roman" w:hAnsi="Times New Roman" w:cs="Times New Roman"/>
                <w:color w:val="000000"/>
                <w:spacing w:val="0"/>
                <w:w w:val="100"/>
                <w:position w:val="0"/>
                <w:sz w:val="16"/>
                <w:szCs w:val="16"/>
              </w:rPr>
              <w:t>BVI</w:t>
            </w:r>
            <w:r>
              <w:rPr>
                <w:color w:val="000000"/>
                <w:spacing w:val="0"/>
                <w:w w:val="100"/>
                <w:position w:val="0"/>
                <w:sz w:val="15"/>
                <w:szCs w:val="15"/>
              </w:rPr>
              <w:t>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02" w:lineRule="exact"/>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英属</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5"/>
                <w:szCs w:val="15"/>
              </w:rPr>
              <w:t>维尔京群岛</w:t>
            </w:r>
          </w:p>
        </w:tc>
        <w:tc>
          <w:tcPr>
            <w:tcBorders/>
            <w:shd w:val="clear" w:color="auto" w:fill="FFFFFF"/>
            <w:vAlign w:val="bottom"/>
          </w:tcPr>
          <w:p>
            <w:pPr>
              <w:pStyle w:val="Style22"/>
              <w:keepNext w:val="0"/>
              <w:keepLines w:val="0"/>
              <w:widowControl w:val="0"/>
              <w:shd w:val="clear" w:color="auto" w:fill="auto"/>
              <w:bidi w:val="0"/>
              <w:spacing w:before="0" w:after="0" w:line="206" w:lineRule="exact"/>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英属</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5"/>
                <w:szCs w:val="15"/>
              </w:rPr>
              <w:t>维尔京群岛</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投资控股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5"/>
                <w:szCs w:val="15"/>
              </w:rPr>
              <w:t>美元</w:t>
            </w:r>
            <w:r>
              <w:rPr>
                <w:rFonts w:ascii="Times New Roman" w:eastAsia="Times New Roman" w:hAnsi="Times New Roman" w:cs="Times New Roman"/>
                <w:color w:val="000000"/>
                <w:spacing w:val="0"/>
                <w:w w:val="100"/>
                <w:position w:val="0"/>
                <w:sz w:val="16"/>
                <w:szCs w:val="16"/>
              </w:rPr>
              <w:t>150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82.10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16" w:lineRule="exact"/>
              <w:ind w:left="180" w:right="0" w:hanging="180"/>
              <w:jc w:val="left"/>
              <w:rPr>
                <w:sz w:val="16"/>
                <w:szCs w:val="16"/>
              </w:rPr>
            </w:pPr>
            <w:r>
              <w:rPr>
                <w:color w:val="000000"/>
                <w:spacing w:val="0"/>
                <w:w w:val="100"/>
                <w:position w:val="0"/>
                <w:sz w:val="15"/>
                <w:szCs w:val="15"/>
              </w:rPr>
              <w:t>中国联合网络通信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香港</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股份有限 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联通红筹公司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中国，香港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中国，香港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投资控股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港币</w:t>
            </w:r>
          </w:p>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280,085,248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中国联合网络通信有限公司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联通运营公司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213,044,798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联通华盛通信有限公司</w:t>
            </w:r>
          </w:p>
        </w:tc>
        <w:tc>
          <w:tcPr>
            <w:gridSpan w:val="6"/>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联通华盛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通信终端销售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610,527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联通支付有限公司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联通支付</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中国，北京市</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第三方移动支付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250,000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联通云数据有限公司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联通云数据</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技术开发、转</w:t>
            </w:r>
          </w:p>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让及咨询服务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4,000,000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缅甸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联通缅甸运营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缅甸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缅甸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通信技术培训</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5"/>
                <w:szCs w:val="15"/>
              </w:rPr>
              <w:t>美元</w:t>
            </w:r>
            <w:r>
              <w:rPr>
                <w:rFonts w:ascii="Times New Roman" w:eastAsia="Times New Roman" w:hAnsi="Times New Roman" w:cs="Times New Roman"/>
                <w:color w:val="000000"/>
                <w:spacing w:val="0"/>
                <w:w w:val="100"/>
                <w:position w:val="0"/>
                <w:sz w:val="16"/>
                <w:szCs w:val="16"/>
              </w:rPr>
              <w:t>3,650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新加坡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联通新加坡运营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新加坡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新加坡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南非</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联通南非运营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南非</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南非</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5"/>
                <w:szCs w:val="15"/>
              </w:rPr>
              <w:t>南非兰特</w:t>
            </w:r>
            <w:r>
              <w:rPr>
                <w:rFonts w:ascii="Times New Roman" w:eastAsia="Times New Roman" w:hAnsi="Times New Roman" w:cs="Times New Roman"/>
                <w:color w:val="000000"/>
                <w:spacing w:val="0"/>
                <w:w w:val="100"/>
                <w:position w:val="0"/>
                <w:sz w:val="16"/>
                <w:szCs w:val="16"/>
              </w:rPr>
              <w:t>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澳大利亚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联通澳大利亚运营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新南威尔士</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新南威尔士</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5"/>
                <w:szCs w:val="15"/>
              </w:rPr>
              <w:t>澳元</w:t>
            </w:r>
            <w:r>
              <w:rPr>
                <w:rFonts w:ascii="Times New Roman" w:eastAsia="Times New Roman" w:hAnsi="Times New Roman" w:cs="Times New Roman"/>
                <w:color w:val="000000"/>
                <w:spacing w:val="0"/>
                <w:w w:val="100"/>
                <w:position w:val="0"/>
                <w:sz w:val="16"/>
                <w:szCs w:val="16"/>
              </w:rPr>
              <w:t>7,153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俄罗斯</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联通俄罗斯运营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俄罗斯</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俄罗斯</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5"/>
                <w:szCs w:val="15"/>
              </w:rPr>
              <w:t>卢布</w:t>
            </w:r>
            <w:r>
              <w:rPr>
                <w:rFonts w:ascii="Times New Roman" w:eastAsia="Times New Roman" w:hAnsi="Times New Roman" w:cs="Times New Roman"/>
                <w:color w:val="000000"/>
                <w:spacing w:val="0"/>
                <w:w w:val="100"/>
                <w:position w:val="0"/>
                <w:sz w:val="16"/>
                <w:szCs w:val="16"/>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墨西哥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r>
              <w:rPr>
                <w:rFonts w:ascii="Times New Roman" w:eastAsia="Times New Roman" w:hAnsi="Times New Roman" w:cs="Times New Roman"/>
                <w:color w:val="000000"/>
                <w:spacing w:val="0"/>
                <w:w w:val="100"/>
                <w:position w:val="0"/>
                <w:sz w:val="16"/>
                <w:szCs w:val="16"/>
              </w:rPr>
              <w:t>*</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联通墨西哥运营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墨西哥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墨西哥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5"/>
                <w:szCs w:val="15"/>
              </w:rPr>
              <w:t xml:space="preserve">比索 </w:t>
            </w:r>
            <w:r>
              <w:rPr>
                <w:rFonts w:ascii="Times New Roman" w:eastAsia="Times New Roman" w:hAnsi="Times New Roman" w:cs="Times New Roman"/>
                <w:color w:val="000000"/>
                <w:spacing w:val="0"/>
                <w:w w:val="100"/>
                <w:position w:val="0"/>
                <w:sz w:val="16"/>
                <w:szCs w:val="16"/>
              </w:rPr>
              <w:t>8,800,000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马来西亚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联通马来西亚运营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马来西亚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马来西亚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马来西亚元</w:t>
            </w:r>
          </w:p>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3,200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泰国</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联通泰国运营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泰国</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泰国</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5"/>
                <w:szCs w:val="15"/>
              </w:rPr>
              <w:t>泰铢</w:t>
            </w:r>
            <w:r>
              <w:rPr>
                <w:rFonts w:ascii="Times New Roman" w:eastAsia="Times New Roman" w:hAnsi="Times New Roman" w:cs="Times New Roman"/>
                <w:color w:val="000000"/>
                <w:spacing w:val="0"/>
                <w:w w:val="100"/>
                <w:position w:val="0"/>
                <w:sz w:val="16"/>
                <w:szCs w:val="16"/>
              </w:rPr>
              <w:t>4,000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韩国</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联通韩国运营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韩国</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韩国</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5"/>
                <w:szCs w:val="15"/>
              </w:rPr>
              <w:t xml:space="preserve">韩元 </w:t>
            </w:r>
            <w:r>
              <w:rPr>
                <w:rFonts w:ascii="Times New Roman" w:eastAsia="Times New Roman" w:hAnsi="Times New Roman" w:cs="Times New Roman"/>
                <w:color w:val="000000"/>
                <w:spacing w:val="0"/>
                <w:w w:val="100"/>
                <w:position w:val="0"/>
                <w:sz w:val="16"/>
                <w:szCs w:val="16"/>
              </w:rPr>
              <w:t>300,000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越南</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联通越南运营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越南</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越南</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越南盾</w:t>
            </w:r>
          </w:p>
          <w:p>
            <w:pPr>
              <w:pStyle w:val="Style22"/>
              <w:keepNext w:val="0"/>
              <w:keepLines w:val="0"/>
              <w:widowControl w:val="0"/>
              <w:shd w:val="clear" w:color="auto" w:fill="auto"/>
              <w:bidi w:val="0"/>
              <w:spacing w:before="0" w:after="0" w:line="23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2,276,000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43.94</w:t>
            </w:r>
          </w:p>
        </w:tc>
      </w:tr>
      <w:tr>
        <w:trPr>
          <w:trHeight w:val="21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柬埔寨</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联通柬埔寨运营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柬埔寨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柬埔寨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5"/>
                <w:szCs w:val="15"/>
              </w:rPr>
              <w:t>瑞尔</w:t>
            </w:r>
            <w:r>
              <w:rPr>
                <w:rFonts w:ascii="Times New Roman" w:eastAsia="Times New Roman" w:hAnsi="Times New Roman" w:cs="Times New Roman"/>
                <w:color w:val="000000"/>
                <w:spacing w:val="0"/>
                <w:w w:val="100"/>
                <w:position w:val="0"/>
                <w:sz w:val="16"/>
                <w:szCs w:val="16"/>
              </w:rPr>
              <w:t>40,000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印度尼西亚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联通印度尼西亚运营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印度尼西亚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印度尼西亚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印尼盾</w:t>
            </w:r>
          </w:p>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43.94</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菲律宾</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联通菲律宾运营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菲律宾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菲律宾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菲律宾比索</w:t>
            </w:r>
          </w:p>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10,301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43.94</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巴西</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联通巴西运营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巴西</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巴西</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巴西雷亚尔</w:t>
            </w:r>
          </w:p>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21,166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43.94</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巴西</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控股有限公司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联通巴西控股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巴西</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巴西</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投资控股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巴西雷亚尔</w:t>
            </w:r>
          </w:p>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21,277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43.94</w:t>
            </w:r>
          </w:p>
        </w:tc>
      </w:tr>
    </w:tbl>
    <w:p>
      <w:pPr>
        <w:spacing w:lineRule="exact" w:line="1"/>
        <w:rPr>
          <w:sz w:val="2"/>
          <w:szCs w:val="2"/>
        </w:rPr>
      </w:pPr>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708" w:val="left"/>
        </w:tabs>
        <w:bidi w:val="0"/>
        <w:spacing w:before="0" w:after="300" w:line="240" w:lineRule="auto"/>
        <w:ind w:left="0" w:right="0" w:firstLine="0"/>
        <w:jc w:val="left"/>
        <w:rPr>
          <w:sz w:val="22"/>
          <w:szCs w:val="22"/>
        </w:rPr>
      </w:pPr>
      <w:bookmarkStart w:id="1463" w:name="bookmark1463"/>
      <w:r>
        <w:rPr>
          <w:color w:val="000000"/>
          <w:spacing w:val="0"/>
          <w:w w:val="100"/>
          <w:position w:val="0"/>
          <w:sz w:val="22"/>
          <w:szCs w:val="22"/>
          <w:shd w:val="clear" w:color="auto" w:fill="FFFFFF"/>
        </w:rPr>
        <w:t>七</w:t>
      </w:r>
      <w:bookmarkEnd w:id="1463"/>
      <w:r>
        <w:rPr>
          <w:color w:val="000000"/>
          <w:spacing w:val="0"/>
          <w:w w:val="100"/>
          <w:position w:val="0"/>
          <w:sz w:val="22"/>
          <w:szCs w:val="22"/>
          <w:shd w:val="clear" w:color="auto" w:fill="FFFFFF"/>
        </w:rPr>
        <w:t>、</w:t>
      </w:r>
      <w:r>
        <w:rPr>
          <w:color w:val="000000"/>
          <w:spacing w:val="0"/>
          <w:w w:val="100"/>
          <w:position w:val="0"/>
          <w:sz w:val="22"/>
          <w:szCs w:val="22"/>
        </w:rPr>
        <w:tab/>
        <w:t>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08" w:val="left"/>
        </w:tabs>
        <w:bidi w:val="0"/>
        <w:spacing w:before="0" w:after="3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在子公司中的权益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2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企业集团的构成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2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通过设立或投资方式取得的子公司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bl>
      <w:tblPr>
        <w:tblOverlap w:val="never"/>
        <w:jc w:val="right"/>
        <w:tblLayout w:type="fixed"/>
      </w:tblPr>
      <w:tblGrid>
        <w:gridCol w:w="2534"/>
        <w:gridCol w:w="1330"/>
        <w:gridCol w:w="1234"/>
        <w:gridCol w:w="1450"/>
        <w:gridCol w:w="1291"/>
        <w:gridCol w:w="845"/>
        <w:gridCol w:w="730"/>
      </w:tblGrid>
      <w:tr>
        <w:trPr>
          <w:trHeight w:val="437" w:hRule="exact"/>
        </w:trPr>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子公司名称</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u w:val="single"/>
              </w:rPr>
              <w:t>主要经营地</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注册地</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u w:val="single"/>
              </w:rPr>
              <w:t>业务性质</w:t>
            </w:r>
          </w:p>
        </w:tc>
        <w:tc>
          <w:tcPr>
            <w:vMerge w:val="restart"/>
            <w:tcBorders/>
            <w:shd w:val="clear" w:color="auto" w:fill="FFFFFF"/>
            <w:vAlign w:val="bottom"/>
          </w:tcPr>
          <w:p>
            <w:pPr>
              <w:pStyle w:val="Style2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5"/>
                <w:szCs w:val="15"/>
              </w:rPr>
              <w:t xml:space="preserve">注册资本 </w:t>
            </w:r>
            <w:r>
              <w:rPr>
                <w:rFonts w:ascii="Times New Roman" w:eastAsia="Times New Roman" w:hAnsi="Times New Roman" w:cs="Times New Roman"/>
                <w:color w:val="000000"/>
                <w:spacing w:val="0"/>
                <w:w w:val="100"/>
                <w:position w:val="0"/>
                <w:sz w:val="16"/>
                <w:szCs w:val="16"/>
                <w:u w:val="single"/>
              </w:rPr>
              <w:t>（</w:t>
            </w:r>
            <w:r>
              <w:rPr>
                <w:color w:val="000000"/>
                <w:spacing w:val="0"/>
                <w:w w:val="100"/>
                <w:position w:val="0"/>
                <w:sz w:val="15"/>
                <w:szCs w:val="15"/>
                <w:u w:val="single"/>
              </w:rPr>
              <w:t>千元</w:t>
            </w:r>
            <w:r>
              <w:rPr>
                <w:color w:val="000000"/>
                <w:spacing w:val="0"/>
                <w:w w:val="100"/>
                <w:position w:val="0"/>
                <w:sz w:val="16"/>
                <w:szCs w:val="16"/>
                <w:u w:val="single"/>
              </w:rPr>
              <w:t>）</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5"/>
                <w:szCs w:val="15"/>
              </w:rPr>
              <w:t>持股比例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r>
      <w:tr>
        <w:trPr>
          <w:trHeight w:val="302"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u w:val="single"/>
              </w:rPr>
              <w:t>直接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u w:val="single"/>
              </w:rPr>
              <w:t>间接</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联通创新创业投资有限公司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联通创投</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创业投资业务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小沃科技有限公司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小沃科技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中国，上海市</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中国，上海市</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技术开发和推广</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200,000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联通智网科技股份有限公司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智网科技</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汽车信息化服务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246,796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30.27</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中国联通国际有限公司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国际公司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中国，香港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中国，香港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投资控股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港币</w:t>
            </w:r>
          </w:p>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2,625,097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联通集团财务有限公司</w:t>
            </w:r>
          </w:p>
        </w:tc>
        <w:tc>
          <w:tcPr>
            <w:gridSpan w:val="6"/>
            <w:tcBorders/>
            <w:shd w:val="clear" w:color="auto" w:fill="FFFFFF"/>
            <w:vAlign w:val="top"/>
          </w:tcPr>
          <w:p>
            <w:pPr>
              <w:widowControl w:val="0"/>
              <w:rPr>
                <w:sz w:val="10"/>
                <w:szCs w:val="10"/>
              </w:rPr>
            </w:pPr>
          </w:p>
        </w:tc>
      </w:tr>
      <w:tr>
        <w:trPr>
          <w:trHeight w:val="21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财务公司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中国，北京市</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金融服务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39.99</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联通创新创业投资管理</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深圳</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5"/>
                <w:szCs w:val="15"/>
              </w:rPr>
              <w:t>限责任公司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创投深圳</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中国，深圳市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创业投资业务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联通创新创业投资</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贵州</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有限公司</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创投贵州</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中国，贵州省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中国，贵州省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创业投资业务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26.36</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联通创新创业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深圳</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投资中心</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有限合伙</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深圳投资中心</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中国，深圳市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中国，深圳市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创业投资业务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200,000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山东</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产业互联网有限公司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互联网山东</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中国，济南市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中国，济南市</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720"/>
              <w:jc w:val="both"/>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广东</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产业互联网有限公司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互联网广东</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中国，广州市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中国，广州市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浙江</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产业互联网有限公司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互联网浙江</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中国，杭州市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中国，杭州市</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720"/>
              <w:jc w:val="both"/>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福建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产业互联网有限公司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互联网福建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中国，福建省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中国，福建省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山西</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产业互联网有限公司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互联网山西</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中国，山西省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中国，山西省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联通雄安产业互联网有限公司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互联网雄安</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中国，河北省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中国，河北省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四川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产业互联网有限公司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互联网四川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中国，四川省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中国，四川省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辽宁</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产业互联网有限公司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互联网辽宁</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中国，辽宁省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中国，辽宁省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产业互联网有限公司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互联网上海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中国，上海市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中国，上海市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江苏</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产业互联网有限公司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互联网江苏</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中国，江苏省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中国，江苏省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2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黑龙江</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产业互联网有限公司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互联网黑龙江</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中国，黑龙江省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中国，黑龙江省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bl>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color w:val="000000"/>
          <w:spacing w:val="0"/>
          <w:w w:val="100"/>
          <w:position w:val="0"/>
          <w:sz w:val="24"/>
          <w:szCs w:val="24"/>
        </w:rPr>
        <w:t>）</w:t>
      </w:r>
    </w:p>
    <w:p>
      <w:pPr>
        <w:pStyle w:val="Style5"/>
        <w:keepNext w:val="0"/>
        <w:keepLines w:val="0"/>
        <w:widowControl w:val="0"/>
        <w:shd w:val="clear" w:color="auto" w:fill="auto"/>
        <w:tabs>
          <w:tab w:pos="677" w:val="left"/>
        </w:tabs>
        <w:bidi w:val="0"/>
        <w:spacing w:before="0" w:after="300" w:line="240" w:lineRule="auto"/>
        <w:ind w:left="0" w:right="0" w:firstLine="0"/>
        <w:jc w:val="left"/>
        <w:rPr>
          <w:sz w:val="22"/>
          <w:szCs w:val="22"/>
        </w:rPr>
      </w:pPr>
      <w:bookmarkStart w:id="1464" w:name="bookmark1464"/>
      <w:r>
        <w:rPr>
          <w:color w:val="000000"/>
          <w:spacing w:val="0"/>
          <w:w w:val="100"/>
          <w:position w:val="0"/>
          <w:sz w:val="22"/>
          <w:szCs w:val="22"/>
        </w:rPr>
        <w:t>七</w:t>
      </w:r>
      <w:bookmarkEnd w:id="1464"/>
      <w:r>
        <w:rPr>
          <w:color w:val="000000"/>
          <w:spacing w:val="0"/>
          <w:w w:val="100"/>
          <w:position w:val="0"/>
          <w:sz w:val="22"/>
          <w:szCs w:val="22"/>
        </w:rPr>
        <w:t>、</w:t>
        <w:tab/>
        <w:t>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7" w:val="left"/>
        </w:tabs>
        <w:bidi w:val="0"/>
        <w:spacing w:before="0" w:after="3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在子公司中的权益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企业集团的构成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通过设立或投资方式取得的子公司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bl>
      <w:tblPr>
        <w:tblOverlap w:val="never"/>
        <w:jc w:val="right"/>
        <w:tblLayout w:type="fixed"/>
      </w:tblPr>
      <w:tblGrid>
        <w:gridCol w:w="2674"/>
        <w:gridCol w:w="1200"/>
        <w:gridCol w:w="1320"/>
        <w:gridCol w:w="1358"/>
        <w:gridCol w:w="1306"/>
        <w:gridCol w:w="845"/>
        <w:gridCol w:w="730"/>
      </w:tblGrid>
      <w:tr>
        <w:trPr>
          <w:trHeight w:val="437" w:hRule="exact"/>
        </w:trPr>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子公司名称</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主要经营地</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注册地</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u w:val="single"/>
              </w:rPr>
              <w:t>业务性质</w:t>
            </w:r>
          </w:p>
        </w:tc>
        <w:tc>
          <w:tcPr>
            <w:vMerge w:val="restart"/>
            <w:tcBorders/>
            <w:shd w:val="clear" w:color="auto" w:fill="FFFFFF"/>
            <w:vAlign w:val="bottom"/>
          </w:tcPr>
          <w:p>
            <w:pPr>
              <w:pStyle w:val="Style2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5"/>
                <w:szCs w:val="15"/>
              </w:rPr>
              <w:t xml:space="preserve">注册资本 </w:t>
            </w:r>
            <w:r>
              <w:rPr>
                <w:rFonts w:ascii="Times New Roman" w:eastAsia="Times New Roman" w:hAnsi="Times New Roman" w:cs="Times New Roman"/>
                <w:color w:val="000000"/>
                <w:spacing w:val="0"/>
                <w:w w:val="100"/>
                <w:position w:val="0"/>
                <w:sz w:val="16"/>
                <w:szCs w:val="16"/>
                <w:u w:val="single"/>
              </w:rPr>
              <w:t>（</w:t>
            </w:r>
            <w:r>
              <w:rPr>
                <w:color w:val="000000"/>
                <w:spacing w:val="0"/>
                <w:w w:val="100"/>
                <w:position w:val="0"/>
                <w:sz w:val="15"/>
                <w:szCs w:val="15"/>
                <w:u w:val="single"/>
              </w:rPr>
              <w:t>千元</w:t>
            </w:r>
            <w:r>
              <w:rPr>
                <w:color w:val="000000"/>
                <w:spacing w:val="0"/>
                <w:w w:val="100"/>
                <w:position w:val="0"/>
                <w:sz w:val="16"/>
                <w:szCs w:val="16"/>
                <w:u w:val="single"/>
              </w:rPr>
              <w:t>）</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5"/>
                <w:szCs w:val="15"/>
              </w:rPr>
              <w:t>持股比例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r>
      <w:tr>
        <w:trPr>
          <w:trHeight w:val="302"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u w:val="single"/>
              </w:rPr>
              <w:t>直接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u w:val="single"/>
              </w:rPr>
              <w:t>间接</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联通大数据有限公司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联通大数据</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数据处理</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500,000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联通灵境视讯</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江西</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科技有限公司</w:t>
            </w:r>
            <w:r>
              <w:rPr>
                <w:rFonts w:ascii="Times New Roman" w:eastAsia="Times New Roman" w:hAnsi="Times New Roman" w:cs="Times New Roman"/>
                <w:color w:val="000000"/>
                <w:spacing w:val="0"/>
                <w:w w:val="100"/>
                <w:position w:val="0"/>
                <w:sz w:val="16"/>
                <w:szCs w:val="16"/>
              </w:rPr>
              <w:t>*</w:t>
            </w:r>
          </w:p>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灵境视讯</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中国，江西省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中国，江西省</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160"/>
              <w:jc w:val="both"/>
              <w:rPr>
                <w:sz w:val="15"/>
                <w:szCs w:val="15"/>
              </w:rPr>
            </w:pPr>
            <w:r>
              <w:rPr>
                <w:color w:val="000000"/>
                <w:spacing w:val="0"/>
                <w:w w:val="100"/>
                <w:position w:val="0"/>
                <w:sz w:val="15"/>
                <w:szCs w:val="15"/>
              </w:rPr>
              <w:t>互联网及增值</w:t>
            </w:r>
          </w:p>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电信业务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联通旅游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北京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有限公司</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联通旅游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中国，北京市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中国，北京市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旅游业务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联通视频科技有限公司</w:t>
            </w:r>
          </w:p>
        </w:tc>
        <w:tc>
          <w:tcPr>
            <w:gridSpan w:val="6"/>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联通视频</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中国，天津市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视频科技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联通融资租赁有限公司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联通融资租赁</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中国，天津市</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中国，天津市</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融资租赁业务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联通物联网有限责任公司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联通物联网</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中国，北京市</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中国，南京市</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物联网业务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联通高新大数据人工智能科技</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成都</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大数据成都</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中国，四川省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中国，四川省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数据处理</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22.41</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联通沃悦读科技文化有限公司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联通沃悦读</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中国，湖南省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中国，湖南省</w:t>
            </w:r>
          </w:p>
        </w:tc>
        <w:tc>
          <w:tcPr>
            <w:tcBorders/>
            <w:shd w:val="clear" w:color="auto" w:fill="FFFFFF"/>
            <w:vAlign w:val="top"/>
          </w:tcPr>
          <w:p>
            <w:pPr>
              <w:pStyle w:val="Style22"/>
              <w:keepNext w:val="0"/>
              <w:keepLines w:val="0"/>
              <w:widowControl w:val="0"/>
              <w:shd w:val="clear" w:color="auto" w:fill="auto"/>
              <w:bidi w:val="0"/>
              <w:spacing w:before="0" w:after="0" w:line="197" w:lineRule="exact"/>
              <w:ind w:left="480" w:right="0" w:firstLine="160"/>
              <w:jc w:val="left"/>
              <w:rPr>
                <w:sz w:val="15"/>
                <w:szCs w:val="15"/>
              </w:rPr>
            </w:pPr>
            <w:r>
              <w:rPr>
                <w:color w:val="000000"/>
                <w:spacing w:val="0"/>
                <w:w w:val="100"/>
                <w:position w:val="0"/>
                <w:sz w:val="15"/>
                <w:szCs w:val="15"/>
              </w:rPr>
              <w:t>软件和 信息技术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51,000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联通沃音乐文化有限公司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联通沃文化</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中国，广东省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中国，广东省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文化艺术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联通智能车联科技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有限公司</w:t>
            </w:r>
          </w:p>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智能车联</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中国，上海市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中国，上海市</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640"/>
              <w:jc w:val="left"/>
              <w:rPr>
                <w:sz w:val="15"/>
                <w:szCs w:val="15"/>
              </w:rPr>
            </w:pPr>
            <w:r>
              <w:rPr>
                <w:color w:val="000000"/>
                <w:spacing w:val="0"/>
                <w:w w:val="100"/>
                <w:position w:val="0"/>
                <w:sz w:val="15"/>
                <w:szCs w:val="15"/>
              </w:rPr>
              <w:t>软件和</w:t>
            </w:r>
          </w:p>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信息技术服务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30.27</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联通智网睿行科技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北京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有限公司</w:t>
            </w:r>
          </w:p>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智网睿行</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中国，北京市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科技推广和</w:t>
            </w:r>
          </w:p>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应用服务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24.21</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云景文旅科技有限公司</w:t>
            </w:r>
          </w:p>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云景文旅</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中国，贵州省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中国，贵阳市</w:t>
            </w:r>
          </w:p>
        </w:tc>
        <w:tc>
          <w:tcPr>
            <w:tcBorders/>
            <w:shd w:val="clear" w:color="auto" w:fill="FFFFFF"/>
            <w:vAlign w:val="top"/>
          </w:tcPr>
          <w:p>
            <w:pPr>
              <w:pStyle w:val="Style22"/>
              <w:keepNext w:val="0"/>
              <w:keepLines w:val="0"/>
              <w:widowControl w:val="0"/>
              <w:shd w:val="clear" w:color="auto" w:fill="auto"/>
              <w:bidi w:val="0"/>
              <w:spacing w:before="0" w:after="0" w:line="206" w:lineRule="exact"/>
              <w:ind w:left="320" w:right="0" w:firstLine="320"/>
              <w:jc w:val="left"/>
              <w:rPr>
                <w:sz w:val="15"/>
                <w:szCs w:val="15"/>
              </w:rPr>
            </w:pPr>
            <w:r>
              <w:rPr>
                <w:color w:val="000000"/>
                <w:spacing w:val="0"/>
                <w:w w:val="100"/>
                <w:position w:val="0"/>
                <w:sz w:val="15"/>
                <w:szCs w:val="15"/>
              </w:rPr>
              <w:t>旅游和 大数据业务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25,000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26.36</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河南产业互联网联合发展有限公司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互联网河南</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中国，河南省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中国，郑州市</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320" w:right="0" w:firstLine="320"/>
              <w:jc w:val="left"/>
              <w:rPr>
                <w:sz w:val="15"/>
                <w:szCs w:val="15"/>
              </w:rPr>
            </w:pPr>
            <w:r>
              <w:rPr>
                <w:color w:val="000000"/>
                <w:spacing w:val="0"/>
                <w:w w:val="100"/>
                <w:position w:val="0"/>
                <w:sz w:val="15"/>
                <w:szCs w:val="15"/>
              </w:rPr>
              <w:t>信息和</w:t>
            </w:r>
          </w:p>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17.58</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沃百富信息科技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天津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联通沃百富</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中国，天津市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中国，天津市</w:t>
            </w:r>
          </w:p>
        </w:tc>
        <w:tc>
          <w:tcPr>
            <w:tcBorders/>
            <w:shd w:val="clear" w:color="auto" w:fill="FFFFFF"/>
            <w:vAlign w:val="top"/>
          </w:tcPr>
          <w:p>
            <w:pPr>
              <w:pStyle w:val="Style22"/>
              <w:keepNext w:val="0"/>
              <w:keepLines w:val="0"/>
              <w:widowControl w:val="0"/>
              <w:shd w:val="clear" w:color="auto" w:fill="auto"/>
              <w:bidi w:val="0"/>
              <w:spacing w:before="0" w:after="0" w:line="206" w:lineRule="exact"/>
              <w:ind w:left="160" w:right="0" w:firstLine="480"/>
              <w:jc w:val="left"/>
              <w:rPr>
                <w:sz w:val="15"/>
                <w:szCs w:val="15"/>
              </w:rPr>
            </w:pPr>
            <w:r>
              <w:rPr>
                <w:color w:val="000000"/>
                <w:spacing w:val="0"/>
                <w:w w:val="100"/>
                <w:position w:val="0"/>
                <w:sz w:val="15"/>
                <w:szCs w:val="15"/>
              </w:rPr>
              <w:t>软件和 信息技术服务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宜春市数字经济产业运营有限公司</w:t>
            </w:r>
          </w:p>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宜春数经</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中国，江西省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中国，宜春市</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640"/>
              <w:jc w:val="left"/>
              <w:rPr>
                <w:sz w:val="15"/>
                <w:szCs w:val="15"/>
              </w:rPr>
            </w:pPr>
            <w:r>
              <w:rPr>
                <w:color w:val="000000"/>
                <w:spacing w:val="0"/>
                <w:w w:val="100"/>
                <w:position w:val="0"/>
                <w:sz w:val="15"/>
                <w:szCs w:val="15"/>
              </w:rPr>
              <w:t>软件和</w:t>
            </w:r>
          </w:p>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信息技术服务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30,000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22.41</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联通创新创业投资</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有限公司</w:t>
            </w:r>
            <w:r>
              <w:rPr>
                <w:rFonts w:ascii="Times New Roman" w:eastAsia="Times New Roman" w:hAnsi="Times New Roman" w:cs="Times New Roman"/>
                <w:color w:val="000000"/>
                <w:spacing w:val="0"/>
                <w:w w:val="100"/>
                <w:position w:val="0"/>
                <w:sz w:val="16"/>
                <w:szCs w:val="16"/>
              </w:rPr>
              <w:t>*</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创投上海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中国，上海市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中国，上海市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创业投资业务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40,000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72.60</w:t>
            </w:r>
          </w:p>
        </w:tc>
      </w:tr>
      <w:tr>
        <w:trPr>
          <w:trHeight w:val="21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联宽</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武汉</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投资中心</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有限合伙</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联宽武汉</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中国，湖北省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中国，武汉市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创业投资业务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10,500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25.05</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联创未来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武汉</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智能制造产业投资合</w:t>
            </w:r>
          </w:p>
        </w:tc>
        <w:tc>
          <w:tcPr>
            <w:gridSpan w:val="6"/>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pStyle w:val="Style22"/>
              <w:keepNext w:val="0"/>
              <w:keepLines w:val="0"/>
              <w:widowControl w:val="0"/>
              <w:shd w:val="clear" w:color="auto" w:fill="auto"/>
              <w:bidi w:val="0"/>
              <w:spacing w:before="0" w:after="0" w:line="211" w:lineRule="exact"/>
              <w:ind w:left="180" w:right="0" w:firstLine="0"/>
              <w:jc w:val="left"/>
              <w:rPr>
                <w:sz w:val="16"/>
                <w:szCs w:val="16"/>
              </w:rPr>
            </w:pPr>
            <w:r>
              <w:rPr>
                <w:color w:val="000000"/>
                <w:spacing w:val="0"/>
                <w:w w:val="100"/>
                <w:position w:val="0"/>
                <w:sz w:val="15"/>
                <w:szCs w:val="15"/>
              </w:rPr>
              <w:t>伙企业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有限合伙</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联创未来武汉</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中国，湖北省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中国，武汉市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投资咨询及</w:t>
            </w:r>
          </w:p>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管理服务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1,760,000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50.98</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联通智育</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信息科技有限公司</w:t>
            </w:r>
            <w:r>
              <w:rPr>
                <w:rFonts w:ascii="Times New Roman" w:eastAsia="Times New Roman" w:hAnsi="Times New Roman" w:cs="Times New Roman"/>
                <w:color w:val="000000"/>
                <w:spacing w:val="0"/>
                <w:w w:val="100"/>
                <w:position w:val="0"/>
                <w:sz w:val="16"/>
                <w:szCs w:val="16"/>
              </w:rPr>
              <w:t>*</w:t>
            </w:r>
          </w:p>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智育上海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中国，上海市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中国，上海市</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640"/>
              <w:jc w:val="left"/>
              <w:rPr>
                <w:sz w:val="15"/>
                <w:szCs w:val="15"/>
              </w:rPr>
            </w:pPr>
            <w:r>
              <w:rPr>
                <w:color w:val="000000"/>
                <w:spacing w:val="0"/>
                <w:w w:val="100"/>
                <w:position w:val="0"/>
                <w:sz w:val="15"/>
                <w:szCs w:val="15"/>
              </w:rPr>
              <w:t>软件和</w:t>
            </w:r>
          </w:p>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信息技术服务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30.76</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联通智域</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创业孵化器管理有限</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5"/>
                <w:szCs w:val="15"/>
              </w:rPr>
              <w:t>公司</w:t>
            </w:r>
            <w:r>
              <w:rPr>
                <w:rFonts w:ascii="Times New Roman" w:eastAsia="Times New Roman" w:hAnsi="Times New Roman" w:cs="Times New Roman"/>
                <w:color w:val="000000"/>
                <w:spacing w:val="0"/>
                <w:w w:val="100"/>
                <w:position w:val="0"/>
                <w:sz w:val="16"/>
                <w:szCs w:val="16"/>
              </w:rPr>
              <w:t>*</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智域上海，</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中国，上海市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中国，上海市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商务咨询</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30.76</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河北视音科技有限公司</w:t>
            </w:r>
            <w:r>
              <w:rPr>
                <w:rFonts w:ascii="Times New Roman" w:eastAsia="Times New Roman" w:hAnsi="Times New Roman" w:cs="Times New Roman"/>
                <w:color w:val="000000"/>
                <w:spacing w:val="0"/>
                <w:w w:val="100"/>
                <w:position w:val="0"/>
                <w:sz w:val="16"/>
                <w:szCs w:val="16"/>
              </w:rPr>
              <w:t>*</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河北视音</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中国，河北省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中国，石家庄市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信息技术服务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30.76</w:t>
            </w:r>
          </w:p>
        </w:tc>
      </w:tr>
      <w:tr>
        <w:trPr>
          <w:trHeight w:val="42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临港数智科技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有限公司</w:t>
            </w:r>
            <w:r>
              <w:rPr>
                <w:rFonts w:ascii="Times New Roman" w:eastAsia="Times New Roman" w:hAnsi="Times New Roman" w:cs="Times New Roman"/>
                <w:color w:val="000000"/>
                <w:spacing w:val="0"/>
                <w:w w:val="100"/>
                <w:position w:val="0"/>
                <w:sz w:val="16"/>
                <w:szCs w:val="16"/>
              </w:rPr>
              <w:t>*</w:t>
            </w:r>
          </w:p>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临港数智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中国，上海市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中国，上海市</w:t>
            </w:r>
          </w:p>
        </w:tc>
        <w:tc>
          <w:tcPr>
            <w:tcBorders/>
            <w:shd w:val="clear" w:color="auto" w:fill="FFFFFF"/>
            <w:vAlign w:val="top"/>
          </w:tcPr>
          <w:p>
            <w:pPr>
              <w:pStyle w:val="Style22"/>
              <w:keepNext w:val="0"/>
              <w:keepLines w:val="0"/>
              <w:widowControl w:val="0"/>
              <w:shd w:val="clear" w:color="auto" w:fill="auto"/>
              <w:bidi w:val="0"/>
              <w:spacing w:before="0" w:after="0" w:line="206" w:lineRule="exact"/>
              <w:ind w:left="160" w:right="0" w:firstLine="480"/>
              <w:jc w:val="left"/>
              <w:rPr>
                <w:sz w:val="15"/>
                <w:szCs w:val="15"/>
              </w:rPr>
            </w:pPr>
            <w:r>
              <w:rPr>
                <w:color w:val="000000"/>
                <w:spacing w:val="0"/>
                <w:w w:val="100"/>
                <w:position w:val="0"/>
                <w:sz w:val="15"/>
                <w:szCs w:val="15"/>
              </w:rPr>
              <w:t>软件和 信息技术服务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500,000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bl>
    <w:p>
      <w:pPr>
        <w:sectPr>
          <w:footnotePr>
            <w:pos w:val="pageBottom"/>
            <w:numFmt w:val="decimal"/>
            <w:numRestart w:val="continuous"/>
          </w:footnotePr>
          <w:pgSz w:w="11900" w:h="16840"/>
          <w:pgMar w:top="1599" w:right="726" w:bottom="1023" w:left="964"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color w:val="000000"/>
          <w:spacing w:val="0"/>
          <w:w w:val="100"/>
          <w:position w:val="0"/>
          <w:sz w:val="24"/>
          <w:szCs w:val="24"/>
        </w:rPr>
        <w:t>）</w:t>
      </w:r>
    </w:p>
    <w:p>
      <w:pPr>
        <w:pStyle w:val="Style5"/>
        <w:keepNext w:val="0"/>
        <w:keepLines w:val="0"/>
        <w:widowControl w:val="0"/>
        <w:shd w:val="clear" w:color="auto" w:fill="auto"/>
        <w:tabs>
          <w:tab w:pos="677" w:val="left"/>
        </w:tabs>
        <w:bidi w:val="0"/>
        <w:spacing w:before="0" w:after="300" w:line="240" w:lineRule="auto"/>
        <w:ind w:left="0" w:right="0" w:firstLine="0"/>
        <w:jc w:val="left"/>
        <w:rPr>
          <w:sz w:val="22"/>
          <w:szCs w:val="22"/>
        </w:rPr>
      </w:pPr>
      <w:r>
        <w:rPr>
          <w:color w:val="000000"/>
          <w:spacing w:val="0"/>
          <w:w w:val="100"/>
          <w:position w:val="0"/>
          <w:sz w:val="22"/>
          <w:szCs w:val="22"/>
        </w:rPr>
        <w:t>七、</w:t>
        <w:tab/>
        <w:t>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7" w:val="left"/>
        </w:tabs>
        <w:bidi w:val="0"/>
        <w:spacing w:before="0" w:after="3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在子公司中的权益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企业集团的构成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通过设立或投资方式取得的子公司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bl>
      <w:tblPr>
        <w:tblOverlap w:val="never"/>
        <w:jc w:val="right"/>
        <w:tblLayout w:type="fixed"/>
      </w:tblPr>
      <w:tblGrid>
        <w:gridCol w:w="2587"/>
        <w:gridCol w:w="1310"/>
        <w:gridCol w:w="1200"/>
        <w:gridCol w:w="1406"/>
        <w:gridCol w:w="1349"/>
        <w:gridCol w:w="845"/>
        <w:gridCol w:w="734"/>
      </w:tblGrid>
      <w:tr>
        <w:trPr>
          <w:trHeight w:val="437" w:hRule="exact"/>
        </w:trPr>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子公司名称</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主要经营地</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注册地</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u w:val="single"/>
              </w:rPr>
              <w:t>业务性质</w:t>
            </w:r>
          </w:p>
        </w:tc>
        <w:tc>
          <w:tcPr>
            <w:vMerge w:val="restart"/>
            <w:tcBorders/>
            <w:shd w:val="clear" w:color="auto" w:fill="FFFFFF"/>
            <w:vAlign w:val="bottom"/>
          </w:tcPr>
          <w:p>
            <w:pPr>
              <w:pStyle w:val="Style2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5"/>
                <w:szCs w:val="15"/>
              </w:rPr>
              <w:t xml:space="preserve">注册资本 </w:t>
            </w:r>
            <w:r>
              <w:rPr>
                <w:rFonts w:ascii="Times New Roman" w:eastAsia="Times New Roman" w:hAnsi="Times New Roman" w:cs="Times New Roman"/>
                <w:color w:val="000000"/>
                <w:spacing w:val="0"/>
                <w:w w:val="100"/>
                <w:position w:val="0"/>
                <w:sz w:val="16"/>
                <w:szCs w:val="16"/>
                <w:u w:val="single"/>
              </w:rPr>
              <w:t>（</w:t>
            </w:r>
            <w:r>
              <w:rPr>
                <w:color w:val="000000"/>
                <w:spacing w:val="0"/>
                <w:w w:val="100"/>
                <w:position w:val="0"/>
                <w:sz w:val="15"/>
                <w:szCs w:val="15"/>
                <w:u w:val="single"/>
              </w:rPr>
              <w:t>千元</w:t>
            </w:r>
            <w:r>
              <w:rPr>
                <w:color w:val="000000"/>
                <w:spacing w:val="0"/>
                <w:w w:val="100"/>
                <w:position w:val="0"/>
                <w:sz w:val="16"/>
                <w:szCs w:val="16"/>
                <w:u w:val="single"/>
              </w:rPr>
              <w:t>）</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5"/>
                <w:szCs w:val="15"/>
              </w:rPr>
              <w:t>持股比例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r>
      <w:tr>
        <w:trPr>
          <w:trHeight w:val="302"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u w:val="single"/>
              </w:rPr>
              <w:t>直接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u w:val="single"/>
              </w:rPr>
              <w:t>间接</w:t>
            </w:r>
          </w:p>
        </w:tc>
      </w:tr>
      <w:tr>
        <w:trPr>
          <w:trHeight w:val="65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联通西部创新研究院有限公司</w:t>
            </w:r>
            <w:r>
              <w:rPr>
                <w:rFonts w:ascii="Times New Roman" w:eastAsia="Times New Roman" w:hAnsi="Times New Roman" w:cs="Times New Roman"/>
                <w:color w:val="000000"/>
                <w:spacing w:val="0"/>
                <w:w w:val="100"/>
                <w:position w:val="0"/>
                <w:sz w:val="16"/>
                <w:szCs w:val="16"/>
              </w:rPr>
              <w:t>*</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西部创新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中国，陕西省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中国，陕西省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软件和信息</w:t>
            </w:r>
          </w:p>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技术服务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050" w:hRule="exact"/>
        </w:trPr>
        <w:tc>
          <w:tcPr>
            <w:gridSpan w:val="3"/>
            <w:tcBorders/>
            <w:shd w:val="clear" w:color="auto" w:fill="FFFFFF"/>
            <w:vAlign w:val="center"/>
          </w:tcPr>
          <w:p>
            <w:pPr>
              <w:pStyle w:val="Style22"/>
              <w:keepNext w:val="0"/>
              <w:keepLines w:val="0"/>
              <w:widowControl w:val="0"/>
              <w:shd w:val="clear" w:color="auto" w:fill="auto"/>
              <w:bidi w:val="0"/>
              <w:spacing w:before="0" w:after="3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年设立或投资等方式取得的子公司</w:t>
            </w:r>
          </w:p>
          <w:p>
            <w:pPr>
              <w:pStyle w:val="Style22"/>
              <w:keepNext w:val="0"/>
              <w:keepLines w:val="0"/>
              <w:widowControl w:val="0"/>
              <w:shd w:val="clear" w:color="auto" w:fill="auto"/>
              <w:bidi w:val="0"/>
              <w:spacing w:before="0" w:after="76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通过同一控制下的企业合并取得的子公司</w:t>
            </w:r>
          </w:p>
          <w:p>
            <w:pPr>
              <w:pStyle w:val="Style22"/>
              <w:keepNext w:val="0"/>
              <w:keepLines w:val="0"/>
              <w:widowControl w:val="0"/>
              <w:shd w:val="clear" w:color="auto" w:fill="auto"/>
              <w:tabs>
                <w:tab w:pos="2837" w:val="left"/>
                <w:tab w:pos="4200" w:val="left"/>
              </w:tabs>
              <w:bidi w:val="0"/>
              <w:spacing w:before="0" w:after="0" w:line="240" w:lineRule="auto"/>
              <w:ind w:left="0" w:right="0" w:firstLine="0"/>
              <w:jc w:val="left"/>
              <w:rPr>
                <w:sz w:val="15"/>
                <w:szCs w:val="15"/>
              </w:rPr>
            </w:pPr>
            <w:r>
              <w:rPr>
                <w:color w:val="000000"/>
                <w:spacing w:val="0"/>
                <w:w w:val="100"/>
                <w:position w:val="0"/>
                <w:sz w:val="15"/>
                <w:szCs w:val="15"/>
                <w:u w:val="single"/>
              </w:rPr>
              <w:t>子公司名称</w:t>
              <w:tab/>
              <w:t>主要经营地</w:t>
              <w:tab/>
              <w:t>注册地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u w:val="single"/>
              </w:rPr>
              <w:t>业务性质</w:t>
            </w:r>
          </w:p>
        </w:tc>
        <w:tc>
          <w:tcPr>
            <w:tcBorders/>
            <w:shd w:val="clear" w:color="auto" w:fill="FFFFFF"/>
            <w:vAlign w:val="bottom"/>
          </w:tcPr>
          <w:p>
            <w:pPr>
              <w:pStyle w:val="Style22"/>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5"/>
                <w:szCs w:val="15"/>
              </w:rPr>
              <w:t xml:space="preserve">注册资本 </w:t>
            </w:r>
            <w:r>
              <w:rPr>
                <w:rFonts w:ascii="Times New Roman" w:eastAsia="Times New Roman" w:hAnsi="Times New Roman" w:cs="Times New Roman"/>
                <w:color w:val="000000"/>
                <w:spacing w:val="0"/>
                <w:w w:val="100"/>
                <w:position w:val="0"/>
                <w:sz w:val="16"/>
                <w:szCs w:val="16"/>
                <w:u w:val="single"/>
              </w:rPr>
              <w:t>（</w:t>
            </w:r>
            <w:r>
              <w:rPr>
                <w:color w:val="000000"/>
                <w:spacing w:val="0"/>
                <w:w w:val="100"/>
                <w:position w:val="0"/>
                <w:sz w:val="15"/>
                <w:szCs w:val="15"/>
                <w:u w:val="single"/>
              </w:rPr>
              <w:t>千元</w:t>
            </w:r>
            <w:r>
              <w:rPr>
                <w:color w:val="000000"/>
                <w:spacing w:val="0"/>
                <w:w w:val="100"/>
                <w:position w:val="0"/>
                <w:sz w:val="16"/>
                <w:szCs w:val="16"/>
                <w:u w:val="single"/>
              </w:rPr>
              <w:t>）</w:t>
            </w:r>
          </w:p>
        </w:tc>
        <w:tc>
          <w:tcPr>
            <w:gridSpan w:val="2"/>
            <w:tcBorders/>
            <w:shd w:val="clear" w:color="auto" w:fill="FFFFFF"/>
            <w:vAlign w:val="bottom"/>
          </w:tcPr>
          <w:p>
            <w:pPr>
              <w:pStyle w:val="Style22"/>
              <w:keepNext w:val="0"/>
              <w:keepLines w:val="0"/>
              <w:widowControl w:val="0"/>
              <w:shd w:val="clear" w:color="auto" w:fill="auto"/>
              <w:bidi w:val="0"/>
              <w:spacing w:before="0" w:after="260" w:line="240" w:lineRule="auto"/>
              <w:ind w:left="0" w:right="0" w:firstLine="320"/>
              <w:jc w:val="left"/>
              <w:rPr>
                <w:sz w:val="16"/>
                <w:szCs w:val="16"/>
              </w:rPr>
            </w:pPr>
            <w:r>
              <w:rPr>
                <w:color w:val="000000"/>
                <w:spacing w:val="0"/>
                <w:w w:val="100"/>
                <w:position w:val="0"/>
                <w:sz w:val="15"/>
                <w:szCs w:val="15"/>
              </w:rPr>
              <w:t>持股比例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p>
            <w:pPr>
              <w:pStyle w:val="Style22"/>
              <w:keepNext w:val="0"/>
              <w:keepLines w:val="0"/>
              <w:widowControl w:val="0"/>
              <w:shd w:val="clear" w:color="auto" w:fill="auto"/>
              <w:tabs>
                <w:tab w:pos="859" w:val="left"/>
              </w:tabs>
              <w:bidi w:val="0"/>
              <w:spacing w:before="0" w:after="0" w:line="240" w:lineRule="auto"/>
              <w:ind w:left="0" w:right="0" w:firstLine="0"/>
              <w:jc w:val="center"/>
              <w:rPr>
                <w:sz w:val="15"/>
                <w:szCs w:val="15"/>
              </w:rPr>
            </w:pPr>
            <w:r>
              <w:rPr>
                <w:color w:val="000000"/>
                <w:spacing w:val="0"/>
                <w:w w:val="100"/>
                <w:position w:val="0"/>
                <w:sz w:val="15"/>
                <w:szCs w:val="15"/>
                <w:u w:val="single"/>
              </w:rPr>
              <w:t>直接</w:t>
              <w:tab/>
              <w:t>间接</w:t>
            </w:r>
          </w:p>
        </w:tc>
      </w:tr>
      <w:tr>
        <w:trPr>
          <w:trHeight w:val="50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联通数字科技有限公司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联通数科</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信息及</w:t>
            </w:r>
          </w:p>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系统集成业务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6,987,118.3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联通在线信息科技有限公司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联通在线</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580"/>
              <w:jc w:val="both"/>
              <w:rPr>
                <w:sz w:val="15"/>
                <w:szCs w:val="15"/>
              </w:rPr>
            </w:pPr>
            <w:r>
              <w:rPr>
                <w:color w:val="000000"/>
                <w:spacing w:val="0"/>
                <w:w w:val="100"/>
                <w:position w:val="0"/>
                <w:sz w:val="15"/>
                <w:szCs w:val="15"/>
              </w:rPr>
              <w:t>互联网及</w:t>
            </w:r>
          </w:p>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电信增值业务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北京沃数媒广告有限公司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沃数媒</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商务服务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20,000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北京电信规划设计院有限公司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规划设计院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勘察设计</w:t>
            </w:r>
          </w:p>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及咨询服务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264,227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香港</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联通香港运营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中国，香港</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中国，香港</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5"/>
                <w:szCs w:val="15"/>
              </w:rPr>
              <w:t xml:space="preserve">港币 </w:t>
            </w:r>
            <w:r>
              <w:rPr>
                <w:rFonts w:ascii="Times New Roman" w:eastAsia="Times New Roman" w:hAnsi="Times New Roman" w:cs="Times New Roman"/>
                <w:color w:val="000000"/>
                <w:spacing w:val="0"/>
                <w:w w:val="100"/>
                <w:position w:val="0"/>
                <w:sz w:val="16"/>
                <w:szCs w:val="16"/>
              </w:rPr>
              <w:t>1,510,100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美洲</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联通美洲运营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美国</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美国</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5"/>
                <w:szCs w:val="15"/>
              </w:rPr>
              <w:t>美元</w:t>
            </w:r>
            <w:r>
              <w:rPr>
                <w:rFonts w:ascii="Times New Roman" w:eastAsia="Times New Roman" w:hAnsi="Times New Roman" w:cs="Times New Roman"/>
                <w:color w:val="000000"/>
                <w:spacing w:val="0"/>
                <w:w w:val="100"/>
                <w:position w:val="0"/>
                <w:sz w:val="16"/>
                <w:szCs w:val="16"/>
              </w:rPr>
              <w:t>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欧洲</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运营有限公司</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联通欧洲运营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英国</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英国</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5"/>
                <w:szCs w:val="15"/>
              </w:rPr>
              <w:t>英镑</w:t>
            </w:r>
            <w:r>
              <w:rPr>
                <w:rFonts w:ascii="Times New Roman" w:eastAsia="Times New Roman" w:hAnsi="Times New Roman" w:cs="Times New Roman"/>
                <w:color w:val="000000"/>
                <w:spacing w:val="0"/>
                <w:w w:val="100"/>
                <w:position w:val="0"/>
                <w:sz w:val="16"/>
                <w:szCs w:val="16"/>
              </w:rPr>
              <w:t>4,861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日本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运营股份有限公司</w:t>
            </w:r>
          </w:p>
        </w:tc>
        <w:tc>
          <w:tcPr>
            <w:gridSpan w:val="6"/>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联通日本运营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日本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日本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电信业务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5"/>
                <w:szCs w:val="15"/>
              </w:rPr>
              <w:t xml:space="preserve">日元 </w:t>
            </w:r>
            <w:r>
              <w:rPr>
                <w:rFonts w:ascii="Times New Roman" w:eastAsia="Times New Roman" w:hAnsi="Times New Roman" w:cs="Times New Roman"/>
                <w:color w:val="000000"/>
                <w:spacing w:val="0"/>
                <w:w w:val="100"/>
                <w:position w:val="0"/>
                <w:sz w:val="16"/>
                <w:szCs w:val="16"/>
              </w:rPr>
              <w:t>366,000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中讯邮电咨询设计院有限公司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中讯设计院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勘察设计</w:t>
            </w:r>
          </w:p>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及咨询服务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430,000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联通信息导航有限公司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联通信息导航</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电信客户服务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6,825,088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华夏邮电咨询监理有限公司</w:t>
            </w:r>
          </w:p>
        </w:tc>
        <w:tc>
          <w:tcPr>
            <w:gridSpan w:val="6"/>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华夏邮电</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中国，郑州市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中国，郑州市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工程咨询及监理</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50,100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20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郑州凯成实业有限公司</w:t>
            </w:r>
          </w:p>
        </w:tc>
        <w:tc>
          <w:tcPr>
            <w:gridSpan w:val="6"/>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郑州凯成</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中国，郑州市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中国，郑州市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物业管理</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16"/>
                <w:szCs w:val="16"/>
              </w:rPr>
            </w:pPr>
            <w:r>
              <w:rPr>
                <w:rFonts w:ascii="Times New Roman" w:eastAsia="Times New Roman" w:hAnsi="Times New Roman" w:cs="Times New Roman"/>
                <w:color w:val="000000"/>
                <w:spacing w:val="0"/>
                <w:w w:val="100"/>
                <w:position w:val="0"/>
                <w:sz w:val="16"/>
                <w:szCs w:val="16"/>
              </w:rPr>
              <w:t>2,200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联通智慧安全科技有限公司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智慧安全</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top"/>
          </w:tcPr>
          <w:p>
            <w:pPr>
              <w:pStyle w:val="Style22"/>
              <w:keepNext w:val="0"/>
              <w:keepLines w:val="0"/>
              <w:widowControl w:val="0"/>
              <w:shd w:val="clear" w:color="auto" w:fill="auto"/>
              <w:bidi w:val="0"/>
              <w:spacing w:before="0" w:after="0" w:line="202" w:lineRule="exact"/>
              <w:ind w:left="0" w:right="0" w:firstLine="420"/>
              <w:jc w:val="both"/>
              <w:rPr>
                <w:sz w:val="15"/>
                <w:szCs w:val="15"/>
              </w:rPr>
            </w:pPr>
            <w:r>
              <w:rPr>
                <w:color w:val="000000"/>
                <w:spacing w:val="0"/>
                <w:w w:val="100"/>
                <w:position w:val="0"/>
                <w:sz w:val="15"/>
                <w:szCs w:val="15"/>
              </w:rPr>
              <w:t>技术开发及 互联网信息服务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广东联通通信建设有限公司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广东通建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中国，广东省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中国，广州市</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420"/>
              <w:jc w:val="both"/>
              <w:rPr>
                <w:sz w:val="15"/>
                <w:szCs w:val="15"/>
              </w:rPr>
            </w:pPr>
            <w:r>
              <w:rPr>
                <w:color w:val="000000"/>
                <w:spacing w:val="0"/>
                <w:w w:val="100"/>
                <w:position w:val="0"/>
                <w:sz w:val="15"/>
                <w:szCs w:val="15"/>
              </w:rPr>
              <w:t>信息技术及</w:t>
            </w:r>
          </w:p>
          <w:p>
            <w:pPr>
              <w:pStyle w:val="Style2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第三方服务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30,000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43.94</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云盾智慧安全科技有限公司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云盾智慧</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中国，北京市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中国，北京市</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420"/>
              <w:jc w:val="both"/>
              <w:rPr>
                <w:sz w:val="15"/>
                <w:szCs w:val="15"/>
              </w:rPr>
            </w:pPr>
            <w:r>
              <w:rPr>
                <w:color w:val="000000"/>
                <w:spacing w:val="0"/>
                <w:w w:val="100"/>
                <w:position w:val="0"/>
                <w:sz w:val="15"/>
                <w:szCs w:val="15"/>
              </w:rPr>
              <w:t>软件开发及</w:t>
            </w:r>
          </w:p>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技术开发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22.41</w:t>
            </w:r>
          </w:p>
        </w:tc>
      </w:tr>
      <w:tr>
        <w:trPr>
          <w:trHeight w:val="42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长春一汽通信科技有限公司</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一汽通信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中国，吉林省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中国，长春市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软件开发及</w:t>
            </w:r>
          </w:p>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技术开发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16"/>
                <w:szCs w:val="16"/>
              </w:rPr>
            </w:pPr>
            <w:r>
              <w:rPr>
                <w:rFonts w:ascii="Times New Roman" w:eastAsia="Times New Roman" w:hAnsi="Times New Roman" w:cs="Times New Roman"/>
                <w:color w:val="000000"/>
                <w:spacing w:val="0"/>
                <w:w w:val="100"/>
                <w:position w:val="0"/>
                <w:sz w:val="16"/>
                <w:szCs w:val="16"/>
              </w:rPr>
              <w:t>86,458.6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22.41</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rPr>
        <w:t>注：上述披露的间接持股比例为本集团实际享有的权益比例。</w:t>
      </w:r>
    </w:p>
    <w:p>
      <w:pPr>
        <w:pStyle w:val="Style39"/>
        <w:keepNext w:val="0"/>
        <w:keepLines w:val="0"/>
        <w:widowControl w:val="0"/>
        <w:shd w:val="clear" w:color="auto" w:fill="auto"/>
        <w:bidi w:val="0"/>
        <w:spacing w:before="0" w:after="300" w:line="240" w:lineRule="auto"/>
        <w:ind w:left="0" w:right="0" w:firstLine="0"/>
        <w:jc w:val="center"/>
        <w:rPr>
          <w:sz w:val="16"/>
          <w:szCs w:val="16"/>
        </w:rPr>
        <w:sectPr>
          <w:footnotePr>
            <w:pos w:val="pageBottom"/>
            <w:numFmt w:val="decimal"/>
            <w:numRestart w:val="continuous"/>
          </w:footnotePr>
          <w:pgSz w:w="11900" w:h="16840"/>
          <w:pgMar w:top="1599" w:right="771" w:bottom="524" w:left="982" w:header="0" w:footer="3" w:gutter="0"/>
          <w:cols w:space="720"/>
          <w:noEndnote/>
          <w:rtlGutter w:val="0"/>
          <w:docGrid w:linePitch="360"/>
        </w:sectPr>
      </w:pPr>
      <w:r>
        <w:rPr>
          <w:color w:val="000000"/>
          <w:spacing w:val="0"/>
          <w:w w:val="100"/>
          <w:position w:val="0"/>
          <w:sz w:val="16"/>
          <w:szCs w:val="16"/>
        </w:rPr>
        <w:t>175 / 203</w:t>
      </w:r>
    </w:p>
    <w:p>
      <w:pPr>
        <w:pStyle w:val="Style97"/>
        <w:keepNext/>
        <w:keepLines/>
        <w:widowControl w:val="0"/>
        <w:shd w:val="clear" w:color="auto" w:fill="auto"/>
        <w:bidi w:val="0"/>
        <w:spacing w:before="0" w:after="40" w:line="240" w:lineRule="auto"/>
        <w:ind w:left="0" w:right="0" w:firstLine="0"/>
        <w:jc w:val="left"/>
      </w:pPr>
      <w:bookmarkStart w:id="1465" w:name="bookmark1465"/>
      <w:bookmarkStart w:id="1466" w:name="bookmark1466"/>
      <w:bookmarkStart w:id="1467" w:name="bookmark1467"/>
      <w:r>
        <w:rPr>
          <w:color w:val="000000"/>
          <w:spacing w:val="0"/>
          <w:w w:val="100"/>
          <w:position w:val="0"/>
        </w:rPr>
        <w:t>财务报表附注</w:t>
      </w:r>
      <w:bookmarkEnd w:id="1465"/>
      <w:bookmarkEnd w:id="1466"/>
      <w:bookmarkEnd w:id="1467"/>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468"/>
      <w:bookmarkEnd w:id="1469"/>
      <w:bookmarkEnd w:id="1470"/>
    </w:p>
    <w:p>
      <w:pPr>
        <w:pStyle w:val="Style97"/>
        <w:keepNext/>
        <w:keepLines/>
        <w:widowControl w:val="0"/>
        <w:shd w:val="clear" w:color="auto" w:fill="auto"/>
        <w:tabs>
          <w:tab w:pos="677" w:val="left"/>
        </w:tabs>
        <w:bidi w:val="0"/>
        <w:spacing w:before="0" w:after="280" w:line="240" w:lineRule="auto"/>
        <w:ind w:left="0" w:right="0" w:firstLine="0"/>
        <w:jc w:val="left"/>
      </w:pPr>
      <w:bookmarkStart w:id="1471" w:name="bookmark1471"/>
      <w:bookmarkStart w:id="1472" w:name="bookmark1472"/>
      <w:bookmarkStart w:id="1473" w:name="bookmark1473"/>
      <w:r>
        <w:rPr>
          <w:color w:val="000000"/>
          <w:spacing w:val="0"/>
          <w:w w:val="100"/>
          <w:position w:val="0"/>
        </w:rPr>
        <w:t>七、</w:t>
        <w:tab/>
        <w:t>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471"/>
      <w:bookmarkEnd w:id="1472"/>
      <w:bookmarkEnd w:id="1473"/>
    </w:p>
    <w:p>
      <w:pPr>
        <w:pStyle w:val="Style97"/>
        <w:keepNext/>
        <w:keepLines/>
        <w:widowControl w:val="0"/>
        <w:shd w:val="clear" w:color="auto" w:fill="auto"/>
        <w:tabs>
          <w:tab w:pos="677" w:val="left"/>
        </w:tabs>
        <w:bidi w:val="0"/>
        <w:spacing w:before="0" w:after="280" w:line="240" w:lineRule="auto"/>
        <w:ind w:left="0" w:right="0" w:firstLine="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在子公司中的权益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474"/>
      <w:bookmarkEnd w:id="1475"/>
      <w:bookmarkEnd w:id="1476"/>
    </w:p>
    <w:p>
      <w:pPr>
        <w:pStyle w:val="Style97"/>
        <w:keepNext/>
        <w:keepLines/>
        <w:widowControl w:val="0"/>
        <w:shd w:val="clear" w:color="auto" w:fill="auto"/>
        <w:bidi w:val="0"/>
        <w:spacing w:before="0" w:after="280" w:line="240" w:lineRule="auto"/>
        <w:ind w:left="0" w:right="0" w:firstLine="72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sz w:val="24"/>
          <w:szCs w:val="24"/>
        </w:rPr>
        <w:t>(b)</w:t>
      </w:r>
      <w:r>
        <w:rPr>
          <w:color w:val="000000"/>
          <w:spacing w:val="0"/>
          <w:w w:val="100"/>
          <w:position w:val="0"/>
        </w:rPr>
        <w:t>重要的非全资子公司</w:t>
      </w:r>
      <w:bookmarkEnd w:id="1477"/>
      <w:bookmarkEnd w:id="1478"/>
      <w:bookmarkEnd w:id="1479"/>
    </w:p>
    <w:tbl>
      <w:tblPr>
        <w:tblOverlap w:val="never"/>
        <w:jc w:val="right"/>
        <w:tblLayout w:type="fixed"/>
      </w:tblPr>
      <w:tblGrid>
        <w:gridCol w:w="2674"/>
        <w:gridCol w:w="2059"/>
        <w:gridCol w:w="1603"/>
        <w:gridCol w:w="1622"/>
        <w:gridCol w:w="1421"/>
      </w:tblGrid>
      <w:tr>
        <w:trPr>
          <w:trHeight w:val="57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子公司名称</w:t>
            </w:r>
          </w:p>
        </w:tc>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少数股东享有的 </w:t>
            </w:r>
            <w:r>
              <w:rPr>
                <w:color w:val="000000"/>
                <w:spacing w:val="0"/>
                <w:w w:val="100"/>
                <w:position w:val="0"/>
                <w:sz w:val="18"/>
                <w:szCs w:val="18"/>
                <w:u w:val="single"/>
              </w:rPr>
              <w:t>权益比例</w:t>
            </w:r>
          </w:p>
        </w:tc>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本年归属于少数 </w:t>
            </w:r>
            <w:r>
              <w:rPr>
                <w:color w:val="000000"/>
                <w:spacing w:val="0"/>
                <w:w w:val="100"/>
                <w:position w:val="0"/>
                <w:sz w:val="18"/>
                <w:szCs w:val="18"/>
                <w:u w:val="single"/>
              </w:rPr>
              <w:t>股东的损益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本年向少数股东</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宣告分派的股利</w:t>
            </w:r>
          </w:p>
        </w:tc>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年末少数股东 </w:t>
            </w:r>
            <w:r>
              <w:rPr>
                <w:color w:val="000000"/>
                <w:spacing w:val="0"/>
                <w:w w:val="100"/>
                <w:position w:val="0"/>
                <w:sz w:val="18"/>
                <w:szCs w:val="18"/>
                <w:u w:val="single"/>
              </w:rPr>
              <w:t>权益余额</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联通红筹公司及其子公司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56.06%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8,110,725,773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4,871,734,282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186,993,198,366</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w:t>
            </w:r>
            <w:r>
              <w:rPr>
                <w:rFonts w:ascii="Times New Roman" w:eastAsia="Times New Roman" w:hAnsi="Times New Roman" w:cs="Times New Roman"/>
                <w:color w:val="000000"/>
                <w:spacing w:val="0"/>
                <w:w w:val="100"/>
                <w:position w:val="0"/>
                <w:sz w:val="18"/>
                <w:szCs w:val="18"/>
              </w:rPr>
              <w:t>BVI</w:t>
            </w:r>
            <w:r>
              <w:rPr>
                <w:color w:val="000000"/>
                <w:spacing w:val="0"/>
                <w:w w:val="100"/>
                <w:position w:val="0"/>
                <w:sz w:val="18"/>
                <w:szCs w:val="18"/>
              </w:rPr>
              <w:t>公司及其子公司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17.90%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8,110,720,885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4,871,734,282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186,993,203,055</w:t>
            </w:r>
          </w:p>
        </w:tc>
      </w:tr>
    </w:tbl>
    <w:p>
      <w:pPr>
        <w:widowControl w:val="0"/>
        <w:spacing w:after="219" w:line="1" w:lineRule="exact"/>
      </w:pPr>
    </w:p>
    <w:p>
      <w:pPr>
        <w:pStyle w:val="Style97"/>
        <w:keepNext/>
        <w:keepLines/>
        <w:widowControl w:val="0"/>
        <w:shd w:val="clear" w:color="auto" w:fill="auto"/>
        <w:tabs>
          <w:tab w:pos="1406" w:val="left"/>
        </w:tabs>
        <w:bidi w:val="0"/>
        <w:spacing w:before="0" w:after="0" w:line="326" w:lineRule="exact"/>
        <w:ind w:left="0" w:right="0" w:firstLine="720"/>
        <w:jc w:val="left"/>
        <w:rPr>
          <w:sz w:val="24"/>
          <w:szCs w:val="24"/>
        </w:rPr>
      </w:pPr>
      <w:bookmarkStart w:id="1480" w:name="bookmark1480"/>
      <w:bookmarkStart w:id="1481" w:name="bookmark1481"/>
      <w:bookmarkStart w:id="1482" w:name="bookmark1482"/>
      <w:r>
        <w:rPr>
          <w:color w:val="000000"/>
          <w:spacing w:val="0"/>
          <w:w w:val="100"/>
          <w:position w:val="0"/>
          <w:sz w:val="22"/>
          <w:szCs w:val="22"/>
        </w:rPr>
        <w:t>注：</w:t>
        <w:tab/>
        <w:t>本公司直接持有联通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w:t>
      </w:r>
      <w:r>
        <w:rPr>
          <w:rFonts w:ascii="Times New Roman" w:eastAsia="Times New Roman" w:hAnsi="Times New Roman" w:cs="Times New Roman"/>
          <w:color w:val="000000"/>
          <w:spacing w:val="0"/>
          <w:w w:val="100"/>
          <w:position w:val="0"/>
          <w:sz w:val="24"/>
          <w:szCs w:val="24"/>
        </w:rPr>
        <w:t>82.10%</w:t>
      </w:r>
      <w:r>
        <w:rPr>
          <w:color w:val="000000"/>
          <w:spacing w:val="0"/>
          <w:w w:val="100"/>
          <w:position w:val="0"/>
          <w:sz w:val="22"/>
          <w:szCs w:val="22"/>
        </w:rPr>
        <w:t>的股份。同时，如附注二</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所述，联通</w:t>
      </w:r>
      <w:r>
        <w:rPr>
          <w:rFonts w:ascii="Times New Roman" w:eastAsia="Times New Roman" w:hAnsi="Times New Roman" w:cs="Times New Roman"/>
          <w:color w:val="000000"/>
          <w:spacing w:val="0"/>
          <w:w w:val="100"/>
          <w:position w:val="0"/>
          <w:sz w:val="24"/>
          <w:szCs w:val="24"/>
        </w:rPr>
        <w:t>BVI</w:t>
      </w:r>
      <w:bookmarkEnd w:id="1480"/>
      <w:bookmarkEnd w:id="1481"/>
      <w:bookmarkEnd w:id="1482"/>
    </w:p>
    <w:p>
      <w:pPr>
        <w:pStyle w:val="Style97"/>
        <w:keepNext/>
        <w:keepLines/>
        <w:widowControl w:val="0"/>
        <w:shd w:val="clear" w:color="auto" w:fill="auto"/>
        <w:bidi w:val="0"/>
        <w:spacing w:before="0" w:after="280" w:line="326" w:lineRule="exact"/>
        <w:ind w:left="1440" w:right="0" w:firstLine="0"/>
        <w:jc w:val="left"/>
      </w:pPr>
      <w:bookmarkStart w:id="1483" w:name="bookmark1483"/>
      <w:bookmarkStart w:id="1484" w:name="bookmark1484"/>
      <w:bookmarkStart w:id="1485" w:name="bookmark1485"/>
      <w:r>
        <w:rPr>
          <w:color w:val="000000"/>
          <w:spacing w:val="0"/>
          <w:w w:val="100"/>
          <w:position w:val="0"/>
        </w:rPr>
        <w:t>公司直接持有联通红筹公司</w:t>
      </w:r>
      <w:r>
        <w:rPr>
          <w:rFonts w:ascii="Times New Roman" w:eastAsia="Times New Roman" w:hAnsi="Times New Roman" w:cs="Times New Roman"/>
          <w:color w:val="000000"/>
          <w:spacing w:val="0"/>
          <w:w w:val="100"/>
          <w:position w:val="0"/>
          <w:sz w:val="24"/>
          <w:szCs w:val="24"/>
        </w:rPr>
        <w:t>53.52%</w:t>
      </w:r>
      <w:r>
        <w:rPr>
          <w:color w:val="000000"/>
          <w:spacing w:val="0"/>
          <w:w w:val="100"/>
          <w:position w:val="0"/>
        </w:rPr>
        <w:t>的股份，并通过与联通集团</w:t>
      </w:r>
      <w:r>
        <w:rPr>
          <w:rFonts w:ascii="Times New Roman" w:eastAsia="Times New Roman" w:hAnsi="Times New Roman" w:cs="Times New Roman"/>
          <w:color w:val="000000"/>
          <w:spacing w:val="0"/>
          <w:w w:val="100"/>
          <w:position w:val="0"/>
          <w:sz w:val="24"/>
          <w:szCs w:val="24"/>
        </w:rPr>
        <w:t>BVI</w:t>
      </w:r>
      <w:r>
        <w:rPr>
          <w:color w:val="000000"/>
          <w:spacing w:val="0"/>
          <w:w w:val="100"/>
          <w:position w:val="0"/>
        </w:rPr>
        <w:t>公司签署《一 致行动方协议》控制联通红筹公司。</w:t>
      </w:r>
      <w:bookmarkEnd w:id="1483"/>
      <w:bookmarkEnd w:id="1484"/>
      <w:bookmarkEnd w:id="1485"/>
    </w:p>
    <w:p>
      <w:pPr>
        <w:pStyle w:val="Style97"/>
        <w:keepNext/>
        <w:keepLines/>
        <w:widowControl w:val="0"/>
        <w:numPr>
          <w:ilvl w:val="0"/>
          <w:numId w:val="141"/>
        </w:numPr>
        <w:shd w:val="clear" w:color="auto" w:fill="auto"/>
        <w:bidi w:val="0"/>
        <w:spacing w:before="0" w:after="280" w:line="312" w:lineRule="exact"/>
        <w:ind w:left="0" w:right="0" w:firstLine="72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重要非全资子公司的主要财务信息</w:t>
      </w:r>
      <w:bookmarkEnd w:id="1486"/>
      <w:bookmarkEnd w:id="1487"/>
      <w:bookmarkEnd w:id="1489"/>
    </w:p>
    <w:p>
      <w:pPr>
        <w:pStyle w:val="Style97"/>
        <w:keepNext/>
        <w:keepLines/>
        <w:widowControl w:val="0"/>
        <w:shd w:val="clear" w:color="auto" w:fill="auto"/>
        <w:bidi w:val="0"/>
        <w:spacing w:before="0" w:after="280" w:line="312" w:lineRule="exact"/>
        <w:ind w:left="720" w:right="0" w:firstLine="0"/>
        <w:jc w:val="left"/>
      </w:pPr>
      <w:bookmarkStart w:id="1490" w:name="bookmark1490"/>
      <w:bookmarkStart w:id="1491" w:name="bookmark1491"/>
      <w:bookmarkStart w:id="1492" w:name="bookmark1492"/>
      <w:r>
        <w:rPr>
          <w:color w:val="000000"/>
          <w:spacing w:val="0"/>
          <w:w w:val="100"/>
          <w:position w:val="0"/>
        </w:rPr>
        <w:t>下表列示了上述子公司的主要财务信息，这些子公司的主要财务信息是本集团内部交易抵 销前的金额，但是经过了合并日公允价值以及统一会计政策的调整：</w:t>
      </w:r>
      <w:bookmarkEnd w:id="1490"/>
      <w:bookmarkEnd w:id="1491"/>
      <w:bookmarkEnd w:id="1492"/>
    </w:p>
    <w:p>
      <w:pPr>
        <w:pStyle w:val="Style25"/>
        <w:keepNext w:val="0"/>
        <w:keepLines w:val="0"/>
        <w:widowControl w:val="0"/>
        <w:shd w:val="clear" w:color="auto" w:fill="auto"/>
        <w:bidi w:val="0"/>
        <w:spacing w:before="0" w:after="0" w:line="240" w:lineRule="auto"/>
        <w:ind w:left="5938" w:right="0" w:firstLine="0"/>
        <w:jc w:val="left"/>
        <w:rPr>
          <w:sz w:val="24"/>
          <w:szCs w:val="24"/>
        </w:rPr>
      </w:pPr>
      <w:r>
        <w:rPr>
          <w:color w:val="000000"/>
          <w:spacing w:val="0"/>
          <w:w w:val="100"/>
          <w:position w:val="0"/>
          <w:sz w:val="22"/>
          <w:szCs w:val="22"/>
        </w:rPr>
        <w:t>联通红筹公司及其子公司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w:t>
      </w:r>
    </w:p>
    <w:tbl>
      <w:tblPr>
        <w:tblOverlap w:val="never"/>
        <w:jc w:val="right"/>
        <w:tblLayout w:type="fixed"/>
      </w:tblPr>
      <w:tblGrid>
        <w:gridCol w:w="3830"/>
        <w:gridCol w:w="3715"/>
        <w:gridCol w:w="1858"/>
      </w:tblGrid>
      <w:tr>
        <w:trPr>
          <w:trHeight w:val="78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226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4"/>
                <w:szCs w:val="24"/>
              </w:rPr>
            </w:pPr>
            <w:r>
              <w:rPr>
                <w:rFonts w:ascii="Times New Roman" w:eastAsia="Times New Roman" w:hAnsi="Times New Roman" w:cs="Times New Roman"/>
                <w:color w:val="000000"/>
                <w:spacing w:val="0"/>
                <w:w w:val="100"/>
                <w:position w:val="0"/>
                <w:sz w:val="24"/>
                <w:szCs w:val="24"/>
              </w:rPr>
              <w:t>126,225,734,420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108,636,542,345</w:t>
            </w: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both"/>
              <w:rPr>
                <w:sz w:val="24"/>
                <w:szCs w:val="24"/>
              </w:rPr>
            </w:pPr>
            <w:r>
              <w:rPr>
                <w:rFonts w:ascii="Times New Roman" w:eastAsia="Times New Roman" w:hAnsi="Times New Roman" w:cs="Times New Roman"/>
                <w:color w:val="000000"/>
                <w:spacing w:val="0"/>
                <w:w w:val="100"/>
                <w:position w:val="0"/>
                <w:sz w:val="24"/>
                <w:szCs w:val="24"/>
              </w:rPr>
              <w:t>467,020,997,870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473,809,680,186</w:t>
            </w:r>
          </w:p>
        </w:tc>
      </w:tr>
      <w:tr>
        <w:trPr>
          <w:trHeight w:val="47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both"/>
              <w:rPr>
                <w:sz w:val="24"/>
                <w:szCs w:val="24"/>
              </w:rPr>
            </w:pPr>
            <w:r>
              <w:rPr>
                <w:rFonts w:ascii="Times New Roman" w:eastAsia="Times New Roman" w:hAnsi="Times New Roman" w:cs="Times New Roman"/>
                <w:color w:val="000000"/>
                <w:spacing w:val="0"/>
                <w:w w:val="100"/>
                <w:position w:val="0"/>
                <w:sz w:val="24"/>
                <w:szCs w:val="24"/>
                <w:u w:val="single"/>
              </w:rPr>
              <w:t>593,246,732,290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582,446,222,531</w:t>
            </w:r>
          </w:p>
        </w:tc>
      </w:tr>
      <w:tr>
        <w:trPr>
          <w:trHeight w:val="4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4"/>
                <w:szCs w:val="24"/>
              </w:rPr>
            </w:pPr>
            <w:r>
              <w:rPr>
                <w:rFonts w:ascii="Times New Roman" w:eastAsia="Times New Roman" w:hAnsi="Times New Roman" w:cs="Times New Roman"/>
                <w:color w:val="000000"/>
                <w:spacing w:val="0"/>
                <w:w w:val="100"/>
                <w:position w:val="0"/>
                <w:sz w:val="24"/>
                <w:szCs w:val="24"/>
              </w:rPr>
              <w:t>236,184,873,186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222,027,414,797</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非流动负债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22,679,341,238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31,801,594,864</w:t>
            </w:r>
          </w:p>
        </w:tc>
      </w:tr>
      <w:tr>
        <w:trPr>
          <w:trHeight w:val="45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负债合计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both"/>
              <w:rPr>
                <w:sz w:val="24"/>
                <w:szCs w:val="24"/>
              </w:rPr>
            </w:pPr>
            <w:r>
              <w:rPr>
                <w:rFonts w:ascii="Times New Roman" w:eastAsia="Times New Roman" w:hAnsi="Times New Roman" w:cs="Times New Roman"/>
                <w:color w:val="000000"/>
                <w:spacing w:val="0"/>
                <w:w w:val="100"/>
                <w:position w:val="0"/>
                <w:sz w:val="24"/>
                <w:szCs w:val="24"/>
                <w:u w:val="single"/>
              </w:rPr>
              <w:t>258,864,214,424</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253,829,009,661</w:t>
            </w:r>
          </w:p>
        </w:tc>
      </w:tr>
      <w:tr>
        <w:trPr>
          <w:trHeight w:val="60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6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4"/>
                <w:szCs w:val="24"/>
              </w:rPr>
            </w:pPr>
            <w:r>
              <w:rPr>
                <w:rFonts w:ascii="Times New Roman" w:eastAsia="Times New Roman" w:hAnsi="Times New Roman" w:cs="Times New Roman"/>
                <w:color w:val="000000"/>
                <w:spacing w:val="0"/>
                <w:w w:val="100"/>
                <w:position w:val="0"/>
                <w:sz w:val="24"/>
                <w:szCs w:val="24"/>
              </w:rPr>
              <w:t>327,854,494,119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303,838,070,591</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14,358,447,445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12,426,368,036</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其他综合收益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(27,133,071)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(1,705,820,293)</w:t>
            </w:r>
          </w:p>
        </w:tc>
      </w:tr>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综合收益总额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14,331,314,374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10,720,547,743</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经营活动现金流量</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both"/>
              <w:rPr>
                <w:sz w:val="24"/>
                <w:szCs w:val="24"/>
              </w:rPr>
            </w:pPr>
            <w:r>
              <w:rPr>
                <w:rFonts w:ascii="Times New Roman" w:eastAsia="Times New Roman" w:hAnsi="Times New Roman" w:cs="Times New Roman"/>
                <w:color w:val="000000"/>
                <w:spacing w:val="0"/>
                <w:w w:val="100"/>
                <w:position w:val="0"/>
                <w:sz w:val="24"/>
                <w:szCs w:val="24"/>
                <w:u w:val="single"/>
              </w:rPr>
              <w:t>112,017,782,090</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107,381,163,376</w:t>
            </w:r>
          </w:p>
        </w:tc>
      </w:tr>
    </w:tbl>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 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公司并未开展实质业务，故此处仅列示联通红筹公司相关信息。</w:t>
      </w:r>
      <w:r>
        <w:br w:type="page"/>
      </w:r>
    </w:p>
    <w:p>
      <w:pPr>
        <w:pStyle w:val="Style97"/>
        <w:keepNext/>
        <w:keepLines/>
        <w:widowControl w:val="0"/>
        <w:shd w:val="clear" w:color="auto" w:fill="auto"/>
        <w:bidi w:val="0"/>
        <w:spacing w:before="0" w:after="40" w:line="240" w:lineRule="auto"/>
        <w:ind w:left="0" w:right="0" w:firstLine="0"/>
        <w:jc w:val="left"/>
      </w:pPr>
      <w:bookmarkStart w:id="1493" w:name="bookmark1493"/>
      <w:bookmarkStart w:id="1494" w:name="bookmark1494"/>
      <w:bookmarkStart w:id="1495" w:name="bookmark1495"/>
      <w:r>
        <w:rPr>
          <w:color w:val="000000"/>
          <w:spacing w:val="0"/>
          <w:w w:val="100"/>
          <w:position w:val="0"/>
        </w:rPr>
        <w:t>财务报表附注</w:t>
      </w:r>
      <w:bookmarkEnd w:id="1493"/>
      <w:bookmarkEnd w:id="1494"/>
      <w:bookmarkEnd w:id="1495"/>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60" w:line="240" w:lineRule="auto"/>
        <w:ind w:left="0" w:right="0" w:firstLine="0"/>
        <w:jc w:val="left"/>
        <w:rPr>
          <w:sz w:val="24"/>
          <w:szCs w:val="24"/>
        </w:rPr>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496"/>
      <w:bookmarkEnd w:id="1497"/>
      <w:bookmarkEnd w:id="1498"/>
    </w:p>
    <w:p>
      <w:pPr>
        <w:pStyle w:val="Style25"/>
        <w:keepNext w:val="0"/>
        <w:keepLines w:val="0"/>
        <w:widowControl w:val="0"/>
        <w:shd w:val="clear" w:color="auto" w:fill="auto"/>
        <w:bidi w:val="0"/>
        <w:spacing w:before="0" w:after="0" w:line="240" w:lineRule="auto"/>
        <w:ind w:left="5" w:right="0" w:firstLine="0"/>
        <w:jc w:val="left"/>
        <w:rPr>
          <w:sz w:val="22"/>
          <w:szCs w:val="22"/>
        </w:rPr>
      </w:pPr>
      <w:r>
        <w:rPr>
          <w:color w:val="000000"/>
          <w:spacing w:val="0"/>
          <w:w w:val="100"/>
          <w:position w:val="0"/>
          <w:sz w:val="22"/>
          <w:szCs w:val="22"/>
        </w:rPr>
        <w:t>七、 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bl>
      <w:tblPr>
        <w:tblOverlap w:val="never"/>
        <w:jc w:val="center"/>
        <w:tblLayout w:type="fixed"/>
      </w:tblPr>
      <w:tblGrid>
        <w:gridCol w:w="480"/>
        <w:gridCol w:w="4896"/>
        <w:gridCol w:w="3005"/>
        <w:gridCol w:w="1766"/>
      </w:tblGrid>
      <w:tr>
        <w:trPr>
          <w:trHeight w:val="43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r>
          </w:p>
        </w:tc>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在合营企业或联营企业中的权益</w:t>
            </w:r>
          </w:p>
        </w:tc>
      </w:tr>
      <w:tr>
        <w:trPr>
          <w:trHeight w:val="167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260"/>
              <w:jc w:val="left"/>
              <w:rPr>
                <w:sz w:val="22"/>
                <w:szCs w:val="22"/>
              </w:rPr>
            </w:pPr>
            <w:r>
              <w:rPr>
                <w:color w:val="000000"/>
                <w:spacing w:val="0"/>
                <w:w w:val="100"/>
                <w:position w:val="0"/>
                <w:sz w:val="22"/>
                <w:szCs w:val="22"/>
              </w:rPr>
              <w:t>合营企业</w:t>
            </w:r>
          </w:p>
          <w:p>
            <w:pPr>
              <w:pStyle w:val="Style22"/>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重要的合营企业</w:t>
            </w:r>
          </w:p>
        </w:tc>
        <w:tc>
          <w:tcPr>
            <w:tcBorders/>
            <w:shd w:val="clear" w:color="auto" w:fill="FFFFFF"/>
            <w:vAlign w:val="bottom"/>
          </w:tcPr>
          <w:p>
            <w:pPr>
              <w:pStyle w:val="Style22"/>
              <w:keepNext w:val="0"/>
              <w:keepLines w:val="0"/>
              <w:widowControl w:val="0"/>
              <w:shd w:val="clear" w:color="auto" w:fill="auto"/>
              <w:bidi w:val="0"/>
              <w:spacing w:before="0" w:after="620" w:line="312" w:lineRule="exact"/>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p>
            <w:pPr>
              <w:pStyle w:val="Style22"/>
              <w:keepNext w:val="0"/>
              <w:keepLines w:val="0"/>
              <w:widowControl w:val="0"/>
              <w:shd w:val="clear" w:color="auto" w:fill="auto"/>
              <w:bidi w:val="0"/>
              <w:spacing w:before="0" w:after="0" w:line="271"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7,018,819,895</w:t>
            </w:r>
          </w:p>
        </w:tc>
        <w:tc>
          <w:tcPr>
            <w:tcBorders/>
            <w:shd w:val="clear" w:color="auto" w:fill="FFFFFF"/>
            <w:vAlign w:val="bottom"/>
          </w:tcPr>
          <w:p>
            <w:pPr>
              <w:pStyle w:val="Style22"/>
              <w:keepNext w:val="0"/>
              <w:keepLines w:val="0"/>
              <w:widowControl w:val="0"/>
              <w:shd w:val="clear" w:color="auto" w:fill="auto"/>
              <w:bidi w:val="0"/>
              <w:spacing w:before="0" w:after="620" w:line="312" w:lineRule="exact"/>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p>
            <w:pPr>
              <w:pStyle w:val="Style22"/>
              <w:keepNext w:val="0"/>
              <w:keepLines w:val="0"/>
              <w:widowControl w:val="0"/>
              <w:shd w:val="clear" w:color="auto" w:fill="auto"/>
              <w:bidi w:val="0"/>
              <w:spacing w:before="0" w:after="0" w:line="271"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5,513,817,365</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不重要的合营企业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119,231,780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142,651,635</w:t>
            </w:r>
          </w:p>
        </w:tc>
      </w:tr>
      <w:tr>
        <w:trPr>
          <w:trHeight w:val="62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260"/>
              <w:jc w:val="left"/>
              <w:rPr>
                <w:sz w:val="22"/>
                <w:szCs w:val="22"/>
              </w:rPr>
            </w:pPr>
            <w:r>
              <w:rPr>
                <w:color w:val="000000"/>
                <w:spacing w:val="0"/>
                <w:w w:val="100"/>
                <w:position w:val="0"/>
                <w:sz w:val="22"/>
                <w:szCs w:val="22"/>
              </w:rPr>
              <w:t>联营企业</w:t>
            </w:r>
          </w:p>
          <w:p>
            <w:pPr>
              <w:pStyle w:val="Style22"/>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重要的联营企业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38,101,243,995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37,198,018,313</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不重要的联营企业</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3,183,059,892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1,609,659,417</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小计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48,422,355,562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44,464,146,730</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减：减值准备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5,958,090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5,958,090</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48,416,397,472</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44,458,188,640</w:t>
            </w:r>
          </w:p>
        </w:tc>
      </w:tr>
      <w:tr>
        <w:trPr>
          <w:trHeight w:val="2654" w:hRule="exact"/>
        </w:trPr>
        <w:tc>
          <w:tcPr>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shd w:val="clear" w:color="auto" w:fill="FFFFFF"/>
            <w:vAlign w:val="bottom"/>
          </w:tcPr>
          <w:p>
            <w:pPr>
              <w:pStyle w:val="Style22"/>
              <w:keepNext w:val="0"/>
              <w:keepLines w:val="0"/>
              <w:widowControl w:val="0"/>
              <w:shd w:val="clear" w:color="auto" w:fill="auto"/>
              <w:bidi w:val="0"/>
              <w:spacing w:before="0" w:after="1920" w:line="240" w:lineRule="auto"/>
              <w:ind w:left="0" w:right="0" w:firstLine="260"/>
              <w:jc w:val="left"/>
              <w:rPr>
                <w:sz w:val="22"/>
                <w:szCs w:val="22"/>
              </w:rPr>
            </w:pPr>
            <w:r>
              <w:rPr>
                <w:color w:val="000000"/>
                <w:spacing w:val="0"/>
                <w:w w:val="100"/>
                <w:position w:val="0"/>
                <w:sz w:val="22"/>
                <w:szCs w:val="22"/>
              </w:rPr>
              <w:t>重要合营企业的主要财务信息：</w:t>
            </w:r>
          </w:p>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资产合计</w:t>
            </w:r>
          </w:p>
        </w:tc>
        <w:tc>
          <w:tcPr>
            <w:gridSpan w:val="2"/>
            <w:tcBorders/>
            <w:shd w:val="clear" w:color="auto" w:fill="FFFFFF"/>
            <w:vAlign w:val="bottom"/>
          </w:tcPr>
          <w:p>
            <w:pPr>
              <w:pStyle w:val="Style22"/>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rPr>
              <w:t>合营企业</w:t>
            </w:r>
          </w:p>
          <w:p>
            <w:pPr>
              <w:pStyle w:val="Style22"/>
              <w:keepNext w:val="0"/>
              <w:keepLines w:val="0"/>
              <w:widowControl w:val="0"/>
              <w:shd w:val="clear" w:color="auto" w:fill="auto"/>
              <w:bidi w:val="0"/>
              <w:spacing w:before="0" w:after="40" w:line="240" w:lineRule="auto"/>
              <w:ind w:left="0" w:right="0" w:firstLine="0"/>
              <w:jc w:val="center"/>
              <w:rPr>
                <w:sz w:val="22"/>
                <w:szCs w:val="22"/>
              </w:rPr>
            </w:pPr>
            <w:r>
              <w:rPr>
                <w:color w:val="000000"/>
                <w:spacing w:val="0"/>
                <w:w w:val="100"/>
                <w:position w:val="0"/>
                <w:sz w:val="22"/>
                <w:szCs w:val="22"/>
                <w:u w:val="single"/>
              </w:rPr>
              <w:t>招联消费金融有限公司</w:t>
            </w:r>
          </w:p>
          <w:p>
            <w:pPr>
              <w:pStyle w:val="Style22"/>
              <w:keepNext w:val="0"/>
              <w:keepLines w:val="0"/>
              <w:widowControl w:val="0"/>
              <w:shd w:val="clear" w:color="auto" w:fill="auto"/>
              <w:tabs>
                <w:tab w:pos="3503" w:val="left"/>
              </w:tabs>
              <w:bidi w:val="0"/>
              <w:spacing w:before="0" w:after="40" w:line="240" w:lineRule="auto"/>
              <w:ind w:left="166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tab/>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tabs>
                <w:tab w:pos="3323" w:val="left"/>
              </w:tabs>
              <w:bidi w:val="0"/>
              <w:spacing w:before="0" w:after="300" w:line="240" w:lineRule="auto"/>
              <w:ind w:left="148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tab/>
            </w: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p>
            <w:pPr>
              <w:pStyle w:val="Style22"/>
              <w:keepNext w:val="0"/>
              <w:keepLines w:val="0"/>
              <w:widowControl w:val="0"/>
              <w:shd w:val="clear" w:color="auto" w:fill="auto"/>
              <w:tabs>
                <w:tab w:pos="3083" w:val="left"/>
              </w:tabs>
              <w:bidi w:val="0"/>
              <w:spacing w:before="0" w:after="8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149,698,349,030</w:t>
              <w:tab/>
              <w:t>108,311,481,833</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负债合计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135,660,709,239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97,283,847,104</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净资产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14,037,639,791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11,027,634,729</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对合营企业投资的账面价值</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7,018,819,895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5,513,817,365</w:t>
            </w:r>
          </w:p>
        </w:tc>
      </w:tr>
      <w:tr>
        <w:trPr>
          <w:trHeight w:val="105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营业收入</w:t>
            </w:r>
          </w:p>
        </w:tc>
        <w:tc>
          <w:tcPr>
            <w:tcBorders/>
            <w:shd w:val="clear" w:color="auto" w:fill="FFFFFF"/>
            <w:vAlign w:val="bottom"/>
          </w:tcPr>
          <w:p>
            <w:pPr>
              <w:pStyle w:val="Style22"/>
              <w:keepNext w:val="0"/>
              <w:keepLines w:val="0"/>
              <w:widowControl w:val="0"/>
              <w:shd w:val="clear" w:color="auto" w:fill="auto"/>
              <w:bidi w:val="0"/>
              <w:spacing w:before="0" w:after="32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p>
            <w:pPr>
              <w:pStyle w:val="Style22"/>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15,933,244,954</w:t>
            </w:r>
          </w:p>
        </w:tc>
        <w:tc>
          <w:tcPr>
            <w:tcBorders/>
            <w:shd w:val="clear" w:color="auto" w:fill="FFFFFF"/>
            <w:vAlign w:val="bottom"/>
          </w:tcPr>
          <w:p>
            <w:pPr>
              <w:pStyle w:val="Style22"/>
              <w:keepNext w:val="0"/>
              <w:keepLines w:val="0"/>
              <w:widowControl w:val="0"/>
              <w:shd w:val="clear" w:color="auto" w:fill="auto"/>
              <w:bidi w:val="0"/>
              <w:spacing w:before="0" w:after="32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p>
            <w:pPr>
              <w:pStyle w:val="Style22"/>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12,816,333,855</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3,063,275,563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1,667,928,415</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其他综合收益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综合收益总额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rPr>
                <w:sz w:val="24"/>
                <w:szCs w:val="24"/>
              </w:rPr>
            </w:pPr>
            <w:r>
              <w:rPr>
                <w:rFonts w:ascii="Times New Roman" w:eastAsia="Times New Roman" w:hAnsi="Times New Roman" w:cs="Times New Roman"/>
                <w:color w:val="000000"/>
                <w:spacing w:val="0"/>
                <w:w w:val="100"/>
                <w:position w:val="0"/>
                <w:sz w:val="24"/>
                <w:szCs w:val="24"/>
              </w:rPr>
              <w:t>3,063,275,563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1,667,928,415</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本年收到的来自合营企业的股利</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bl>
    <w:p>
      <w:pPr>
        <w:spacing w:lineRule="exact" w:line="1"/>
        <w:rPr>
          <w:sz w:val="2"/>
          <w:szCs w:val="2"/>
        </w:rPr>
      </w:pPr>
      <w:r>
        <w:br w:type="page"/>
      </w:r>
    </w:p>
    <w:p>
      <w:pPr>
        <w:pStyle w:val="Style97"/>
        <w:keepNext/>
        <w:keepLines/>
        <w:widowControl w:val="0"/>
        <w:shd w:val="clear" w:color="auto" w:fill="auto"/>
        <w:bidi w:val="0"/>
        <w:spacing w:before="0" w:after="40" w:line="240" w:lineRule="auto"/>
        <w:ind w:left="0" w:right="0" w:firstLine="0"/>
        <w:jc w:val="left"/>
      </w:pPr>
      <w:bookmarkStart w:id="1499" w:name="bookmark1499"/>
      <w:bookmarkStart w:id="1500" w:name="bookmark1500"/>
      <w:bookmarkStart w:id="1501" w:name="bookmark1501"/>
      <w:r>
        <w:rPr>
          <w:color w:val="000000"/>
          <w:spacing w:val="0"/>
          <w:w w:val="100"/>
          <w:position w:val="0"/>
        </w:rPr>
        <w:t>财务报表附注</w:t>
      </w:r>
      <w:bookmarkEnd w:id="1499"/>
      <w:bookmarkEnd w:id="1500"/>
      <w:bookmarkEnd w:id="1501"/>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502"/>
      <w:bookmarkEnd w:id="1503"/>
      <w:bookmarkEnd w:id="1504"/>
    </w:p>
    <w:p>
      <w:pPr>
        <w:pStyle w:val="Style97"/>
        <w:keepNext/>
        <w:keepLines/>
        <w:widowControl w:val="0"/>
        <w:shd w:val="clear" w:color="auto" w:fill="auto"/>
        <w:bidi w:val="0"/>
        <w:spacing w:before="0" w:after="300" w:line="240" w:lineRule="auto"/>
        <w:ind w:left="0" w:right="0" w:firstLine="0"/>
        <w:jc w:val="left"/>
      </w:pPr>
      <w:bookmarkStart w:id="1505" w:name="bookmark1505"/>
      <w:bookmarkStart w:id="1506" w:name="bookmark1506"/>
      <w:bookmarkStart w:id="1507" w:name="bookmark1507"/>
      <w:r>
        <w:rPr>
          <w:color w:val="000000"/>
          <w:spacing w:val="0"/>
          <w:w w:val="100"/>
          <w:position w:val="0"/>
        </w:rPr>
        <w:t>七、 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505"/>
      <w:bookmarkEnd w:id="1506"/>
      <w:bookmarkEnd w:id="1507"/>
    </w:p>
    <w:p>
      <w:pPr>
        <w:pStyle w:val="Style97"/>
        <w:keepNext/>
        <w:keepLines/>
        <w:widowControl w:val="0"/>
        <w:shd w:val="clear" w:color="auto" w:fill="auto"/>
        <w:tabs>
          <w:tab w:pos="713" w:val="left"/>
        </w:tabs>
        <w:bidi w:val="0"/>
        <w:spacing w:before="0" w:after="300" w:line="240" w:lineRule="auto"/>
        <w:ind w:left="0" w:right="0" w:firstLine="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重要联营企业的主要财务信息:</w:t>
      </w:r>
      <w:bookmarkEnd w:id="1508"/>
      <w:bookmarkEnd w:id="1509"/>
      <w:bookmarkEnd w:id="1510"/>
    </w:p>
    <w:p>
      <w:pPr>
        <w:pStyle w:val="Style25"/>
        <w:keepNext w:val="0"/>
        <w:keepLines w:val="0"/>
        <w:widowControl w:val="0"/>
        <w:shd w:val="clear" w:color="auto" w:fill="auto"/>
        <w:bidi w:val="0"/>
        <w:spacing w:before="0" w:after="0" w:line="240" w:lineRule="auto"/>
        <w:ind w:left="6979" w:right="0" w:firstLine="0"/>
        <w:jc w:val="left"/>
        <w:rPr>
          <w:sz w:val="22"/>
          <w:szCs w:val="22"/>
        </w:rPr>
      </w:pPr>
      <w:r>
        <w:rPr>
          <w:color w:val="000000"/>
          <w:spacing w:val="0"/>
          <w:w w:val="100"/>
          <w:position w:val="0"/>
          <w:sz w:val="22"/>
          <w:szCs w:val="22"/>
        </w:rPr>
        <w:t>联营企业</w:t>
      </w:r>
    </w:p>
    <w:tbl>
      <w:tblPr>
        <w:tblOverlap w:val="never"/>
        <w:jc w:val="right"/>
        <w:tblLayout w:type="fixed"/>
      </w:tblPr>
      <w:tblGrid>
        <w:gridCol w:w="5035"/>
        <w:gridCol w:w="2515"/>
        <w:gridCol w:w="1853"/>
      </w:tblGrid>
      <w:tr>
        <w:trPr>
          <w:trHeight w:val="346" w:hRule="exact"/>
        </w:trPr>
        <w:tc>
          <w:tcPr>
            <w:vMerge w:val="restart"/>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铁塔公司</w:t>
            </w:r>
          </w:p>
        </w:tc>
      </w:tr>
      <w:tr>
        <w:trPr>
          <w:trHeight w:val="773" w:hRule="exact"/>
        </w:trPr>
        <w:tc>
          <w:tcPr>
            <w:vMerge/>
            <w:tcBorders/>
            <w:shd w:val="clear" w:color="auto" w:fill="FFFFFF"/>
            <w:vAlign w:val="top"/>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6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48,344,639,617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43,204,189,287</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274,915,235,349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24"/>
                <w:szCs w:val="24"/>
              </w:rPr>
            </w:pPr>
            <w:r>
              <w:rPr>
                <w:rFonts w:ascii="Times New Roman" w:eastAsia="Times New Roman" w:hAnsi="Times New Roman" w:cs="Times New Roman"/>
                <w:color w:val="000000"/>
                <w:spacing w:val="0"/>
                <w:w w:val="100"/>
                <w:position w:val="0"/>
                <w:sz w:val="24"/>
                <w:szCs w:val="24"/>
              </w:rPr>
              <w:t>294,176,336,453</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资产合计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323,259,874,966</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24"/>
                <w:szCs w:val="24"/>
              </w:rPr>
            </w:pPr>
            <w:r>
              <w:rPr>
                <w:rFonts w:ascii="Times New Roman" w:eastAsia="Times New Roman" w:hAnsi="Times New Roman" w:cs="Times New Roman"/>
                <w:color w:val="000000"/>
                <w:spacing w:val="0"/>
                <w:w w:val="100"/>
                <w:position w:val="0"/>
                <w:sz w:val="24"/>
                <w:szCs w:val="24"/>
              </w:rPr>
              <w:t>337,380,525,740</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流动负债</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76,181,717,439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24"/>
                <w:szCs w:val="24"/>
              </w:rPr>
            </w:pPr>
            <w:r>
              <w:rPr>
                <w:rFonts w:ascii="Times New Roman" w:eastAsia="Times New Roman" w:hAnsi="Times New Roman" w:cs="Times New Roman"/>
                <w:color w:val="000000"/>
                <w:spacing w:val="0"/>
                <w:w w:val="100"/>
                <w:position w:val="0"/>
                <w:sz w:val="24"/>
                <w:szCs w:val="24"/>
              </w:rPr>
              <w:t>106,635,491,845</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57,721,666,039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44,499,138,513</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负债合计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133,903,383,478</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24"/>
                <w:szCs w:val="24"/>
              </w:rPr>
            </w:pPr>
            <w:r>
              <w:rPr>
                <w:rFonts w:ascii="Times New Roman" w:eastAsia="Times New Roman" w:hAnsi="Times New Roman" w:cs="Times New Roman"/>
                <w:color w:val="000000"/>
                <w:spacing w:val="0"/>
                <w:w w:val="100"/>
                <w:position w:val="0"/>
                <w:sz w:val="24"/>
                <w:szCs w:val="24"/>
              </w:rPr>
              <w:t>151,134,630,358</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净资产</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189,356,491,488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24"/>
                <w:szCs w:val="24"/>
              </w:rPr>
            </w:pPr>
            <w:r>
              <w:rPr>
                <w:rFonts w:ascii="Times New Roman" w:eastAsia="Times New Roman" w:hAnsi="Times New Roman" w:cs="Times New Roman"/>
                <w:color w:val="000000"/>
                <w:spacing w:val="0"/>
                <w:w w:val="100"/>
                <w:position w:val="0"/>
                <w:sz w:val="24"/>
                <w:szCs w:val="24"/>
              </w:rPr>
              <w:t>186,245,895,382</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调整为本集团对联营企业权益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39,102,404,689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38,459,777,396</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递延实现的本集团出售铁塔资产收益调整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(1,001,160,694)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(1,261,759,083)</w:t>
            </w:r>
          </w:p>
        </w:tc>
      </w:tr>
      <w:tr>
        <w:trPr>
          <w:trHeight w:val="45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对联营企业投资的账面价值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38,101,243,995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37,198,018,313</w:t>
            </w:r>
          </w:p>
        </w:tc>
      </w:tr>
      <w:tr>
        <w:trPr>
          <w:trHeight w:val="60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86,584,686,184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81,098,616,211</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7,328,758,851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6,426,679,266</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其他综合收益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(868,038)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综合收益总额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7,327,890,813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6,426,679,266</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本年收到的来自联营企业的股利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812,329,453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528,831,926</w:t>
            </w:r>
          </w:p>
        </w:tc>
      </w:tr>
    </w:tbl>
    <w:p>
      <w:pPr>
        <w:widowControl w:val="0"/>
        <w:spacing w:after="499" w:line="1" w:lineRule="exact"/>
      </w:pPr>
    </w:p>
    <w:p>
      <w:pPr>
        <w:pStyle w:val="Style97"/>
        <w:keepNext/>
        <w:keepLines/>
        <w:widowControl w:val="0"/>
        <w:shd w:val="clear" w:color="auto" w:fill="auto"/>
        <w:bidi w:val="0"/>
        <w:spacing w:before="0" w:after="300" w:line="314" w:lineRule="exact"/>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八</w:t>
      </w:r>
      <w:bookmarkEnd w:id="1513"/>
      <w:r>
        <w:rPr>
          <w:color w:val="000000"/>
          <w:spacing w:val="0"/>
          <w:w w:val="100"/>
          <w:position w:val="0"/>
        </w:rPr>
        <w:t>、金融工具及其风险</w:t>
      </w:r>
      <w:bookmarkEnd w:id="1511"/>
      <w:bookmarkEnd w:id="1512"/>
      <w:bookmarkEnd w:id="1514"/>
    </w:p>
    <w:p>
      <w:pPr>
        <w:pStyle w:val="Style97"/>
        <w:keepNext/>
        <w:keepLines/>
        <w:widowControl w:val="0"/>
        <w:shd w:val="clear" w:color="auto" w:fill="auto"/>
        <w:tabs>
          <w:tab w:pos="713" w:val="left"/>
        </w:tabs>
        <w:bidi w:val="0"/>
        <w:spacing w:before="0" w:after="200" w:line="276" w:lineRule="auto"/>
        <w:ind w:left="0" w:right="0" w:firstLine="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金融风险因素</w:t>
      </w:r>
      <w:bookmarkEnd w:id="1515"/>
      <w:bookmarkEnd w:id="1516"/>
      <w:bookmarkEnd w:id="1517"/>
    </w:p>
    <w:p>
      <w:pPr>
        <w:pStyle w:val="Style97"/>
        <w:keepNext/>
        <w:keepLines/>
        <w:widowControl w:val="0"/>
        <w:shd w:val="clear" w:color="auto" w:fill="auto"/>
        <w:bidi w:val="0"/>
        <w:spacing w:before="0" w:after="300" w:line="314" w:lineRule="exact"/>
        <w:ind w:left="740" w:right="0" w:firstLine="0"/>
        <w:jc w:val="both"/>
      </w:pPr>
      <w:bookmarkStart w:id="1518" w:name="bookmark1518"/>
      <w:bookmarkStart w:id="1519" w:name="bookmark1519"/>
      <w:bookmarkStart w:id="1520" w:name="bookmark1520"/>
      <w:r>
        <w:rPr>
          <w:color w:val="000000"/>
          <w:spacing w:val="0"/>
          <w:w w:val="100"/>
          <w:position w:val="0"/>
        </w:rPr>
        <w:t>本集团的经营活动会涉及各种金融风险，包括：市场风险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包括外汇风险、价格风险、现金 流量利率风险及公允价值利率风险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，信用风险和流动性风险。本集团整体风险管理计划是 针对金融市场的不可预见性，尽可能减少对本集团财务业绩的潜在不利影响。</w:t>
      </w:r>
      <w:bookmarkEnd w:id="1518"/>
      <w:bookmarkEnd w:id="1519"/>
      <w:bookmarkEnd w:id="1520"/>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4" w:val="left"/>
        </w:tabs>
        <w:bidi w:val="0"/>
        <w:spacing w:before="0" w:after="280" w:line="312" w:lineRule="exact"/>
        <w:ind w:left="0" w:right="0" w:firstLine="0"/>
        <w:jc w:val="both"/>
        <w:rPr>
          <w:sz w:val="22"/>
          <w:szCs w:val="22"/>
        </w:rPr>
      </w:pPr>
      <w:bookmarkStart w:id="1521" w:name="bookmark1521"/>
      <w:r>
        <w:rPr>
          <w:color w:val="000000"/>
          <w:spacing w:val="0"/>
          <w:w w:val="100"/>
          <w:position w:val="0"/>
          <w:sz w:val="22"/>
          <w:szCs w:val="22"/>
        </w:rPr>
        <w:t>八</w:t>
      </w:r>
      <w:bookmarkEnd w:id="1521"/>
      <w:r>
        <w:rPr>
          <w:color w:val="000000"/>
          <w:spacing w:val="0"/>
          <w:w w:val="100"/>
          <w:position w:val="0"/>
          <w:sz w:val="22"/>
          <w:szCs w:val="22"/>
        </w:rPr>
        <w:t>、</w:t>
        <w:tab/>
        <w:t>金融工具及其风险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4" w:val="left"/>
        </w:tabs>
        <w:bidi w:val="0"/>
        <w:spacing w:before="0" w:after="280" w:line="312" w:lineRule="exact"/>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金融风险因素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271" w:lineRule="auto"/>
        <w:ind w:left="720" w:right="0" w:firstLine="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市场风险</w:t>
      </w:r>
    </w:p>
    <w:p>
      <w:pPr>
        <w:pStyle w:val="Style5"/>
        <w:keepNext w:val="0"/>
        <w:keepLines w:val="0"/>
        <w:widowControl w:val="0"/>
        <w:shd w:val="clear" w:color="auto" w:fill="auto"/>
        <w:bidi w:val="0"/>
        <w:spacing w:before="0" w:after="220" w:line="271" w:lineRule="auto"/>
        <w:ind w:left="720" w:right="0" w:firstLine="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汇率风险</w:t>
      </w:r>
    </w:p>
    <w:p>
      <w:pPr>
        <w:pStyle w:val="Style5"/>
        <w:keepNext w:val="0"/>
        <w:keepLines w:val="0"/>
        <w:widowControl w:val="0"/>
        <w:shd w:val="clear" w:color="auto" w:fill="auto"/>
        <w:bidi w:val="0"/>
        <w:spacing w:before="0" w:after="280" w:line="312" w:lineRule="exact"/>
        <w:ind w:left="720" w:right="0" w:firstLine="0"/>
        <w:jc w:val="both"/>
        <w:rPr>
          <w:sz w:val="22"/>
          <w:szCs w:val="22"/>
        </w:rPr>
      </w:pPr>
      <w:r>
        <w:rPr>
          <w:color w:val="000000"/>
          <w:spacing w:val="0"/>
          <w:w w:val="100"/>
          <w:position w:val="0"/>
          <w:sz w:val="22"/>
          <w:szCs w:val="22"/>
        </w:rPr>
        <w:t>本集团的主要经营位于中国境内，主要业务也以人民币结算。但本集团承受因多种不同货 币产生的外汇风险，主要涉及美元、港币和欧元等，如以外币支付款项予设备供货商和承 办商或贷款人等情况下，即存在外汇风险。</w:t>
      </w:r>
    </w:p>
    <w:p>
      <w:pPr>
        <w:pStyle w:val="Style5"/>
        <w:keepNext w:val="0"/>
        <w:keepLines w:val="0"/>
        <w:widowControl w:val="0"/>
        <w:shd w:val="clear" w:color="auto" w:fill="auto"/>
        <w:bidi w:val="0"/>
        <w:spacing w:before="0" w:after="280" w:line="293" w:lineRule="exact"/>
        <w:ind w:left="720" w:right="0" w:firstLine="0"/>
        <w:jc w:val="both"/>
        <w:rPr>
          <w:sz w:val="22"/>
          <w:szCs w:val="22"/>
        </w:rPr>
      </w:pPr>
      <w:r>
        <w:rPr>
          <w:color w:val="000000"/>
          <w:spacing w:val="0"/>
          <w:w w:val="100"/>
          <w:position w:val="0"/>
          <w:sz w:val="22"/>
          <w:szCs w:val="22"/>
        </w:rPr>
        <w:t>本集团监控集团外币资产及负债规模，可能签署远期外汇合约或货币掉期合约以规避外汇 风险。于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年度，本集团未签署任何远期外汇合约或货币掉期合约。</w:t>
      </w:r>
    </w:p>
    <w:p>
      <w:pPr>
        <w:pStyle w:val="Style5"/>
        <w:keepNext w:val="0"/>
        <w:keepLines w:val="0"/>
        <w:widowControl w:val="0"/>
        <w:shd w:val="clear" w:color="auto" w:fill="auto"/>
        <w:bidi w:val="0"/>
        <w:spacing w:before="0" w:after="280" w:line="312" w:lineRule="exact"/>
        <w:ind w:left="720" w:right="0" w:firstLine="0"/>
        <w:jc w:val="both"/>
        <w:rPr>
          <w:sz w:val="22"/>
          <w:szCs w:val="22"/>
        </w:rPr>
      </w:pPr>
      <w:r>
        <w:rPr>
          <w:color w:val="000000"/>
          <w:spacing w:val="0"/>
          <w:w w:val="100"/>
          <w:position w:val="0"/>
          <w:sz w:val="22"/>
          <w:szCs w:val="22"/>
        </w:rPr>
        <w:t>本集团适用的折算汇率分析如下：</w:t>
      </w:r>
    </w:p>
    <w:tbl>
      <w:tblPr>
        <w:tblOverlap w:val="never"/>
        <w:jc w:val="center"/>
        <w:tblLayout w:type="fixed"/>
      </w:tblPr>
      <w:tblGrid>
        <w:gridCol w:w="1978"/>
        <w:gridCol w:w="4186"/>
        <w:gridCol w:w="3192"/>
      </w:tblGrid>
      <w:tr>
        <w:trPr>
          <w:trHeight w:val="74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币种</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168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2"/>
              <w:keepNext w:val="0"/>
              <w:keepLines w:val="0"/>
              <w:widowControl w:val="0"/>
              <w:shd w:val="clear" w:color="auto" w:fill="auto"/>
              <w:bidi w:val="0"/>
              <w:spacing w:before="0" w:after="0" w:line="240" w:lineRule="auto"/>
              <w:ind w:left="0" w:right="0" w:firstLine="96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美元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美元</w:t>
            </w:r>
            <w:r>
              <w:rPr>
                <w:rFonts w:ascii="Times New Roman" w:eastAsia="Times New Roman" w:hAnsi="Times New Roman" w:cs="Times New Roman"/>
                <w:color w:val="000000"/>
                <w:spacing w:val="0"/>
                <w:w w:val="100"/>
                <w:position w:val="0"/>
                <w:sz w:val="24"/>
                <w:szCs w:val="24"/>
              </w:rPr>
              <w:t>=6.3757</w:t>
            </w:r>
            <w:r>
              <w:rPr>
                <w:color w:val="000000"/>
                <w:spacing w:val="0"/>
                <w:w w:val="100"/>
                <w:position w:val="0"/>
                <w:sz w:val="22"/>
                <w:szCs w:val="22"/>
              </w:rPr>
              <w:t>人民币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美元</w:t>
            </w:r>
            <w:r>
              <w:rPr>
                <w:rFonts w:ascii="Times New Roman" w:eastAsia="Times New Roman" w:hAnsi="Times New Roman" w:cs="Times New Roman"/>
                <w:color w:val="000000"/>
                <w:spacing w:val="0"/>
                <w:w w:val="100"/>
                <w:position w:val="0"/>
                <w:sz w:val="24"/>
                <w:szCs w:val="24"/>
              </w:rPr>
              <w:t>=6.5249</w:t>
            </w:r>
            <w:r>
              <w:rPr>
                <w:color w:val="000000"/>
                <w:spacing w:val="0"/>
                <w:w w:val="100"/>
                <w:position w:val="0"/>
                <w:sz w:val="22"/>
                <w:szCs w:val="22"/>
              </w:rPr>
              <w:t>人民币</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8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港币</w:t>
            </w:r>
            <w:r>
              <w:rPr>
                <w:rFonts w:ascii="Times New Roman" w:eastAsia="Times New Roman" w:hAnsi="Times New Roman" w:cs="Times New Roman"/>
                <w:color w:val="000000"/>
                <w:spacing w:val="0"/>
                <w:w w:val="100"/>
                <w:position w:val="0"/>
                <w:sz w:val="24"/>
                <w:szCs w:val="24"/>
              </w:rPr>
              <w:t>=0.8176</w:t>
            </w:r>
            <w:r>
              <w:rPr>
                <w:color w:val="000000"/>
                <w:spacing w:val="0"/>
                <w:w w:val="100"/>
                <w:position w:val="0"/>
                <w:sz w:val="22"/>
                <w:szCs w:val="22"/>
              </w:rPr>
              <w:t>人民币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港币</w:t>
            </w:r>
            <w:r>
              <w:rPr>
                <w:rFonts w:ascii="Times New Roman" w:eastAsia="Times New Roman" w:hAnsi="Times New Roman" w:cs="Times New Roman"/>
                <w:color w:val="000000"/>
                <w:spacing w:val="0"/>
                <w:w w:val="100"/>
                <w:position w:val="0"/>
                <w:sz w:val="24"/>
                <w:szCs w:val="24"/>
              </w:rPr>
              <w:t>=0.8416</w:t>
            </w:r>
            <w:r>
              <w:rPr>
                <w:color w:val="000000"/>
                <w:spacing w:val="0"/>
                <w:w w:val="100"/>
                <w:position w:val="0"/>
                <w:sz w:val="22"/>
                <w:szCs w:val="22"/>
              </w:rPr>
              <w:t>人民币</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欧元</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8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欧元</w:t>
            </w:r>
            <w:r>
              <w:rPr>
                <w:rFonts w:ascii="Times New Roman" w:eastAsia="Times New Roman" w:hAnsi="Times New Roman" w:cs="Times New Roman"/>
                <w:color w:val="000000"/>
                <w:spacing w:val="0"/>
                <w:w w:val="100"/>
                <w:position w:val="0"/>
                <w:sz w:val="24"/>
                <w:szCs w:val="24"/>
              </w:rPr>
              <w:t>=7.2197</w:t>
            </w:r>
            <w:r>
              <w:rPr>
                <w:color w:val="000000"/>
                <w:spacing w:val="0"/>
                <w:w w:val="100"/>
                <w:position w:val="0"/>
                <w:sz w:val="22"/>
                <w:szCs w:val="22"/>
              </w:rPr>
              <w:t>人民币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欧元</w:t>
            </w:r>
            <w:r>
              <w:rPr>
                <w:rFonts w:ascii="Times New Roman" w:eastAsia="Times New Roman" w:hAnsi="Times New Roman" w:cs="Times New Roman"/>
                <w:color w:val="000000"/>
                <w:spacing w:val="0"/>
                <w:w w:val="100"/>
                <w:position w:val="0"/>
                <w:sz w:val="24"/>
                <w:szCs w:val="24"/>
              </w:rPr>
              <w:t>=8.0250</w:t>
            </w:r>
            <w:r>
              <w:rPr>
                <w:color w:val="000000"/>
                <w:spacing w:val="0"/>
                <w:w w:val="100"/>
                <w:position w:val="0"/>
                <w:sz w:val="22"/>
                <w:szCs w:val="22"/>
              </w:rPr>
              <w:t>人民币</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日元</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8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日元</w:t>
            </w:r>
            <w:r>
              <w:rPr>
                <w:rFonts w:ascii="Times New Roman" w:eastAsia="Times New Roman" w:hAnsi="Times New Roman" w:cs="Times New Roman"/>
                <w:color w:val="000000"/>
                <w:spacing w:val="0"/>
                <w:w w:val="100"/>
                <w:position w:val="0"/>
                <w:sz w:val="24"/>
                <w:szCs w:val="24"/>
              </w:rPr>
              <w:t>=0.0554</w:t>
            </w:r>
            <w:r>
              <w:rPr>
                <w:color w:val="000000"/>
                <w:spacing w:val="0"/>
                <w:w w:val="100"/>
                <w:position w:val="0"/>
                <w:sz w:val="22"/>
                <w:szCs w:val="22"/>
              </w:rPr>
              <w:t>人民币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日元</w:t>
            </w:r>
            <w:r>
              <w:rPr>
                <w:rFonts w:ascii="Times New Roman" w:eastAsia="Times New Roman" w:hAnsi="Times New Roman" w:cs="Times New Roman"/>
                <w:color w:val="000000"/>
                <w:spacing w:val="0"/>
                <w:w w:val="100"/>
                <w:position w:val="0"/>
                <w:sz w:val="24"/>
                <w:szCs w:val="24"/>
              </w:rPr>
              <w:t>=0.0632</w:t>
            </w:r>
            <w:r>
              <w:rPr>
                <w:color w:val="000000"/>
                <w:spacing w:val="0"/>
                <w:w w:val="100"/>
                <w:position w:val="0"/>
                <w:sz w:val="22"/>
                <w:szCs w:val="22"/>
              </w:rPr>
              <w:t>人民币</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英镑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8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英镑</w:t>
            </w:r>
            <w:r>
              <w:rPr>
                <w:rFonts w:ascii="Times New Roman" w:eastAsia="Times New Roman" w:hAnsi="Times New Roman" w:cs="Times New Roman"/>
                <w:color w:val="000000"/>
                <w:spacing w:val="0"/>
                <w:w w:val="100"/>
                <w:position w:val="0"/>
                <w:sz w:val="24"/>
                <w:szCs w:val="24"/>
              </w:rPr>
              <w:t>=8.6064</w:t>
            </w:r>
            <w:r>
              <w:rPr>
                <w:color w:val="000000"/>
                <w:spacing w:val="0"/>
                <w:w w:val="100"/>
                <w:position w:val="0"/>
                <w:sz w:val="22"/>
                <w:szCs w:val="22"/>
              </w:rPr>
              <w:t>人民币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英镑</w:t>
            </w:r>
            <w:r>
              <w:rPr>
                <w:rFonts w:ascii="Times New Roman" w:eastAsia="Times New Roman" w:hAnsi="Times New Roman" w:cs="Times New Roman"/>
                <w:color w:val="000000"/>
                <w:spacing w:val="0"/>
                <w:w w:val="100"/>
                <w:position w:val="0"/>
                <w:sz w:val="24"/>
                <w:szCs w:val="24"/>
              </w:rPr>
              <w:t>=8.8903</w:t>
            </w:r>
            <w:r>
              <w:rPr>
                <w:color w:val="000000"/>
                <w:spacing w:val="0"/>
                <w:w w:val="100"/>
                <w:position w:val="0"/>
                <w:sz w:val="22"/>
                <w:szCs w:val="22"/>
              </w:rPr>
              <w:t>人民币</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新加坡元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新加坡元</w:t>
            </w:r>
            <w:r>
              <w:rPr>
                <w:rFonts w:ascii="Times New Roman" w:eastAsia="Times New Roman" w:hAnsi="Times New Roman" w:cs="Times New Roman"/>
                <w:color w:val="000000"/>
                <w:spacing w:val="0"/>
                <w:w w:val="100"/>
                <w:position w:val="0"/>
                <w:sz w:val="24"/>
                <w:szCs w:val="24"/>
              </w:rPr>
              <w:t>=4.7179</w:t>
            </w:r>
            <w:r>
              <w:rPr>
                <w:color w:val="000000"/>
                <w:spacing w:val="0"/>
                <w:w w:val="100"/>
                <w:position w:val="0"/>
                <w:sz w:val="22"/>
                <w:szCs w:val="22"/>
              </w:rPr>
              <w:t>人民币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新加坡元</w:t>
            </w:r>
            <w:r>
              <w:rPr>
                <w:rFonts w:ascii="Times New Roman" w:eastAsia="Times New Roman" w:hAnsi="Times New Roman" w:cs="Times New Roman"/>
                <w:color w:val="000000"/>
                <w:spacing w:val="0"/>
                <w:w w:val="100"/>
                <w:position w:val="0"/>
                <w:sz w:val="24"/>
                <w:szCs w:val="24"/>
              </w:rPr>
              <w:t>=4.9314</w:t>
            </w:r>
            <w:r>
              <w:rPr>
                <w:color w:val="000000"/>
                <w:spacing w:val="0"/>
                <w:w w:val="100"/>
                <w:position w:val="0"/>
                <w:sz w:val="22"/>
                <w:szCs w:val="22"/>
              </w:rPr>
              <w:t>人民币</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澳元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澳大利亚元</w:t>
            </w:r>
            <w:r>
              <w:rPr>
                <w:rFonts w:ascii="Times New Roman" w:eastAsia="Times New Roman" w:hAnsi="Times New Roman" w:cs="Times New Roman"/>
                <w:color w:val="000000"/>
                <w:spacing w:val="0"/>
                <w:w w:val="100"/>
                <w:position w:val="0"/>
                <w:sz w:val="24"/>
                <w:szCs w:val="24"/>
              </w:rPr>
              <w:t>=4.6220</w:t>
            </w:r>
            <w:r>
              <w:rPr>
                <w:color w:val="000000"/>
                <w:spacing w:val="0"/>
                <w:w w:val="100"/>
                <w:position w:val="0"/>
                <w:sz w:val="22"/>
                <w:szCs w:val="22"/>
              </w:rPr>
              <w:t>人民币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澳大利亚元</w:t>
            </w:r>
            <w:r>
              <w:rPr>
                <w:rFonts w:ascii="Times New Roman" w:eastAsia="Times New Roman" w:hAnsi="Times New Roman" w:cs="Times New Roman"/>
                <w:color w:val="000000"/>
                <w:spacing w:val="0"/>
                <w:w w:val="100"/>
                <w:position w:val="0"/>
                <w:sz w:val="24"/>
                <w:szCs w:val="24"/>
              </w:rPr>
              <w:t>=5.0163</w:t>
            </w:r>
            <w:r>
              <w:rPr>
                <w:color w:val="000000"/>
                <w:spacing w:val="0"/>
                <w:w w:val="100"/>
                <w:position w:val="0"/>
                <w:sz w:val="22"/>
                <w:szCs w:val="22"/>
              </w:rPr>
              <w:t>人民币</w:t>
            </w:r>
          </w:p>
        </w:tc>
      </w:tr>
    </w:tbl>
    <w:p>
      <w:pPr>
        <w:widowControl w:val="0"/>
        <w:spacing w:after="279" w:line="1" w:lineRule="exact"/>
      </w:pPr>
    </w:p>
    <w:p>
      <w:pPr>
        <w:pStyle w:val="Style5"/>
        <w:keepNext w:val="0"/>
        <w:keepLines w:val="0"/>
        <w:widowControl w:val="0"/>
        <w:shd w:val="clear" w:color="auto" w:fill="auto"/>
        <w:bidi w:val="0"/>
        <w:spacing w:before="0" w:after="280" w:line="317" w:lineRule="exact"/>
        <w:ind w:left="720" w:right="0" w:firstLine="0"/>
        <w:jc w:val="both"/>
        <w:rPr>
          <w:sz w:val="22"/>
          <w:szCs w:val="22"/>
        </w:rPr>
      </w:pPr>
      <w:r>
        <w:rPr>
          <w:color w:val="000000"/>
          <w:spacing w:val="0"/>
          <w:w w:val="100"/>
          <w:position w:val="0"/>
          <w:sz w:val="22"/>
          <w:szCs w:val="22"/>
        </w:rPr>
        <w:t>本集团于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日的各外币资产负债项目汇率风险敞口如 下。出于列报考虑，风险敞口金额以人民币列示，以资产负债表日即期汇率折算。外币报 表折算差额未包括在内。</w:t>
      </w:r>
    </w:p>
    <w:tbl>
      <w:tblPr>
        <w:tblOverlap w:val="never"/>
        <w:jc w:val="right"/>
        <w:tblLayout w:type="fixed"/>
      </w:tblPr>
      <w:tblGrid>
        <w:gridCol w:w="2520"/>
        <w:gridCol w:w="2726"/>
        <w:gridCol w:w="926"/>
        <w:gridCol w:w="2544"/>
        <w:gridCol w:w="696"/>
      </w:tblGrid>
      <w:tr>
        <w:trPr>
          <w:trHeight w:val="283"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单位：人民币百万元</w:t>
            </w:r>
            <w:r>
              <w:rPr>
                <w:color w:val="000000"/>
                <w:spacing w:val="0"/>
                <w:w w:val="100"/>
                <w:position w:val="0"/>
                <w:u w:val="single"/>
              </w:rPr>
              <w:t>)</w:t>
            </w:r>
          </w:p>
        </w:tc>
        <w:tc>
          <w:tcPr>
            <w:gridSpan w:val="2"/>
            <w:tcBorders>
              <w:top w:val="single" w:sz="4"/>
            </w:tcBorders>
            <w:shd w:val="clear" w:color="auto" w:fill="FFFFFF"/>
            <w:vAlign w:val="top"/>
          </w:tcPr>
          <w:p>
            <w:pPr>
              <w:pStyle w:val="Style22"/>
              <w:keepNext w:val="0"/>
              <w:keepLines w:val="0"/>
              <w:widowControl w:val="0"/>
              <w:shd w:val="clear" w:color="auto" w:fill="auto"/>
              <w:tabs>
                <w:tab w:pos="1416" w:val="left"/>
              </w:tabs>
              <w:bidi w:val="0"/>
              <w:spacing w:before="0" w:after="0" w:line="240" w:lineRule="auto"/>
              <w:ind w:left="0" w:right="0" w:firstLine="0"/>
              <w:jc w:val="center"/>
            </w:pPr>
            <w:r>
              <w:rPr>
                <w:color w:val="000000"/>
                <w:spacing w:val="0"/>
                <w:w w:val="100"/>
                <w:position w:val="0"/>
                <w:u w:val="single"/>
              </w:rPr>
              <w:t>外币余额</w:t>
              <w:tab/>
              <w:t>折算人民币余额</w:t>
            </w:r>
          </w:p>
        </w:tc>
        <w:tc>
          <w:tcPr>
            <w:gridSpan w:val="2"/>
            <w:tcBorders>
              <w:top w:val="single" w:sz="4"/>
            </w:tcBorders>
            <w:shd w:val="clear" w:color="auto" w:fill="FFFFFF"/>
            <w:vAlign w:val="top"/>
          </w:tcPr>
          <w:p>
            <w:pPr>
              <w:pStyle w:val="Style22"/>
              <w:keepNext w:val="0"/>
              <w:keepLines w:val="0"/>
              <w:widowControl w:val="0"/>
              <w:shd w:val="clear" w:color="auto" w:fill="auto"/>
              <w:tabs>
                <w:tab w:pos="1671" w:val="left"/>
              </w:tabs>
              <w:bidi w:val="0"/>
              <w:spacing w:before="0" w:after="0" w:line="240" w:lineRule="auto"/>
              <w:ind w:left="0" w:right="0" w:firstLine="260"/>
              <w:jc w:val="left"/>
            </w:pPr>
            <w:r>
              <w:rPr>
                <w:color w:val="000000"/>
                <w:spacing w:val="0"/>
                <w:w w:val="100"/>
                <w:position w:val="0"/>
                <w:u w:val="single"/>
              </w:rPr>
              <w:t>外币余额</w:t>
              <w:tab/>
              <w:t>折算人民币余额</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3,743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w:t>
            </w:r>
          </w:p>
        </w:tc>
      </w:tr>
      <w:tr>
        <w:trPr>
          <w:trHeight w:val="26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港币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79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2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128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r>
      <w:tr>
        <w:trPr>
          <w:trHeight w:val="25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日元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英镑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新加坡元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40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080" w:firstLine="0"/>
              <w:jc w:val="right"/>
            </w:pPr>
            <w:r>
              <w:rPr>
                <w:rFonts w:ascii="Times New Roman" w:eastAsia="Times New Roman" w:hAnsi="Times New Roman" w:cs="Times New Roman"/>
                <w:color w:val="000000"/>
                <w:spacing w:val="0"/>
                <w:w w:val="100"/>
                <w:position w:val="0"/>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澳大利亚元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spacing w:lineRule="exact" w:line="1"/>
        <w:rPr>
          <w:sz w:val="2"/>
          <w:szCs w:val="2"/>
        </w:rPr>
      </w:pPr>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710" w:val="left"/>
        </w:tabs>
        <w:bidi w:val="0"/>
        <w:spacing w:before="0" w:after="300" w:line="240" w:lineRule="auto"/>
        <w:ind w:left="0" w:right="0" w:firstLine="0"/>
        <w:jc w:val="left"/>
        <w:rPr>
          <w:sz w:val="22"/>
          <w:szCs w:val="22"/>
        </w:rPr>
      </w:pPr>
      <w:bookmarkStart w:id="1522" w:name="bookmark1522"/>
      <w:r>
        <w:rPr>
          <w:color w:val="000000"/>
          <w:spacing w:val="0"/>
          <w:w w:val="100"/>
          <w:position w:val="0"/>
          <w:sz w:val="22"/>
          <w:szCs w:val="22"/>
          <w:shd w:val="clear" w:color="auto" w:fill="FFFFFF"/>
        </w:rPr>
        <w:t>八</w:t>
      </w:r>
      <w:bookmarkEnd w:id="1522"/>
      <w:r>
        <w:rPr>
          <w:color w:val="000000"/>
          <w:spacing w:val="0"/>
          <w:w w:val="100"/>
          <w:position w:val="0"/>
          <w:sz w:val="22"/>
          <w:szCs w:val="22"/>
          <w:shd w:val="clear" w:color="auto" w:fill="FFFFFF"/>
        </w:rPr>
        <w:t>、</w:t>
      </w:r>
      <w:r>
        <w:rPr>
          <w:color w:val="000000"/>
          <w:spacing w:val="0"/>
          <w:w w:val="100"/>
          <w:position w:val="0"/>
          <w:sz w:val="22"/>
          <w:szCs w:val="22"/>
        </w:rPr>
        <w:tab/>
        <w:t>金融工具及其风险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10" w:val="left"/>
        </w:tabs>
        <w:bidi w:val="0"/>
        <w:spacing w:before="0" w:after="3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金融风险因素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市场风险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240"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汇率风险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bl>
      <w:tblPr>
        <w:tblOverlap w:val="never"/>
        <w:jc w:val="right"/>
        <w:tblLayout w:type="fixed"/>
      </w:tblPr>
      <w:tblGrid>
        <w:gridCol w:w="2510"/>
        <w:gridCol w:w="1762"/>
        <w:gridCol w:w="1896"/>
        <w:gridCol w:w="1574"/>
        <w:gridCol w:w="1632"/>
      </w:tblGrid>
      <w:tr>
        <w:trPr>
          <w:trHeight w:val="288" w:hRule="exact"/>
        </w:trPr>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单位：人民币百万元</w:t>
            </w:r>
            <w:r>
              <w:rPr>
                <w:color w:val="000000"/>
                <w:spacing w:val="0"/>
                <w:w w:val="100"/>
                <w:position w:val="0"/>
              </w:rPr>
              <w:t>)</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4" w:hRule="exact"/>
        </w:trPr>
        <w:tc>
          <w:tcPr>
            <w:vMerge/>
            <w:tcBorders/>
            <w:shd w:val="clear" w:color="auto" w:fill="FFFFFF"/>
            <w:vAlign w:val="bottom"/>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u w:val="single"/>
              </w:rPr>
              <w:t>外币余额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折算人民币余额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外币余额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折算人民币余额</w:t>
            </w:r>
          </w:p>
        </w:tc>
      </w:tr>
      <w:tr>
        <w:trPr>
          <w:trHeight w:val="39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港币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26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英镑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澳大利亚元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新加坡元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146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8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日元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欧元</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247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1,786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美元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178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r>
      <w:tr>
        <w:trPr>
          <w:trHeight w:val="38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欧元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美元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293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r>
      <w:tr>
        <w:trPr>
          <w:trHeight w:val="27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欧元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8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日元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资产负债表敞口总额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美元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4,330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w:t>
            </w:r>
          </w:p>
        </w:tc>
      </w:tr>
      <w:tr>
        <w:trPr>
          <w:trHeight w:val="26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港币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欧元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1,907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w:t>
            </w:r>
          </w:p>
        </w:tc>
      </w:tr>
      <w:tr>
        <w:trPr>
          <w:trHeight w:val="2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日元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英镑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新加坡元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澳大利亚元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65" w:val="left"/>
        </w:tabs>
        <w:bidi w:val="0"/>
        <w:spacing w:before="0" w:after="260" w:line="310" w:lineRule="exact"/>
        <w:ind w:left="0" w:right="0" w:firstLine="0"/>
        <w:jc w:val="both"/>
        <w:rPr>
          <w:sz w:val="22"/>
          <w:szCs w:val="22"/>
        </w:rPr>
      </w:pPr>
      <w:r>
        <w:rPr>
          <w:color w:val="000000"/>
          <w:spacing w:val="0"/>
          <w:w w:val="100"/>
          <w:position w:val="0"/>
          <w:sz w:val="22"/>
          <w:szCs w:val="22"/>
        </w:rPr>
        <w:t>八、</w:t>
        <w:tab/>
        <w:t>金融工具及其风险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65" w:val="left"/>
        </w:tabs>
        <w:bidi w:val="0"/>
        <w:spacing w:before="0" w:after="260" w:line="310" w:lineRule="exact"/>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金融风险因素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269" w:lineRule="auto"/>
        <w:ind w:left="0" w:right="0" w:firstLine="72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市场风险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1165" w:val="left"/>
        </w:tabs>
        <w:bidi w:val="0"/>
        <w:spacing w:before="0" w:after="260" w:line="269" w:lineRule="auto"/>
        <w:ind w:left="0" w:right="0" w:firstLine="720"/>
        <w:jc w:val="both"/>
        <w:rPr>
          <w:sz w:val="22"/>
          <w:szCs w:val="22"/>
        </w:rPr>
      </w:pPr>
      <w:bookmarkStart w:id="1523" w:name="bookmark1523"/>
      <w:r>
        <w:rPr>
          <w:rFonts w:ascii="Times New Roman" w:eastAsia="Times New Roman" w:hAnsi="Times New Roman" w:cs="Times New Roman"/>
          <w:color w:val="000000"/>
          <w:spacing w:val="0"/>
          <w:w w:val="100"/>
          <w:position w:val="0"/>
          <w:sz w:val="24"/>
          <w:szCs w:val="24"/>
        </w:rPr>
        <w:t>（</w:t>
      </w:r>
      <w:bookmarkEnd w:id="1523"/>
      <w:r>
        <w:rPr>
          <w:rFonts w:ascii="Times New Roman" w:eastAsia="Times New Roman" w:hAnsi="Times New Roman" w:cs="Times New Roman"/>
          <w:color w:val="000000"/>
          <w:spacing w:val="0"/>
          <w:w w:val="100"/>
          <w:position w:val="0"/>
          <w:sz w:val="24"/>
          <w:szCs w:val="24"/>
        </w:rPr>
        <w:t>1）</w:t>
        <w:tab/>
      </w:r>
      <w:r>
        <w:rPr>
          <w:color w:val="000000"/>
          <w:spacing w:val="0"/>
          <w:w w:val="100"/>
          <w:position w:val="0"/>
          <w:sz w:val="22"/>
          <w:szCs w:val="22"/>
        </w:rPr>
        <w:t>汇率风险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日，对于本集团以外币计价的货币资金、应收账款、银行借款及应付账 款，假设人民币对外币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主要为对美元、港币和欧元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升值或贬值</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，而其他因素保持不 变，则会导致本集团股东权益及净利润均减少或增加约人民币</w:t>
      </w:r>
      <w:r>
        <w:rPr>
          <w:rFonts w:ascii="Times New Roman" w:eastAsia="Times New Roman" w:hAnsi="Times New Roman" w:cs="Times New Roman"/>
          <w:color w:val="000000"/>
          <w:spacing w:val="0"/>
          <w:w w:val="100"/>
          <w:position w:val="0"/>
          <w:sz w:val="24"/>
          <w:szCs w:val="24"/>
        </w:rPr>
        <w:t>3.61</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2.68</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。对于本集团以外币计价的其他权益工具投资，假设人民币对外币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主要为对欧元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升值或贬值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，而其他因素保持不变，则会导致本集团股东权益及其他 综合收益均减少或增加约人民币</w:t>
      </w:r>
      <w:r>
        <w:rPr>
          <w:rFonts w:ascii="Times New Roman" w:eastAsia="Times New Roman" w:hAnsi="Times New Roman" w:cs="Times New Roman"/>
          <w:color w:val="000000"/>
          <w:spacing w:val="0"/>
          <w:w w:val="100"/>
          <w:position w:val="0"/>
          <w:sz w:val="24"/>
          <w:szCs w:val="24"/>
        </w:rPr>
        <w:t>1.79</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1.67</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320" w:line="310" w:lineRule="exact"/>
        <w:ind w:left="720" w:right="0" w:firstLine="0"/>
        <w:jc w:val="both"/>
        <w:rPr>
          <w:sz w:val="22"/>
          <w:szCs w:val="22"/>
        </w:rPr>
      </w:pPr>
      <w:r>
        <w:rPr>
          <w:color w:val="000000"/>
          <w:spacing w:val="0"/>
          <w:w w:val="100"/>
          <w:position w:val="0"/>
          <w:sz w:val="22"/>
          <w:szCs w:val="22"/>
        </w:rPr>
        <w:t>上述敏感性分析是假设资产负债表日汇率发生变动，以变动后的汇率对资产负债表日本集 团持有的、面临汇率风险的金融工具进行重新计量得出的。上述分析不包括外币报表折算 差异。上一年度的分析基于同样的假设和方法。</w:t>
      </w:r>
    </w:p>
    <w:p>
      <w:pPr>
        <w:pStyle w:val="Style5"/>
        <w:keepNext w:val="0"/>
        <w:keepLines w:val="0"/>
        <w:widowControl w:val="0"/>
        <w:shd w:val="clear" w:color="auto" w:fill="auto"/>
        <w:tabs>
          <w:tab w:pos="1165" w:val="left"/>
        </w:tabs>
        <w:bidi w:val="0"/>
        <w:spacing w:before="0" w:after="260" w:line="269" w:lineRule="auto"/>
        <w:ind w:left="720" w:right="0" w:firstLine="0"/>
        <w:jc w:val="both"/>
        <w:rPr>
          <w:sz w:val="22"/>
          <w:szCs w:val="22"/>
        </w:rPr>
      </w:pPr>
      <w:bookmarkStart w:id="1524" w:name="bookmark1524"/>
      <w:r>
        <w:rPr>
          <w:rFonts w:ascii="Times New Roman" w:eastAsia="Times New Roman" w:hAnsi="Times New Roman" w:cs="Times New Roman"/>
          <w:color w:val="000000"/>
          <w:spacing w:val="0"/>
          <w:w w:val="100"/>
          <w:position w:val="0"/>
          <w:sz w:val="24"/>
          <w:szCs w:val="24"/>
        </w:rPr>
        <w:t>（</w:t>
      </w:r>
      <w:bookmarkEnd w:id="1524"/>
      <w:r>
        <w:rPr>
          <w:rFonts w:ascii="Times New Roman" w:eastAsia="Times New Roman" w:hAnsi="Times New Roman" w:cs="Times New Roman"/>
          <w:color w:val="000000"/>
          <w:spacing w:val="0"/>
          <w:w w:val="100"/>
          <w:position w:val="0"/>
          <w:sz w:val="24"/>
          <w:szCs w:val="24"/>
        </w:rPr>
        <w:t>2）</w:t>
        <w:tab/>
      </w:r>
      <w:r>
        <w:rPr>
          <w:color w:val="000000"/>
          <w:spacing w:val="0"/>
          <w:w w:val="100"/>
          <w:position w:val="0"/>
          <w:sz w:val="22"/>
          <w:szCs w:val="22"/>
        </w:rPr>
        <w:t>价格风险</w:t>
      </w:r>
    </w:p>
    <w:p>
      <w:pPr>
        <w:pStyle w:val="Style5"/>
        <w:keepNext w:val="0"/>
        <w:keepLines w:val="0"/>
        <w:widowControl w:val="0"/>
        <w:shd w:val="clear" w:color="auto" w:fill="auto"/>
        <w:bidi w:val="0"/>
        <w:spacing w:before="0" w:after="260" w:line="293" w:lineRule="exact"/>
        <w:ind w:left="720" w:right="0" w:firstLine="0"/>
        <w:jc w:val="both"/>
        <w:rPr>
          <w:sz w:val="22"/>
          <w:szCs w:val="22"/>
        </w:rPr>
      </w:pPr>
      <w:r>
        <w:rPr>
          <w:color w:val="000000"/>
          <w:spacing w:val="0"/>
          <w:w w:val="100"/>
          <w:position w:val="0"/>
          <w:sz w:val="22"/>
          <w:szCs w:val="22"/>
        </w:rPr>
        <w:t>本集团在资产负债表中被分类为其他权益工具投资及交易性金融资产中的权益投资主要为 上市公司股权，因此本集团承受权益证券的市场价格变动风险。</w:t>
      </w:r>
    </w:p>
    <w:p>
      <w:pPr>
        <w:pStyle w:val="Style5"/>
        <w:keepNext w:val="0"/>
        <w:keepLines w:val="0"/>
        <w:widowControl w:val="0"/>
        <w:shd w:val="clear" w:color="auto" w:fill="auto"/>
        <w:bidi w:val="0"/>
        <w:spacing w:before="0" w:after="260" w:line="313" w:lineRule="exact"/>
        <w:ind w:left="72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 xml:space="preserve">日，假设于其他权益工具中核算的西班牙电信的股票价格上升或下降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，而其他因素保持不变，则其他权益工具投资账面价值会因公允价值变动而额外增加 或减少约人民币</w:t>
      </w:r>
      <w:r>
        <w:rPr>
          <w:rFonts w:ascii="Times New Roman" w:eastAsia="Times New Roman" w:hAnsi="Times New Roman" w:cs="Times New Roman"/>
          <w:color w:val="000000"/>
          <w:spacing w:val="0"/>
          <w:w w:val="100"/>
          <w:position w:val="0"/>
          <w:sz w:val="24"/>
          <w:szCs w:val="24"/>
        </w:rPr>
        <w:t>1.79</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1.67</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2"/>
          <w:szCs w:val="22"/>
        </w:rPr>
        <w:t>日，假设交易性金融资产中上市权益证券的股票价格上升或下降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，而其他因素保持不 变，则交易性金融资产账面价值会因公允价值变动而额外增加或减少人民币</w:t>
      </w:r>
      <w:r>
        <w:rPr>
          <w:rFonts w:ascii="Times New Roman" w:eastAsia="Times New Roman" w:hAnsi="Times New Roman" w:cs="Times New Roman"/>
          <w:color w:val="000000"/>
          <w:spacing w:val="0"/>
          <w:w w:val="100"/>
          <w:position w:val="0"/>
          <w:sz w:val="24"/>
          <w:szCs w:val="24"/>
        </w:rPr>
        <w:t>0.09</w:t>
      </w:r>
      <w:r>
        <w:rPr>
          <w:color w:val="000000"/>
          <w:spacing w:val="0"/>
          <w:w w:val="100"/>
          <w:position w:val="0"/>
          <w:sz w:val="22"/>
          <w:szCs w:val="22"/>
        </w:rPr>
        <w:t xml:space="preserve">亿元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年：约人民币</w:t>
      </w:r>
      <w:r>
        <w:rPr>
          <w:rFonts w:ascii="Times New Roman" w:eastAsia="Times New Roman" w:hAnsi="Times New Roman" w:cs="Times New Roman"/>
          <w:color w:val="000000"/>
          <w:spacing w:val="0"/>
          <w:w w:val="100"/>
          <w:position w:val="0"/>
          <w:sz w:val="24"/>
          <w:szCs w:val="24"/>
        </w:rPr>
        <w:t>0.17</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0"/>
          <w:szCs w:val="20"/>
        </w:rPr>
        <w:t>。</w:t>
      </w:r>
      <w:r>
        <w:rPr>
          <w:color w:val="000000"/>
          <w:spacing w:val="0"/>
          <w:w w:val="100"/>
          <w:position w:val="0"/>
          <w:sz w:val="22"/>
          <w:szCs w:val="22"/>
        </w:rPr>
        <w:t>上述敏感性分析是假设资产负债表日本集团所持有的上市 公司股票的价格发生变动，以变动后的价格对股票投资进行重新计量得出的。上一年度的 分析基于同样的假设和方法。</w:t>
      </w:r>
    </w:p>
    <w:p>
      <w:pPr>
        <w:pStyle w:val="Style5"/>
        <w:keepNext w:val="0"/>
        <w:keepLines w:val="0"/>
        <w:widowControl w:val="0"/>
        <w:shd w:val="clear" w:color="auto" w:fill="auto"/>
        <w:tabs>
          <w:tab w:pos="1165" w:val="left"/>
        </w:tabs>
        <w:bidi w:val="0"/>
        <w:spacing w:before="0" w:after="260" w:line="310" w:lineRule="exact"/>
        <w:ind w:left="0" w:right="0" w:firstLine="720"/>
        <w:jc w:val="both"/>
        <w:rPr>
          <w:sz w:val="22"/>
          <w:szCs w:val="22"/>
        </w:rPr>
      </w:pPr>
      <w:bookmarkStart w:id="1525" w:name="bookmark1525"/>
      <w:r>
        <w:rPr>
          <w:rFonts w:ascii="Times New Roman" w:eastAsia="Times New Roman" w:hAnsi="Times New Roman" w:cs="Times New Roman"/>
          <w:color w:val="000000"/>
          <w:spacing w:val="0"/>
          <w:w w:val="100"/>
          <w:position w:val="0"/>
          <w:sz w:val="24"/>
          <w:szCs w:val="24"/>
        </w:rPr>
        <w:t>（</w:t>
      </w:r>
      <w:bookmarkEnd w:id="1525"/>
      <w:r>
        <w:rPr>
          <w:rFonts w:ascii="Times New Roman" w:eastAsia="Times New Roman" w:hAnsi="Times New Roman" w:cs="Times New Roman"/>
          <w:color w:val="000000"/>
          <w:spacing w:val="0"/>
          <w:w w:val="100"/>
          <w:position w:val="0"/>
          <w:sz w:val="24"/>
          <w:szCs w:val="24"/>
        </w:rPr>
        <w:t>3）</w:t>
        <w:tab/>
      </w:r>
      <w:r>
        <w:rPr>
          <w:color w:val="000000"/>
          <w:spacing w:val="0"/>
          <w:w w:val="100"/>
          <w:position w:val="0"/>
          <w:sz w:val="22"/>
          <w:szCs w:val="22"/>
        </w:rPr>
        <w:t>现金流量和公允价值利率风险</w:t>
      </w:r>
    </w:p>
    <w:p>
      <w:pPr>
        <w:pStyle w:val="Style5"/>
        <w:keepNext w:val="0"/>
        <w:keepLines w:val="0"/>
        <w:widowControl w:val="0"/>
        <w:shd w:val="clear" w:color="auto" w:fill="auto"/>
        <w:bidi w:val="0"/>
        <w:spacing w:before="0" w:after="260" w:line="310" w:lineRule="exact"/>
        <w:ind w:left="720" w:right="0" w:firstLine="0"/>
        <w:jc w:val="both"/>
        <w:rPr>
          <w:sz w:val="22"/>
          <w:szCs w:val="22"/>
        </w:rPr>
      </w:pPr>
      <w:r>
        <w:rPr>
          <w:color w:val="000000"/>
          <w:spacing w:val="0"/>
          <w:w w:val="100"/>
          <w:position w:val="0"/>
          <w:sz w:val="22"/>
          <w:szCs w:val="22"/>
        </w:rPr>
        <w:t>本集团的带息资产主要为银行存款。由于主要的银行存款皆为短期性质并且所涉及的利息 金额并不重大，管理层认为银行存款利率的波动对财务报表的影响并不重大。本集团的利 率风险产生于包括银行借款、长短期债券、吸收存款等在内的计息借款。浮动利率计息的 借款及吸收存款导致本集团产生现金流量利率风险，而固定利率计息的借款、短期融资 券、中期票据、公司债券及租赁负债导致本集团产生公允价值利率风险。本集团主要根据 当时的市场环境来决定使用固定利率或浮动利率借款的政策。</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65" w:val="left"/>
        </w:tabs>
        <w:bidi w:val="0"/>
        <w:spacing w:before="0" w:after="240" w:line="302" w:lineRule="exact"/>
        <w:ind w:left="0" w:right="0" w:firstLine="0"/>
        <w:jc w:val="left"/>
        <w:rPr>
          <w:sz w:val="22"/>
          <w:szCs w:val="22"/>
        </w:rPr>
      </w:pPr>
      <w:r>
        <w:rPr>
          <w:color w:val="000000"/>
          <w:spacing w:val="0"/>
          <w:w w:val="100"/>
          <w:position w:val="0"/>
          <w:sz w:val="22"/>
          <w:szCs w:val="22"/>
        </w:rPr>
        <w:t>八、</w:t>
        <w:tab/>
        <w:t>金融工具及其风险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65" w:val="left"/>
        </w:tabs>
        <w:bidi w:val="0"/>
        <w:spacing w:before="0" w:after="240" w:line="302"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金融风险因素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1152" w:val="left"/>
        </w:tabs>
        <w:bidi w:val="0"/>
        <w:spacing w:before="0" w:after="240" w:line="264" w:lineRule="auto"/>
        <w:ind w:left="0" w:right="0" w:firstLine="720"/>
        <w:jc w:val="left"/>
        <w:rPr>
          <w:sz w:val="22"/>
          <w:szCs w:val="22"/>
        </w:rPr>
      </w:pPr>
      <w:bookmarkStart w:id="1526" w:name="bookmark1526"/>
      <w:r>
        <w:rPr>
          <w:rFonts w:ascii="Times New Roman" w:eastAsia="Times New Roman" w:hAnsi="Times New Roman" w:cs="Times New Roman"/>
          <w:color w:val="000000"/>
          <w:spacing w:val="0"/>
          <w:w w:val="100"/>
          <w:position w:val="0"/>
          <w:sz w:val="24"/>
          <w:szCs w:val="24"/>
        </w:rPr>
        <w:t>（</w:t>
      </w:r>
      <w:bookmarkEnd w:id="1526"/>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2"/>
          <w:szCs w:val="22"/>
        </w:rPr>
        <w:t>市场风险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40" w:line="302" w:lineRule="exact"/>
        <w:ind w:left="0" w:right="0" w:firstLine="720"/>
        <w:jc w:val="left"/>
        <w:rPr>
          <w:sz w:val="22"/>
          <w:szCs w:val="22"/>
        </w:rPr>
      </w:pPr>
      <w:bookmarkStart w:id="1527" w:name="bookmark1527"/>
      <w:r>
        <w:rPr>
          <w:rFonts w:ascii="Times New Roman" w:eastAsia="Times New Roman" w:hAnsi="Times New Roman" w:cs="Times New Roman"/>
          <w:color w:val="000000"/>
          <w:spacing w:val="0"/>
          <w:w w:val="100"/>
          <w:position w:val="0"/>
          <w:sz w:val="24"/>
          <w:szCs w:val="24"/>
        </w:rPr>
        <w:t>（</w:t>
      </w:r>
      <w:bookmarkEnd w:id="152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现金流量和公允价值利率风险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40" w:line="302" w:lineRule="exact"/>
        <w:ind w:left="720" w:right="0" w:firstLine="0"/>
        <w:jc w:val="both"/>
        <w:rPr>
          <w:sz w:val="22"/>
          <w:szCs w:val="22"/>
        </w:rPr>
      </w:pPr>
      <w:r>
        <w:rPr>
          <w:color w:val="000000"/>
          <w:spacing w:val="0"/>
          <w:w w:val="100"/>
          <w:position w:val="0"/>
          <w:sz w:val="22"/>
          <w:szCs w:val="22"/>
        </w:rPr>
        <w:t>如果利率上升会增加新增借款的成本以及本集团尚未偿还的以浮动利率计息的借款的利息 支出，对本集团的财务状况产生重大的不利影响。管理层持续监控本集团利率水平并依据 最新的市场状况及时做出调整。本集团可能采用利率掉期安排以降低浮动利率计息的借款 产生的利率风险，但本集团认为在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年度并无该等安排的需要。</w:t>
      </w:r>
    </w:p>
    <w:p>
      <w:pPr>
        <w:pStyle w:val="Style5"/>
        <w:keepNext w:val="0"/>
        <w:keepLines w:val="0"/>
        <w:widowControl w:val="0"/>
        <w:shd w:val="clear" w:color="auto" w:fill="auto"/>
        <w:bidi w:val="0"/>
        <w:spacing w:before="0" w:after="240" w:line="301" w:lineRule="exact"/>
        <w:ind w:left="72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日，本集团循环贷款额度范围内的短期借款、超短期融资券及吸收存款 等约为人民币</w:t>
      </w:r>
      <w:r>
        <w:rPr>
          <w:rFonts w:ascii="Times New Roman" w:eastAsia="Times New Roman" w:hAnsi="Times New Roman" w:cs="Times New Roman"/>
          <w:color w:val="000000"/>
          <w:spacing w:val="0"/>
          <w:w w:val="100"/>
          <w:position w:val="0"/>
          <w:sz w:val="24"/>
          <w:szCs w:val="24"/>
        </w:rPr>
        <w:t>114.91</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113.81</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，固定利率计息的长 期借款、长期债券及租赁负债约为人民币</w:t>
      </w:r>
      <w:r>
        <w:rPr>
          <w:rFonts w:ascii="Times New Roman" w:eastAsia="Times New Roman" w:hAnsi="Times New Roman" w:cs="Times New Roman"/>
          <w:color w:val="000000"/>
          <w:spacing w:val="0"/>
          <w:w w:val="100"/>
          <w:position w:val="0"/>
          <w:sz w:val="24"/>
          <w:szCs w:val="24"/>
        </w:rPr>
        <w:t>278.08</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 xml:space="preserve">日：约人民币 </w:t>
      </w:r>
      <w:r>
        <w:rPr>
          <w:rFonts w:ascii="Times New Roman" w:eastAsia="Times New Roman" w:hAnsi="Times New Roman" w:cs="Times New Roman"/>
          <w:color w:val="000000"/>
          <w:spacing w:val="0"/>
          <w:w w:val="100"/>
          <w:position w:val="0"/>
          <w:sz w:val="24"/>
          <w:szCs w:val="24"/>
        </w:rPr>
        <w:t xml:space="preserve">349.23 </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240" w:line="300" w:lineRule="exact"/>
        <w:ind w:left="72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日，假设浮动利率计息的借款及吸收存款利率增加或减少</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2"/>
          <w:szCs w:val="22"/>
        </w:rPr>
        <w:t xml:space="preserve">个基点， 而其他因素保持不变，则会导致本集团的股东权益及净利润均会减少或增加约人民币 </w:t>
      </w:r>
      <w:r>
        <w:rPr>
          <w:rFonts w:ascii="Times New Roman" w:eastAsia="Times New Roman" w:hAnsi="Times New Roman" w:cs="Times New Roman"/>
          <w:color w:val="000000"/>
          <w:spacing w:val="0"/>
          <w:w w:val="100"/>
          <w:position w:val="0"/>
          <w:sz w:val="24"/>
          <w:szCs w:val="24"/>
        </w:rPr>
        <w:t>0.43</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0.43</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300" w:line="300" w:lineRule="exact"/>
        <w:ind w:left="720" w:right="0" w:firstLine="0"/>
        <w:jc w:val="both"/>
        <w:rPr>
          <w:sz w:val="22"/>
          <w:szCs w:val="22"/>
        </w:rPr>
      </w:pPr>
      <w:r>
        <w:rPr>
          <w:color w:val="000000"/>
          <w:spacing w:val="0"/>
          <w:w w:val="100"/>
          <w:position w:val="0"/>
          <w:sz w:val="22"/>
          <w:szCs w:val="22"/>
        </w:rPr>
        <w:t>对于资产负债表日持有的、使本集团面临现金流量利率风险的非衍生工具，上述敏感性分 析中的股东权益及净利润的影响是上述利率变动对本年估算的利息费用的影响。上一年度 的分析基于同样的假设和方法。</w:t>
      </w:r>
    </w:p>
    <w:p>
      <w:pPr>
        <w:pStyle w:val="Style5"/>
        <w:keepNext w:val="0"/>
        <w:keepLines w:val="0"/>
        <w:widowControl w:val="0"/>
        <w:shd w:val="clear" w:color="auto" w:fill="auto"/>
        <w:tabs>
          <w:tab w:pos="1162" w:val="left"/>
        </w:tabs>
        <w:bidi w:val="0"/>
        <w:spacing w:before="0" w:after="240" w:line="264" w:lineRule="auto"/>
        <w:ind w:left="0" w:right="0" w:firstLine="720"/>
        <w:jc w:val="both"/>
        <w:rPr>
          <w:sz w:val="22"/>
          <w:szCs w:val="22"/>
        </w:rPr>
      </w:pPr>
      <w:bookmarkStart w:id="1528" w:name="bookmark1528"/>
      <w:r>
        <w:rPr>
          <w:rFonts w:ascii="Times New Roman" w:eastAsia="Times New Roman" w:hAnsi="Times New Roman" w:cs="Times New Roman"/>
          <w:color w:val="000000"/>
          <w:spacing w:val="0"/>
          <w:w w:val="100"/>
          <w:position w:val="0"/>
          <w:sz w:val="24"/>
          <w:szCs w:val="24"/>
        </w:rPr>
        <w:t>（</w:t>
      </w:r>
      <w:bookmarkEnd w:id="1528"/>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2"/>
          <w:szCs w:val="22"/>
        </w:rPr>
        <w:t>信用风险</w:t>
      </w:r>
    </w:p>
    <w:p>
      <w:pPr>
        <w:pStyle w:val="Style5"/>
        <w:keepNext w:val="0"/>
        <w:keepLines w:val="0"/>
        <w:widowControl w:val="0"/>
        <w:shd w:val="clear" w:color="auto" w:fill="auto"/>
        <w:bidi w:val="0"/>
        <w:spacing w:before="0" w:after="240" w:line="305" w:lineRule="exact"/>
        <w:ind w:left="720" w:right="0" w:firstLine="0"/>
        <w:jc w:val="both"/>
        <w:rPr>
          <w:sz w:val="22"/>
          <w:szCs w:val="22"/>
        </w:rPr>
      </w:pPr>
      <w:r>
        <w:rPr>
          <w:color w:val="000000"/>
          <w:spacing w:val="0"/>
          <w:w w:val="100"/>
          <w:position w:val="0"/>
          <w:sz w:val="22"/>
          <w:szCs w:val="22"/>
        </w:rPr>
        <w:t>信用风险，是指金融工具的一方不能履行义务，造成另一方发生财务损失的风险。本集团 对信用风险按组合分类进行管理。本集团的货币资金，以及提供给企业用户、个人用户、 关联方及其它电信运营商的信用额度均会产生信用风险。</w:t>
      </w:r>
    </w:p>
    <w:p>
      <w:pPr>
        <w:pStyle w:val="Style5"/>
        <w:keepNext w:val="0"/>
        <w:keepLines w:val="0"/>
        <w:widowControl w:val="0"/>
        <w:shd w:val="clear" w:color="auto" w:fill="auto"/>
        <w:bidi w:val="0"/>
        <w:spacing w:before="0" w:after="240" w:line="298" w:lineRule="exact"/>
        <w:ind w:left="720" w:right="0" w:firstLine="0"/>
        <w:jc w:val="both"/>
        <w:rPr>
          <w:sz w:val="22"/>
          <w:szCs w:val="22"/>
        </w:rPr>
      </w:pPr>
      <w:r>
        <w:rPr>
          <w:color w:val="000000"/>
          <w:spacing w:val="0"/>
          <w:w w:val="100"/>
          <w:position w:val="0"/>
          <w:sz w:val="22"/>
          <w:szCs w:val="22"/>
        </w:rPr>
        <w:t>本集团除现金以外的货币资金主要存放于信用良好的国有及其他大型银行，管理层认为不 存在重大的信用风险，预期不会因为对方违约而给本集团造成损失。</w:t>
      </w:r>
    </w:p>
    <w:p>
      <w:pPr>
        <w:pStyle w:val="Style5"/>
        <w:keepNext w:val="0"/>
        <w:keepLines w:val="0"/>
        <w:widowControl w:val="0"/>
        <w:shd w:val="clear" w:color="auto" w:fill="auto"/>
        <w:bidi w:val="0"/>
        <w:spacing w:before="0" w:after="240" w:line="302" w:lineRule="exact"/>
        <w:ind w:left="720" w:right="0" w:firstLine="0"/>
        <w:jc w:val="both"/>
        <w:rPr>
          <w:sz w:val="22"/>
          <w:szCs w:val="22"/>
        </w:rPr>
      </w:pPr>
      <w:r>
        <w:rPr>
          <w:color w:val="000000"/>
          <w:spacing w:val="0"/>
          <w:w w:val="100"/>
          <w:position w:val="0"/>
          <w:sz w:val="22"/>
          <w:szCs w:val="22"/>
        </w:rPr>
        <w:t>此外，本集团于政企客户及个人用户方面并无重大的信用集中风险。本集团的信用风险敞 口主要表现为应收服务款项以及应收合约用户通信终端款。本集团设定相关政策以限制该 信用风险敞口。本集团基于对用户的财务状况、从第三方获取担保的可能性、信用记录及 其他因素诸如目前市场状况等评估了用户信用资质并设置信用额度。本集团授予通信服务 用户的信用期一般为自账单日起平均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天。本集团对政企大客户所授予的信用期基于服 务合同约定条款，一般不超过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年。本集团定期对用户使用其信用额度的状况以及结算惯 例进行监控。对于其他应收款项，本集团会对欠款超过一定金额的对方单位单独进行信用 评估，关注对方单位支付到期款项的历史记录、目前的支付能力及其他在对方单位经营的 经济环境下需考虑的特定因素。</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80" w:line="240" w:lineRule="auto"/>
        <w:ind w:left="0" w:right="0" w:firstLine="0"/>
        <w:jc w:val="both"/>
        <w:rPr>
          <w:sz w:val="22"/>
          <w:szCs w:val="22"/>
        </w:rPr>
      </w:pPr>
      <w:r>
        <w:rPr>
          <w:color w:val="000000"/>
          <w:spacing w:val="0"/>
          <w:w w:val="100"/>
          <w:position w:val="0"/>
          <w:sz w:val="22"/>
          <w:szCs w:val="22"/>
        </w:rPr>
        <w:t>八、 金融工具及其风险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01" w:val="left"/>
        </w:tabs>
        <w:bidi w:val="0"/>
        <w:spacing w:before="0" w:after="28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金融风险因素</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43"/>
        </w:numPr>
        <w:shd w:val="clear" w:color="auto" w:fill="auto"/>
        <w:tabs>
          <w:tab w:pos="1179" w:val="left"/>
        </w:tabs>
        <w:bidi w:val="0"/>
        <w:spacing w:before="0" w:after="280" w:line="307" w:lineRule="exact"/>
        <w:ind w:left="0" w:right="0" w:firstLine="720"/>
        <w:jc w:val="both"/>
        <w:rPr>
          <w:sz w:val="22"/>
          <w:szCs w:val="22"/>
        </w:rPr>
      </w:pPr>
      <w:bookmarkStart w:id="1529" w:name="bookmark1529"/>
      <w:bookmarkEnd w:id="1529"/>
      <w:r>
        <w:rPr>
          <w:color w:val="000000"/>
          <w:spacing w:val="0"/>
          <w:w w:val="100"/>
          <w:position w:val="0"/>
          <w:sz w:val="22"/>
          <w:szCs w:val="22"/>
        </w:rPr>
        <w:t>信用风险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80" w:line="307" w:lineRule="exact"/>
        <w:ind w:left="720" w:right="0" w:firstLine="0"/>
        <w:jc w:val="both"/>
        <w:rPr>
          <w:sz w:val="22"/>
          <w:szCs w:val="22"/>
        </w:rPr>
      </w:pPr>
      <w:r>
        <w:rPr>
          <w:color w:val="000000"/>
          <w:spacing w:val="0"/>
          <w:w w:val="100"/>
          <w:position w:val="0"/>
          <w:sz w:val="22"/>
          <w:szCs w:val="22"/>
        </w:rPr>
        <w:t>由于关联方及其它电信运营商具有良好的信誉，并且应收此等公司的款项均定期结算，相 关的信用风险并不重大。</w:t>
      </w:r>
    </w:p>
    <w:p>
      <w:pPr>
        <w:pStyle w:val="Style5"/>
        <w:keepNext w:val="0"/>
        <w:keepLines w:val="0"/>
        <w:widowControl w:val="0"/>
        <w:numPr>
          <w:ilvl w:val="0"/>
          <w:numId w:val="143"/>
        </w:numPr>
        <w:shd w:val="clear" w:color="auto" w:fill="auto"/>
        <w:tabs>
          <w:tab w:pos="1179" w:val="left"/>
        </w:tabs>
        <w:bidi w:val="0"/>
        <w:spacing w:before="0" w:after="280" w:line="307" w:lineRule="exact"/>
        <w:ind w:left="720" w:right="0" w:firstLine="0"/>
        <w:jc w:val="both"/>
        <w:rPr>
          <w:sz w:val="22"/>
          <w:szCs w:val="22"/>
        </w:rPr>
      </w:pPr>
      <w:bookmarkStart w:id="1530" w:name="bookmark1530"/>
      <w:bookmarkEnd w:id="1530"/>
      <w:r>
        <w:rPr>
          <w:color w:val="000000"/>
          <w:spacing w:val="0"/>
          <w:w w:val="100"/>
          <w:position w:val="0"/>
          <w:sz w:val="22"/>
          <w:szCs w:val="22"/>
        </w:rPr>
        <w:t>流动性风险</w:t>
      </w:r>
    </w:p>
    <w:p>
      <w:pPr>
        <w:pStyle w:val="Style5"/>
        <w:keepNext w:val="0"/>
        <w:keepLines w:val="0"/>
        <w:widowControl w:val="0"/>
        <w:shd w:val="clear" w:color="auto" w:fill="auto"/>
        <w:bidi w:val="0"/>
        <w:spacing w:before="0" w:after="280" w:line="307" w:lineRule="exact"/>
        <w:ind w:left="720" w:right="0" w:firstLine="0"/>
        <w:jc w:val="both"/>
        <w:rPr>
          <w:sz w:val="22"/>
          <w:szCs w:val="22"/>
        </w:rPr>
      </w:pPr>
      <w:r>
        <w:rPr>
          <w:color w:val="000000"/>
          <w:spacing w:val="0"/>
          <w:w w:val="100"/>
          <w:position w:val="0"/>
          <w:sz w:val="22"/>
          <w:szCs w:val="22"/>
        </w:rPr>
        <w:t>谨慎的流动性风险管理指通过不同资金渠道来维持充足的现金和资金获取能力，包括借入 银行借款及发行债券。由于业务本身的多变性，本集团资金管理中心通过维持充足的现金 及现金等价物和通过保持不同的融资渠道来保持营运资金的灵活性。本集团以持续经营基 准编制其财务报表，请详见附注二</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说明。</w:t>
      </w:r>
    </w:p>
    <w:p>
      <w:pPr>
        <w:pStyle w:val="Style5"/>
        <w:keepNext w:val="0"/>
        <w:keepLines w:val="0"/>
        <w:widowControl w:val="0"/>
        <w:shd w:val="clear" w:color="auto" w:fill="auto"/>
        <w:bidi w:val="0"/>
        <w:spacing w:before="0" w:after="280" w:line="307" w:lineRule="exact"/>
        <w:ind w:left="720" w:right="0" w:firstLine="0"/>
        <w:jc w:val="both"/>
        <w:rPr>
          <w:sz w:val="22"/>
          <w:szCs w:val="22"/>
        </w:rPr>
      </w:pPr>
      <w:r>
        <w:rPr>
          <w:color w:val="000000"/>
          <w:spacing w:val="0"/>
          <w:w w:val="100"/>
          <w:position w:val="0"/>
          <w:sz w:val="22"/>
          <w:szCs w:val="22"/>
        </w:rPr>
        <w:t>本集团于资产负债日的金融负债以未折现金额按合约规定的到期日列示如下：</w:t>
      </w:r>
    </w:p>
    <w:tbl>
      <w:tblPr>
        <w:tblOverlap w:val="never"/>
        <w:jc w:val="right"/>
        <w:tblLayout w:type="fixed"/>
      </w:tblPr>
      <w:tblGrid>
        <w:gridCol w:w="2453"/>
        <w:gridCol w:w="1579"/>
        <w:gridCol w:w="1378"/>
        <w:gridCol w:w="1498"/>
        <w:gridCol w:w="1358"/>
        <w:gridCol w:w="1147"/>
      </w:tblGrid>
      <w:tr>
        <w:trPr>
          <w:trHeight w:val="283"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单位：人民币百万元</w:t>
            </w:r>
            <w:r>
              <w:rPr>
                <w:color w:val="000000"/>
                <w:spacing w:val="0"/>
                <w:w w:val="100"/>
                <w:position w:val="0"/>
                <w:u w:val="single"/>
              </w:rPr>
              <w:t>)</w:t>
            </w:r>
          </w:p>
        </w:tc>
        <w:tc>
          <w:tcPr>
            <w:gridSpan w:val="5"/>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8" w:hRule="exact"/>
        </w:trPr>
        <w:tc>
          <w:tcPr>
            <w:vMerge/>
            <w:tcBorders/>
            <w:shd w:val="clear" w:color="auto" w:fill="FFFFFF"/>
            <w:vAlign w:val="center"/>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u w:val="single"/>
              </w:rPr>
              <w:t>1</w:t>
            </w:r>
            <w:r>
              <w:rPr>
                <w:color w:val="000000"/>
                <w:spacing w:val="0"/>
                <w:w w:val="100"/>
                <w:position w:val="0"/>
                <w:u w:val="single"/>
              </w:rPr>
              <w:t>年以内</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u w:val="single"/>
              </w:rPr>
              <w:t>1</w:t>
            </w:r>
            <w:r>
              <w:rPr>
                <w:color w:val="000000"/>
                <w:spacing w:val="0"/>
                <w:w w:val="100"/>
                <w:position w:val="0"/>
                <w:u w:val="single"/>
              </w:rPr>
              <w:t>至</w:t>
            </w:r>
            <w:r>
              <w:rPr>
                <w:rFonts w:ascii="Times New Roman" w:eastAsia="Times New Roman" w:hAnsi="Times New Roman" w:cs="Times New Roman"/>
                <w:color w:val="000000"/>
                <w:spacing w:val="0"/>
                <w:w w:val="100"/>
                <w:position w:val="0"/>
                <w:u w:val="single"/>
              </w:rPr>
              <w:t>2</w:t>
            </w:r>
            <w:r>
              <w:rPr>
                <w:color w:val="000000"/>
                <w:spacing w:val="0"/>
                <w:w w:val="100"/>
                <w:position w:val="0"/>
                <w:u w:val="single"/>
              </w:rPr>
              <w:t>年</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rPr>
              <w:t>5</w:t>
            </w:r>
            <w:r>
              <w:rPr>
                <w:color w:val="000000"/>
                <w:spacing w:val="0"/>
                <w:w w:val="100"/>
                <w:position w:val="0"/>
                <w:u w:val="single"/>
              </w:rPr>
              <w:t>年以上</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420" w:firstLine="0"/>
              <w:jc w:val="right"/>
            </w:pPr>
            <w:r>
              <w:rPr>
                <w:color w:val="000000"/>
                <w:spacing w:val="0"/>
                <w:w w:val="100"/>
                <w:position w:val="0"/>
                <w:u w:val="single"/>
              </w:rPr>
              <w:t>合计</w:t>
            </w:r>
          </w:p>
        </w:tc>
      </w:tr>
      <w:tr>
        <w:trPr>
          <w:trHeight w:val="38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867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2,571</w:t>
            </w:r>
          </w:p>
        </w:tc>
      </w:tr>
      <w:tr>
        <w:trPr>
          <w:trHeight w:val="26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3,106</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161,325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161,325</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6,894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6,894</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12,395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5,882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24,052</w:t>
            </w:r>
          </w:p>
        </w:tc>
      </w:tr>
      <w:tr>
        <w:trPr>
          <w:trHeight w:val="25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392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392</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863</w:t>
            </w:r>
          </w:p>
        </w:tc>
      </w:tr>
      <w:tr>
        <w:trPr>
          <w:trHeight w:val="33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184,525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6,766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3,185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199,334</w:t>
            </w:r>
          </w:p>
        </w:tc>
      </w:tr>
    </w:tbl>
    <w:p>
      <w:pPr>
        <w:widowControl w:val="0"/>
        <w:spacing w:after="2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right"/>
        <w:tblLayout w:type="fixed"/>
      </w:tblPr>
      <w:tblGrid>
        <w:gridCol w:w="2453"/>
        <w:gridCol w:w="1579"/>
        <w:gridCol w:w="1382"/>
        <w:gridCol w:w="1382"/>
        <w:gridCol w:w="1464"/>
        <w:gridCol w:w="1152"/>
      </w:tblGrid>
      <w:tr>
        <w:trPr>
          <w:trHeight w:val="41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单位：人民币百万元</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年以上</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420" w:firstLine="0"/>
              <w:jc w:val="right"/>
            </w:pPr>
            <w:r>
              <w:rPr>
                <w:color w:val="000000"/>
                <w:spacing w:val="0"/>
                <w:w w:val="100"/>
                <w:position w:val="0"/>
                <w:u w:val="single"/>
              </w:rPr>
              <w:t>合计</w:t>
            </w:r>
          </w:p>
        </w:tc>
      </w:tr>
      <w:tr>
        <w:trPr>
          <w:trHeight w:val="38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1,372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3,484</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27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3,064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4,249</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152,577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152,577</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7,057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7,057</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11,757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10,352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29,810</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w:t>
            </w:r>
          </w:p>
        </w:tc>
      </w:tr>
      <w:tr>
        <w:trPr>
          <w:trHeight w:val="33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173,768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13,896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7,444</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2,933</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198,041</w:t>
            </w:r>
          </w:p>
        </w:tc>
      </w:tr>
    </w:tbl>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67" w:val="left"/>
        </w:tabs>
        <w:bidi w:val="0"/>
        <w:spacing w:before="0" w:after="260" w:line="307" w:lineRule="exact"/>
        <w:ind w:left="0" w:right="0" w:firstLine="0"/>
        <w:jc w:val="both"/>
        <w:rPr>
          <w:sz w:val="22"/>
          <w:szCs w:val="22"/>
        </w:rPr>
      </w:pPr>
      <w:r>
        <w:rPr>
          <w:color w:val="000000"/>
          <w:spacing w:val="0"/>
          <w:w w:val="100"/>
          <w:position w:val="0"/>
          <w:sz w:val="22"/>
          <w:szCs w:val="22"/>
        </w:rPr>
        <w:t>八、</w:t>
        <w:tab/>
        <w:t>金融工具及其风险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67" w:val="left"/>
        </w:tabs>
        <w:bidi w:val="0"/>
        <w:spacing w:before="0" w:after="260" w:line="266"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资本风险管理</w:t>
      </w:r>
    </w:p>
    <w:p>
      <w:pPr>
        <w:pStyle w:val="Style5"/>
        <w:keepNext w:val="0"/>
        <w:keepLines w:val="0"/>
        <w:widowControl w:val="0"/>
        <w:shd w:val="clear" w:color="auto" w:fill="auto"/>
        <w:bidi w:val="0"/>
        <w:spacing w:before="0" w:after="260" w:line="307" w:lineRule="exact"/>
        <w:ind w:left="0" w:right="0" w:firstLine="720"/>
        <w:jc w:val="both"/>
        <w:rPr>
          <w:sz w:val="22"/>
          <w:szCs w:val="22"/>
        </w:rPr>
      </w:pPr>
      <w:r>
        <w:rPr>
          <w:color w:val="000000"/>
          <w:spacing w:val="0"/>
          <w:w w:val="100"/>
          <w:position w:val="0"/>
          <w:sz w:val="22"/>
          <w:szCs w:val="22"/>
        </w:rPr>
        <w:t>本集团资本管理的目标为：</w:t>
      </w:r>
    </w:p>
    <w:p>
      <w:pPr>
        <w:pStyle w:val="Style5"/>
        <w:keepNext w:val="0"/>
        <w:keepLines w:val="0"/>
        <w:widowControl w:val="0"/>
        <w:numPr>
          <w:ilvl w:val="0"/>
          <w:numId w:val="145"/>
        </w:numPr>
        <w:shd w:val="clear" w:color="auto" w:fill="auto"/>
        <w:tabs>
          <w:tab w:pos="1264" w:val="left"/>
        </w:tabs>
        <w:bidi w:val="0"/>
        <w:spacing w:before="0" w:after="0" w:line="307" w:lineRule="exact"/>
        <w:ind w:left="0" w:right="0" w:firstLine="720"/>
        <w:jc w:val="both"/>
        <w:rPr>
          <w:sz w:val="22"/>
          <w:szCs w:val="22"/>
        </w:rPr>
      </w:pPr>
      <w:bookmarkStart w:id="1531" w:name="bookmark1531"/>
      <w:bookmarkEnd w:id="1531"/>
      <w:r>
        <w:rPr>
          <w:color w:val="000000"/>
          <w:spacing w:val="0"/>
          <w:w w:val="100"/>
          <w:position w:val="0"/>
          <w:sz w:val="22"/>
          <w:szCs w:val="22"/>
        </w:rPr>
        <w:t>保障本集团的持续经营能力，从而持续地为股东提供回报及使其它利益相关者受益。</w:t>
      </w:r>
    </w:p>
    <w:p>
      <w:pPr>
        <w:pStyle w:val="Style5"/>
        <w:keepNext w:val="0"/>
        <w:keepLines w:val="0"/>
        <w:widowControl w:val="0"/>
        <w:numPr>
          <w:ilvl w:val="0"/>
          <w:numId w:val="145"/>
        </w:numPr>
        <w:shd w:val="clear" w:color="auto" w:fill="auto"/>
        <w:tabs>
          <w:tab w:pos="1264" w:val="left"/>
        </w:tabs>
        <w:bidi w:val="0"/>
        <w:spacing w:before="0" w:after="0" w:line="307" w:lineRule="exact"/>
        <w:ind w:left="0" w:right="0" w:firstLine="720"/>
        <w:jc w:val="both"/>
        <w:rPr>
          <w:sz w:val="22"/>
          <w:szCs w:val="22"/>
        </w:rPr>
      </w:pPr>
      <w:bookmarkStart w:id="1532" w:name="bookmark1532"/>
      <w:bookmarkEnd w:id="1532"/>
      <w:r>
        <w:rPr>
          <w:color w:val="000000"/>
          <w:spacing w:val="0"/>
          <w:w w:val="100"/>
          <w:position w:val="0"/>
          <w:sz w:val="22"/>
          <w:szCs w:val="22"/>
        </w:rPr>
        <w:t>保持本集团的稳定及增长。</w:t>
      </w:r>
    </w:p>
    <w:p>
      <w:pPr>
        <w:pStyle w:val="Style5"/>
        <w:keepNext w:val="0"/>
        <w:keepLines w:val="0"/>
        <w:widowControl w:val="0"/>
        <w:numPr>
          <w:ilvl w:val="0"/>
          <w:numId w:val="145"/>
        </w:numPr>
        <w:shd w:val="clear" w:color="auto" w:fill="auto"/>
        <w:tabs>
          <w:tab w:pos="1264" w:val="left"/>
        </w:tabs>
        <w:bidi w:val="0"/>
        <w:spacing w:before="0" w:after="260" w:line="307" w:lineRule="exact"/>
        <w:ind w:left="0" w:right="0" w:firstLine="720"/>
        <w:jc w:val="both"/>
        <w:rPr>
          <w:sz w:val="22"/>
          <w:szCs w:val="22"/>
        </w:rPr>
      </w:pPr>
      <w:bookmarkStart w:id="1533" w:name="bookmark1533"/>
      <w:bookmarkEnd w:id="1533"/>
      <w:r>
        <w:rPr>
          <w:color w:val="000000"/>
          <w:spacing w:val="0"/>
          <w:w w:val="100"/>
          <w:position w:val="0"/>
          <w:sz w:val="22"/>
          <w:szCs w:val="22"/>
        </w:rPr>
        <w:t>提供资本，以强化本集团的风险管理能力。</w:t>
      </w:r>
    </w:p>
    <w:p>
      <w:pPr>
        <w:pStyle w:val="Style5"/>
        <w:keepNext w:val="0"/>
        <w:keepLines w:val="0"/>
        <w:widowControl w:val="0"/>
        <w:shd w:val="clear" w:color="auto" w:fill="auto"/>
        <w:bidi w:val="0"/>
        <w:spacing w:before="0" w:after="260" w:line="310" w:lineRule="exact"/>
        <w:ind w:left="720" w:right="0" w:firstLine="20"/>
        <w:jc w:val="both"/>
        <w:rPr>
          <w:sz w:val="22"/>
          <w:szCs w:val="22"/>
        </w:rPr>
      </w:pPr>
      <w:r>
        <w:rPr>
          <w:color w:val="000000"/>
          <w:spacing w:val="0"/>
          <w:w w:val="100"/>
          <w:position w:val="0"/>
          <w:sz w:val="22"/>
          <w:szCs w:val="22"/>
        </w:rPr>
        <w:t>为了保持及调整资本结构，本集团积极定期复核及管理自身的资本结构，力求达到最理想 的资本结构及股东回报。本集团考虑的因素包括：本集团未来的资本需求、资本效率、现 时的及预期的盈利能力、预期的经营现金流、预期资本开支及预期的战略投资机会。</w:t>
      </w:r>
    </w:p>
    <w:p>
      <w:pPr>
        <w:pStyle w:val="Style5"/>
        <w:keepNext w:val="0"/>
        <w:keepLines w:val="0"/>
        <w:widowControl w:val="0"/>
        <w:shd w:val="clear" w:color="auto" w:fill="auto"/>
        <w:bidi w:val="0"/>
        <w:spacing w:before="0" w:after="0" w:line="305" w:lineRule="exact"/>
        <w:ind w:left="720" w:right="0" w:firstLine="20"/>
        <w:jc w:val="both"/>
        <w:rPr>
          <w:sz w:val="22"/>
          <w:szCs w:val="22"/>
        </w:rPr>
      </w:pPr>
      <w:r>
        <w:rPr>
          <w:color w:val="000000"/>
          <w:spacing w:val="0"/>
          <w:w w:val="100"/>
          <w:position w:val="0"/>
          <w:sz w:val="22"/>
          <w:szCs w:val="22"/>
        </w:rPr>
        <w:t>本集团以债务资本率来检查资本状况，债务资本率为带息债务除以带息债务加股东权益。</w:t>
      </w:r>
    </w:p>
    <w:p>
      <w:pPr>
        <w:pStyle w:val="Style5"/>
        <w:keepNext w:val="0"/>
        <w:keepLines w:val="0"/>
        <w:widowControl w:val="0"/>
        <w:shd w:val="clear" w:color="auto" w:fill="auto"/>
        <w:bidi w:val="0"/>
        <w:spacing w:before="0" w:after="260" w:line="305" w:lineRule="exact"/>
        <w:ind w:left="720" w:right="0" w:firstLine="20"/>
        <w:jc w:val="both"/>
        <w:rPr>
          <w:sz w:val="22"/>
          <w:szCs w:val="22"/>
        </w:rPr>
      </w:pPr>
      <w:r>
        <w:rPr>
          <w:color w:val="000000"/>
          <w:spacing w:val="0"/>
          <w:w w:val="100"/>
          <w:position w:val="0"/>
          <w:sz w:val="22"/>
          <w:szCs w:val="22"/>
        </w:rPr>
        <w:t>带息债务主要包括资产负债表中的长短期银行借款、长短期债券及租赁负债等，未包括财 务公司自联通集团及其子公司以及其他合营和联营企业的吸收存款合计约人民币</w:t>
      </w:r>
      <w:r>
        <w:rPr>
          <w:rFonts w:ascii="Times New Roman" w:eastAsia="Times New Roman" w:hAnsi="Times New Roman" w:cs="Times New Roman"/>
          <w:color w:val="000000"/>
          <w:spacing w:val="0"/>
          <w:w w:val="100"/>
          <w:position w:val="0"/>
          <w:sz w:val="24"/>
          <w:szCs w:val="24"/>
        </w:rPr>
        <w:t>42.31</w:t>
      </w:r>
      <w:r>
        <w:rPr>
          <w:color w:val="000000"/>
          <w:spacing w:val="0"/>
          <w:w w:val="100"/>
          <w:position w:val="0"/>
          <w:sz w:val="22"/>
          <w:szCs w:val="22"/>
        </w:rPr>
        <w:t>亿 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35.91</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320" w:line="307" w:lineRule="exact"/>
        <w:ind w:left="720" w:right="0" w:firstLine="2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日，本集团的债务资本率如下：</w:t>
      </w:r>
    </w:p>
    <w:p>
      <w:pPr>
        <w:pStyle w:val="Style25"/>
        <w:keepNext w:val="0"/>
        <w:keepLines w:val="0"/>
        <w:widowControl w:val="0"/>
        <w:shd w:val="clear" w:color="auto" w:fill="auto"/>
        <w:tabs>
          <w:tab w:pos="1522" w:val="left"/>
        </w:tabs>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tab/>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p>
      <w:pPr>
        <w:pStyle w:val="Style25"/>
        <w:keepNext w:val="0"/>
        <w:keepLines w:val="0"/>
        <w:widowControl w:val="0"/>
        <w:shd w:val="clear" w:color="auto" w:fill="auto"/>
        <w:tabs>
          <w:tab w:pos="6571"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w:t>
      </w:r>
      <w:r>
        <w:rPr>
          <w:color w:val="000000"/>
          <w:spacing w:val="0"/>
          <w:w w:val="100"/>
          <w:position w:val="0"/>
          <w:sz w:val="22"/>
          <w:szCs w:val="22"/>
          <w:u w:val="single"/>
        </w:rPr>
        <w:t>单位：人民币百万元</w:t>
      </w:r>
      <w:r>
        <w:rPr>
          <w:rFonts w:ascii="Times New Roman" w:eastAsia="Times New Roman" w:hAnsi="Times New Roman" w:cs="Times New Roman"/>
          <w:color w:val="000000"/>
          <w:spacing w:val="0"/>
          <w:w w:val="100"/>
          <w:position w:val="0"/>
          <w:sz w:val="24"/>
          <w:szCs w:val="24"/>
          <w:u w:val="single"/>
        </w:rPr>
        <w:t>）</w:t>
        <w:tab/>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 xml:space="preserve">日 </w:t>
      </w: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bl>
      <w:tblPr>
        <w:tblOverlap w:val="never"/>
        <w:jc w:val="right"/>
        <w:tblLayout w:type="fixed"/>
      </w:tblPr>
      <w:tblGrid>
        <w:gridCol w:w="4858"/>
        <w:gridCol w:w="3350"/>
        <w:gridCol w:w="1205"/>
      </w:tblGrid>
      <w:tr>
        <w:trPr>
          <w:trHeight w:val="638"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带息债务：</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其他流动负债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420" w:right="0" w:firstLine="0"/>
              <w:jc w:val="left"/>
              <w:rPr>
                <w:sz w:val="24"/>
                <w:szCs w:val="24"/>
              </w:rPr>
            </w:pPr>
            <w:r>
              <w:rPr>
                <w:rFonts w:ascii="Times New Roman" w:eastAsia="Times New Roman" w:hAnsi="Times New Roman" w:cs="Times New Roman"/>
                <w:color w:val="000000"/>
                <w:spacing w:val="0"/>
                <w:w w:val="100"/>
                <w:position w:val="0"/>
                <w:sz w:val="24"/>
                <w:szCs w:val="24"/>
              </w:rPr>
              <w:t>6,875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7,050</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短期借款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24"/>
                <w:szCs w:val="24"/>
              </w:rPr>
            </w:pPr>
            <w:r>
              <w:rPr>
                <w:rFonts w:ascii="Times New Roman" w:eastAsia="Times New Roman" w:hAnsi="Times New Roman" w:cs="Times New Roman"/>
                <w:color w:val="000000"/>
                <w:spacing w:val="0"/>
                <w:w w:val="100"/>
                <w:position w:val="0"/>
                <w:sz w:val="24"/>
                <w:szCs w:val="24"/>
              </w:rPr>
              <w:t>385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740</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一年内到期的长期借款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24"/>
                <w:szCs w:val="24"/>
              </w:rPr>
            </w:pPr>
            <w:r>
              <w:rPr>
                <w:rFonts w:ascii="Times New Roman" w:eastAsia="Times New Roman" w:hAnsi="Times New Roman" w:cs="Times New Roman"/>
                <w:color w:val="000000"/>
                <w:spacing w:val="0"/>
                <w:w w:val="100"/>
                <w:position w:val="0"/>
                <w:sz w:val="24"/>
                <w:szCs w:val="24"/>
              </w:rPr>
              <w:t>372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419</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一年内到期的应付债券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420" w:right="0" w:firstLine="0"/>
              <w:jc w:val="left"/>
              <w:rPr>
                <w:sz w:val="24"/>
                <w:szCs w:val="24"/>
              </w:rPr>
            </w:pPr>
            <w:r>
              <w:rPr>
                <w:rFonts w:ascii="Times New Roman" w:eastAsia="Times New Roman" w:hAnsi="Times New Roman" w:cs="Times New Roman"/>
                <w:color w:val="000000"/>
                <w:spacing w:val="0"/>
                <w:w w:val="100"/>
                <w:position w:val="0"/>
                <w:sz w:val="24"/>
                <w:szCs w:val="24"/>
              </w:rPr>
              <w:t>3,043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1,063</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一年内到期的租赁负债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300" w:right="0" w:firstLine="0"/>
              <w:jc w:val="left"/>
              <w:rPr>
                <w:sz w:val="24"/>
                <w:szCs w:val="24"/>
              </w:rPr>
            </w:pPr>
            <w:r>
              <w:rPr>
                <w:rFonts w:ascii="Times New Roman" w:eastAsia="Times New Roman" w:hAnsi="Times New Roman" w:cs="Times New Roman"/>
                <w:color w:val="000000"/>
                <w:spacing w:val="0"/>
                <w:w w:val="100"/>
                <w:position w:val="0"/>
                <w:sz w:val="24"/>
                <w:szCs w:val="24"/>
              </w:rPr>
              <w:t>12,144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11,503</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长期借款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420" w:right="0" w:firstLine="0"/>
              <w:jc w:val="left"/>
              <w:rPr>
                <w:sz w:val="24"/>
                <w:szCs w:val="24"/>
              </w:rPr>
            </w:pPr>
            <w:r>
              <w:rPr>
                <w:rFonts w:ascii="Times New Roman" w:eastAsia="Times New Roman" w:hAnsi="Times New Roman" w:cs="Times New Roman"/>
                <w:color w:val="000000"/>
                <w:spacing w:val="0"/>
                <w:w w:val="100"/>
                <w:position w:val="0"/>
                <w:sz w:val="24"/>
                <w:szCs w:val="24"/>
              </w:rPr>
              <w:t>1,835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2,482</w:t>
            </w:r>
          </w:p>
        </w:tc>
      </w:tr>
      <w:tr>
        <w:trPr>
          <w:trHeight w:val="30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应付债券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36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2,997</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租赁负债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300" w:right="0" w:firstLine="0"/>
              <w:jc w:val="left"/>
              <w:rPr>
                <w:sz w:val="24"/>
                <w:szCs w:val="24"/>
              </w:rPr>
            </w:pPr>
            <w:r>
              <w:rPr>
                <w:rFonts w:ascii="Times New Roman" w:eastAsia="Times New Roman" w:hAnsi="Times New Roman" w:cs="Times New Roman"/>
                <w:color w:val="000000"/>
                <w:spacing w:val="0"/>
                <w:w w:val="100"/>
                <w:position w:val="0"/>
                <w:sz w:val="24"/>
                <w:szCs w:val="24"/>
              </w:rPr>
              <w:t>10,415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16,458</w:t>
            </w:r>
          </w:p>
        </w:tc>
      </w:tr>
      <w:tr>
        <w:trPr>
          <w:trHeight w:val="46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带息债务合计</w:t>
            </w:r>
          </w:p>
        </w:tc>
        <w:tc>
          <w:tcPr>
            <w:tcBorders>
              <w:top w:val="single" w:sz="4"/>
            </w:tcBorders>
            <w:shd w:val="clear" w:color="auto" w:fill="FFFFFF"/>
            <w:vAlign w:val="top"/>
          </w:tcPr>
          <w:p>
            <w:pPr>
              <w:pStyle w:val="Style22"/>
              <w:keepNext w:val="0"/>
              <w:keepLines w:val="0"/>
              <w:widowControl w:val="0"/>
              <w:shd w:val="clear" w:color="auto" w:fill="auto"/>
              <w:tabs>
                <w:tab w:pos="3121" w:val="left"/>
              </w:tabs>
              <w:bidi w:val="0"/>
              <w:spacing w:before="0" w:after="0" w:line="240" w:lineRule="auto"/>
              <w:ind w:left="2300" w:right="0" w:firstLine="0"/>
              <w:jc w:val="left"/>
              <w:rPr>
                <w:sz w:val="24"/>
                <w:szCs w:val="24"/>
              </w:rPr>
            </w:pPr>
            <w:r>
              <w:rPr>
                <w:rFonts w:ascii="Times New Roman" w:eastAsia="Times New Roman" w:hAnsi="Times New Roman" w:cs="Times New Roman"/>
                <w:color w:val="000000"/>
                <w:spacing w:val="0"/>
                <w:w w:val="100"/>
                <w:position w:val="0"/>
                <w:sz w:val="24"/>
                <w:szCs w:val="24"/>
                <w:u w:val="single"/>
              </w:rPr>
              <w:t>35,069</w:t>
            </w:r>
            <w:r>
              <w:rPr>
                <w:rFonts w:ascii="Times New Roman" w:eastAsia="Times New Roman" w:hAnsi="Times New Roman" w:cs="Times New Roman"/>
                <w:color w:val="000000"/>
                <w:spacing w:val="0"/>
                <w:w w:val="100"/>
                <w:position w:val="0"/>
                <w:sz w:val="24"/>
                <w:szCs w:val="24"/>
              </w:rPr>
              <w:tab/>
              <w:t>_</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42,712</w:t>
            </w:r>
          </w:p>
        </w:tc>
      </w:tr>
      <w:tr>
        <w:trPr>
          <w:trHeight w:val="46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股东权益：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24"/>
                <w:szCs w:val="24"/>
              </w:rPr>
            </w:pPr>
            <w:r>
              <w:rPr>
                <w:rFonts w:ascii="Times New Roman" w:eastAsia="Times New Roman" w:hAnsi="Times New Roman" w:cs="Times New Roman"/>
                <w:color w:val="000000"/>
                <w:spacing w:val="0"/>
                <w:w w:val="100"/>
                <w:position w:val="0"/>
                <w:sz w:val="24"/>
                <w:szCs w:val="24"/>
              </w:rPr>
              <w:t>336,210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331,474</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带息债务加股东权益合计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60" w:firstLine="0"/>
              <w:jc w:val="right"/>
              <w:rPr>
                <w:sz w:val="24"/>
                <w:szCs w:val="24"/>
              </w:rPr>
            </w:pPr>
            <w:r>
              <w:rPr>
                <w:rFonts w:ascii="Times New Roman" w:eastAsia="Times New Roman" w:hAnsi="Times New Roman" w:cs="Times New Roman"/>
                <w:color w:val="000000"/>
                <w:spacing w:val="0"/>
                <w:w w:val="100"/>
                <w:position w:val="0"/>
                <w:sz w:val="24"/>
                <w:szCs w:val="24"/>
              </w:rPr>
              <w:t>371,279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374,186</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债务资本率</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24"/>
                <w:szCs w:val="24"/>
              </w:rPr>
            </w:pPr>
            <w:r>
              <w:rPr>
                <w:rFonts w:ascii="Times New Roman" w:eastAsia="Times New Roman" w:hAnsi="Times New Roman" w:cs="Times New Roman"/>
                <w:color w:val="000000"/>
                <w:spacing w:val="0"/>
                <w:w w:val="100"/>
                <w:position w:val="0"/>
                <w:sz w:val="24"/>
                <w:szCs w:val="24"/>
              </w:rPr>
              <w:t>9.45%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11.41%</w:t>
            </w:r>
          </w:p>
        </w:tc>
      </w:tr>
    </w:tbl>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2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300" w:line="313" w:lineRule="exact"/>
        <w:ind w:left="0" w:right="0" w:firstLine="0"/>
        <w:jc w:val="left"/>
        <w:rPr>
          <w:sz w:val="22"/>
          <w:szCs w:val="22"/>
        </w:rPr>
      </w:pPr>
      <w:bookmarkStart w:id="1534" w:name="bookmark1534"/>
      <w:r>
        <w:rPr>
          <w:color w:val="000000"/>
          <w:spacing w:val="0"/>
          <w:w w:val="100"/>
          <w:position w:val="0"/>
          <w:sz w:val="22"/>
          <w:szCs w:val="22"/>
        </w:rPr>
        <w:t>九</w:t>
      </w:r>
      <w:bookmarkEnd w:id="1534"/>
      <w:r>
        <w:rPr>
          <w:color w:val="000000"/>
          <w:spacing w:val="0"/>
          <w:w w:val="100"/>
          <w:position w:val="0"/>
          <w:sz w:val="22"/>
          <w:szCs w:val="22"/>
        </w:rPr>
        <w:t>、公允价值的披露</w:t>
      </w:r>
    </w:p>
    <w:p>
      <w:pPr>
        <w:pStyle w:val="Style5"/>
        <w:keepNext w:val="0"/>
        <w:keepLines w:val="0"/>
        <w:widowControl w:val="0"/>
        <w:shd w:val="clear" w:color="auto" w:fill="auto"/>
        <w:tabs>
          <w:tab w:pos="725" w:val="left"/>
        </w:tabs>
        <w:bidi w:val="0"/>
        <w:spacing w:before="0" w:after="240" w:line="313"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以公允价值计量的金融资产的年末公允价值</w:t>
      </w:r>
    </w:p>
    <w:p>
      <w:pPr>
        <w:pStyle w:val="Style5"/>
        <w:keepNext w:val="0"/>
        <w:keepLines w:val="0"/>
        <w:widowControl w:val="0"/>
        <w:shd w:val="clear" w:color="auto" w:fill="auto"/>
        <w:bidi w:val="0"/>
        <w:spacing w:before="0" w:after="300" w:line="313" w:lineRule="exact"/>
        <w:ind w:left="700" w:right="0" w:firstLine="20"/>
        <w:jc w:val="both"/>
        <w:rPr>
          <w:sz w:val="22"/>
          <w:szCs w:val="22"/>
        </w:rPr>
      </w:pPr>
      <w:r>
        <w:rPr>
          <w:color w:val="000000"/>
          <w:spacing w:val="0"/>
          <w:w w:val="100"/>
          <w:position w:val="0"/>
          <w:sz w:val="22"/>
          <w:szCs w:val="22"/>
        </w:rPr>
        <w:t>在活跃市场上交易的金融工具的公允价值以资产负债表日的市场报价为基础。若报价可方 便及定期的自交易所、证券商、经纪、行业团体、报价服务者、或监管代理处获得，且该 等报价代表按公平交易基准进行的实际或常规市场交易时，该市场被视为活跃。本集团持 有的其他权益工具投资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如对西班牙电信的股票投资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的市场报价为资产负债表日公开股票 交易市场上的买方报价。</w:t>
      </w:r>
    </w:p>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日，以公允价值计量的金融资产按公允价值计量层次列示如下:</w:t>
      </w:r>
    </w:p>
    <w:tbl>
      <w:tblPr>
        <w:tblOverlap w:val="never"/>
        <w:jc w:val="right"/>
        <w:tblLayout w:type="fixed"/>
      </w:tblPr>
      <w:tblGrid>
        <w:gridCol w:w="3408"/>
        <w:gridCol w:w="1800"/>
        <w:gridCol w:w="1440"/>
        <w:gridCol w:w="1555"/>
        <w:gridCol w:w="1210"/>
      </w:tblGrid>
      <w:tr>
        <w:trPr>
          <w:trHeight w:val="43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u w:val="single"/>
              </w:rPr>
              <w:t>（</w:t>
            </w:r>
            <w:r>
              <w:rPr>
                <w:color w:val="000000"/>
                <w:spacing w:val="0"/>
                <w:w w:val="100"/>
                <w:position w:val="0"/>
                <w:sz w:val="22"/>
                <w:szCs w:val="22"/>
                <w:u w:val="single"/>
              </w:rPr>
              <w:t>单位：人民币百万元</w:t>
            </w:r>
            <w:r>
              <w:rPr>
                <w:color w:val="000000"/>
                <w:spacing w:val="0"/>
                <w:w w:val="100"/>
                <w:position w:val="0"/>
                <w:sz w:val="24"/>
                <w:szCs w:val="24"/>
                <w:u w:val="single"/>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u w:val="single"/>
              </w:rPr>
              <w:t>第一层次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u w:val="single"/>
              </w:rPr>
              <w:t>第二层次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u w:val="single"/>
              </w:rPr>
              <w:t>第三层次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u w:val="single"/>
              </w:rPr>
              <w:t>合计</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交易性金融资产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3,143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42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24"/>
                <w:szCs w:val="24"/>
              </w:rPr>
            </w:pPr>
            <w:r>
              <w:rPr>
                <w:rFonts w:ascii="Times New Roman" w:eastAsia="Times New Roman" w:hAnsi="Times New Roman" w:cs="Times New Roman"/>
                <w:color w:val="000000"/>
                <w:spacing w:val="0"/>
                <w:w w:val="100"/>
                <w:position w:val="0"/>
                <w:sz w:val="24"/>
                <w:szCs w:val="24"/>
              </w:rPr>
              <w:t>102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3,287</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一年内到期的非流动资产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121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121</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其他权益工具投资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1,903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24"/>
                <w:szCs w:val="24"/>
              </w:rPr>
            </w:pPr>
            <w:r>
              <w:rPr>
                <w:rFonts w:ascii="Times New Roman" w:eastAsia="Times New Roman" w:hAnsi="Times New Roman" w:cs="Times New Roman"/>
                <w:color w:val="000000"/>
                <w:spacing w:val="0"/>
                <w:w w:val="100"/>
                <w:position w:val="0"/>
                <w:sz w:val="24"/>
                <w:szCs w:val="24"/>
              </w:rPr>
              <w:t>103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2,006</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其他流动资产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25,603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25,603</w:t>
            </w:r>
          </w:p>
        </w:tc>
      </w:tr>
      <w:tr>
        <w:trPr>
          <w:trHeight w:val="30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其他债权投资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906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906</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其他非流动金融资产</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24"/>
                <w:szCs w:val="24"/>
              </w:rPr>
            </w:pPr>
            <w:r>
              <w:rPr>
                <w:rFonts w:ascii="Times New Roman" w:eastAsia="Times New Roman" w:hAnsi="Times New Roman" w:cs="Times New Roman"/>
                <w:color w:val="000000"/>
                <w:spacing w:val="0"/>
                <w:w w:val="100"/>
                <w:position w:val="0"/>
                <w:sz w:val="24"/>
                <w:szCs w:val="24"/>
              </w:rPr>
              <w:t>803</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803</w:t>
            </w:r>
          </w:p>
        </w:tc>
      </w:tr>
    </w:tbl>
    <w:p>
      <w:pPr>
        <w:pStyle w:val="Style25"/>
        <w:keepNext w:val="0"/>
        <w:keepLines w:val="0"/>
        <w:widowControl w:val="0"/>
        <w:shd w:val="clear" w:color="auto" w:fill="auto"/>
        <w:tabs>
          <w:tab w:pos="4349" w:val="left"/>
          <w:tab w:pos="5184" w:val="left"/>
          <w:tab w:pos="7373" w:val="left"/>
          <w:tab w:pos="8674" w:val="left"/>
        </w:tabs>
        <w:bidi w:val="0"/>
        <w:spacing w:before="0" w:after="0" w:line="240" w:lineRule="auto"/>
        <w:ind w:left="10" w:right="0" w:firstLine="0"/>
        <w:jc w:val="left"/>
        <w:rPr>
          <w:sz w:val="24"/>
          <w:szCs w:val="24"/>
        </w:rPr>
      </w:pPr>
      <w:r>
        <w:rPr>
          <w:color w:val="000000"/>
          <w:spacing w:val="0"/>
          <w:w w:val="100"/>
          <w:position w:val="0"/>
          <w:sz w:val="22"/>
          <w:szCs w:val="22"/>
        </w:rPr>
        <w:t>合计</w:t>
        <w:tab/>
      </w:r>
      <w:r>
        <w:rPr>
          <w:rFonts w:ascii="Times New Roman" w:eastAsia="Times New Roman" w:hAnsi="Times New Roman" w:cs="Times New Roman"/>
          <w:color w:val="000000"/>
          <w:spacing w:val="0"/>
          <w:w w:val="100"/>
          <w:position w:val="0"/>
          <w:sz w:val="24"/>
          <w:szCs w:val="24"/>
          <w:u w:val="single"/>
        </w:rPr>
        <w:t>31,676</w:t>
      </w:r>
      <w:r>
        <w:rPr>
          <w:rFonts w:ascii="Times New Roman" w:eastAsia="Times New Roman" w:hAnsi="Times New Roman" w:cs="Times New Roman"/>
          <w:color w:val="000000"/>
          <w:spacing w:val="0"/>
          <w:w w:val="100"/>
          <w:position w:val="0"/>
          <w:sz w:val="24"/>
          <w:szCs w:val="24"/>
        </w:rPr>
        <w:tab/>
        <w:t>42</w:t>
        <w:tab/>
      </w:r>
      <w:r>
        <w:rPr>
          <w:rFonts w:ascii="Times New Roman" w:eastAsia="Times New Roman" w:hAnsi="Times New Roman" w:cs="Times New Roman"/>
          <w:color w:val="000000"/>
          <w:spacing w:val="0"/>
          <w:w w:val="100"/>
          <w:position w:val="0"/>
          <w:sz w:val="24"/>
          <w:szCs w:val="24"/>
          <w:u w:val="single"/>
        </w:rPr>
        <w:t>1,008</w:t>
        <w:tab/>
        <w:t>32,726</w:t>
      </w:r>
    </w:p>
    <w:p>
      <w:pPr>
        <w:widowControl w:val="0"/>
        <w:spacing w:after="2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日，以公允价值计量的金融资产按公允价值计量层次列示如下:</w:t>
      </w:r>
    </w:p>
    <w:tbl>
      <w:tblPr>
        <w:tblOverlap w:val="never"/>
        <w:jc w:val="right"/>
        <w:tblLayout w:type="fixed"/>
      </w:tblPr>
      <w:tblGrid>
        <w:gridCol w:w="3168"/>
        <w:gridCol w:w="2045"/>
        <w:gridCol w:w="1435"/>
        <w:gridCol w:w="1555"/>
        <w:gridCol w:w="1210"/>
      </w:tblGrid>
      <w:tr>
        <w:trPr>
          <w:trHeight w:val="43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单位:人民币百万元</w:t>
            </w: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u w:val="single"/>
              </w:rPr>
              <w:t>第一层次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第二层次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u w:val="single"/>
              </w:rPr>
              <w:t>第三层次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u w:val="single"/>
              </w:rPr>
              <w:t>合计</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交易性金融资产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1,436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100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24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1,560</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其他权益工具投资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1,786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1,838</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其他流动资产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22,629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22,629</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其他债权投资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721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721</w:t>
            </w:r>
          </w:p>
        </w:tc>
      </w:tr>
      <w:tr>
        <w:trPr>
          <w:trHeight w:val="30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其他非流动金融资产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24"/>
                <w:szCs w:val="24"/>
              </w:rPr>
            </w:pPr>
            <w:r>
              <w:rPr>
                <w:rFonts w:ascii="Times New Roman" w:eastAsia="Times New Roman" w:hAnsi="Times New Roman" w:cs="Times New Roman"/>
                <w:color w:val="000000"/>
                <w:spacing w:val="0"/>
                <w:w w:val="100"/>
                <w:position w:val="0"/>
                <w:sz w:val="24"/>
                <w:szCs w:val="24"/>
              </w:rPr>
              <w:t>905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934</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26,601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100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24"/>
                <w:szCs w:val="24"/>
              </w:rPr>
            </w:pPr>
            <w:r>
              <w:rPr>
                <w:rFonts w:ascii="Times New Roman" w:eastAsia="Times New Roman" w:hAnsi="Times New Roman" w:cs="Times New Roman"/>
                <w:color w:val="000000"/>
                <w:spacing w:val="0"/>
                <w:w w:val="100"/>
                <w:position w:val="0"/>
                <w:sz w:val="24"/>
                <w:szCs w:val="24"/>
              </w:rPr>
              <w:t>981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27,682</w:t>
            </w:r>
          </w:p>
        </w:tc>
      </w:tr>
    </w:tbl>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日止，无金融资产在各层次之间转移。</w:t>
      </w:r>
    </w:p>
    <w:p>
      <w:pPr>
        <w:pStyle w:val="Style97"/>
        <w:keepNext/>
        <w:keepLines/>
        <w:widowControl w:val="0"/>
        <w:shd w:val="clear" w:color="auto" w:fill="auto"/>
        <w:bidi w:val="0"/>
        <w:spacing w:before="0" w:after="0" w:line="240" w:lineRule="auto"/>
        <w:ind w:left="0" w:right="0" w:firstLine="0"/>
        <w:jc w:val="left"/>
      </w:pPr>
      <w:bookmarkStart w:id="1535" w:name="bookmark1535"/>
      <w:bookmarkStart w:id="1536" w:name="bookmark1536"/>
      <w:bookmarkStart w:id="1537" w:name="bookmark1537"/>
      <w:r>
        <w:rPr>
          <w:color w:val="000000"/>
          <w:spacing w:val="0"/>
          <w:w w:val="100"/>
          <w:position w:val="0"/>
        </w:rPr>
        <w:t>财务报表附注</w:t>
      </w:r>
      <w:bookmarkEnd w:id="1535"/>
      <w:bookmarkEnd w:id="1536"/>
      <w:bookmarkEnd w:id="1537"/>
    </w:p>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538"/>
      <w:bookmarkEnd w:id="1539"/>
      <w:bookmarkEnd w:id="1540"/>
    </w:p>
    <w:p>
      <w:pPr>
        <w:pStyle w:val="Style97"/>
        <w:keepNext/>
        <w:keepLines/>
        <w:widowControl w:val="0"/>
        <w:shd w:val="clear" w:color="auto" w:fill="auto"/>
        <w:tabs>
          <w:tab w:pos="701" w:val="left"/>
        </w:tabs>
        <w:bidi w:val="0"/>
        <w:spacing w:before="0" w:after="26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shd w:val="clear" w:color="auto" w:fill="FFFFFF"/>
        </w:rPr>
        <w:t>九</w:t>
      </w:r>
      <w:bookmarkEnd w:id="1543"/>
      <w:r>
        <w:rPr>
          <w:color w:val="000000"/>
          <w:spacing w:val="0"/>
          <w:w w:val="100"/>
          <w:position w:val="0"/>
          <w:shd w:val="clear" w:color="auto" w:fill="FFFFFF"/>
        </w:rPr>
        <w:t>、</w:t>
      </w:r>
      <w:r>
        <w:rPr>
          <w:color w:val="000000"/>
          <w:spacing w:val="0"/>
          <w:w w:val="100"/>
          <w:position w:val="0"/>
        </w:rPr>
        <w:tab/>
        <w:t>公允价值的披露</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541"/>
      <w:bookmarkEnd w:id="1542"/>
      <w:bookmarkEnd w:id="1544"/>
    </w:p>
    <w:p>
      <w:pPr>
        <w:pStyle w:val="Style97"/>
        <w:keepNext/>
        <w:keepLines/>
        <w:widowControl w:val="0"/>
        <w:shd w:val="clear" w:color="auto" w:fill="auto"/>
        <w:tabs>
          <w:tab w:pos="701" w:val="left"/>
        </w:tabs>
        <w:bidi w:val="0"/>
        <w:spacing w:before="0" w:after="260" w:line="240" w:lineRule="auto"/>
        <w:ind w:left="0" w:right="0" w:firstLine="0"/>
        <w:jc w:val="left"/>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不以公允价值计量的金融资产和金融负债的公允价值情况</w:t>
      </w:r>
      <w:bookmarkEnd w:id="1545"/>
      <w:bookmarkEnd w:id="1546"/>
      <w:bookmarkEnd w:id="1547"/>
    </w:p>
    <w:p>
      <w:pPr>
        <w:pStyle w:val="Style25"/>
        <w:keepNext w:val="0"/>
        <w:keepLines w:val="0"/>
        <w:widowControl w:val="0"/>
        <w:shd w:val="clear" w:color="auto" w:fill="auto"/>
        <w:tabs>
          <w:tab w:pos="4363" w:val="left"/>
          <w:tab w:pos="7675" w:val="left"/>
        </w:tabs>
        <w:bidi w:val="0"/>
        <w:spacing w:before="0" w:after="0" w:line="240" w:lineRule="auto"/>
        <w:ind w:left="2491"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日公允价值计量层次</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bl>
      <w:tblPr>
        <w:tblOverlap w:val="never"/>
        <w:jc w:val="right"/>
        <w:tblLayout w:type="fixed"/>
      </w:tblPr>
      <w:tblGrid>
        <w:gridCol w:w="2088"/>
        <w:gridCol w:w="1190"/>
        <w:gridCol w:w="1042"/>
        <w:gridCol w:w="1147"/>
        <w:gridCol w:w="1013"/>
        <w:gridCol w:w="989"/>
        <w:gridCol w:w="1018"/>
        <w:gridCol w:w="931"/>
      </w:tblGrid>
      <w:tr>
        <w:trPr>
          <w:trHeight w:val="35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8"/>
                <w:szCs w:val="18"/>
                <w:u w:val="single"/>
              </w:rPr>
              <w:t>单位：人民币百万元</w:t>
            </w:r>
            <w:r>
              <w:rPr>
                <w:color w:val="000000"/>
                <w:spacing w:val="0"/>
                <w:w w:val="100"/>
                <w:position w:val="0"/>
                <w:sz w:val="18"/>
                <w:szCs w:val="18"/>
                <w:u w:val="single"/>
              </w:rPr>
              <w:t>）</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u w:val="single"/>
              </w:rPr>
              <w:t>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8"/>
                <w:szCs w:val="18"/>
                <w:u w:val="single"/>
              </w:rPr>
              <w:t>第一层次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第二层次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第三层次</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公允价值</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2,482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2,552</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公司债券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2,050</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中期票据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1,005</w:t>
            </w:r>
          </w:p>
        </w:tc>
      </w:tr>
      <w:tr>
        <w:trPr>
          <w:trHeight w:val="29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1,835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5,523</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5,607</w:t>
            </w:r>
          </w:p>
        </w:tc>
      </w:tr>
    </w:tbl>
    <w:p>
      <w:pPr>
        <w:widowControl w:val="0"/>
        <w:spacing w:after="259" w:line="1" w:lineRule="exact"/>
      </w:pPr>
    </w:p>
    <w:p>
      <w:pPr>
        <w:pStyle w:val="Style97"/>
        <w:keepNext/>
        <w:keepLines/>
        <w:widowControl w:val="0"/>
        <w:shd w:val="clear" w:color="auto" w:fill="auto"/>
        <w:bidi w:val="0"/>
        <w:spacing w:before="0" w:after="320" w:line="307" w:lineRule="exact"/>
        <w:ind w:left="720" w:right="0" w:firstLine="20"/>
        <w:jc w:val="left"/>
      </w:pPr>
      <w:bookmarkStart w:id="1548" w:name="bookmark1548"/>
      <w:bookmarkStart w:id="1549" w:name="bookmark1549"/>
      <w:bookmarkStart w:id="1550" w:name="bookmark1550"/>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日长期借款的公允价值以预期的借款本金和支付利息的现金流量按市场 年利率</w:t>
      </w:r>
      <w:r>
        <w:rPr>
          <w:rFonts w:ascii="Times New Roman" w:eastAsia="Times New Roman" w:hAnsi="Times New Roman" w:cs="Times New Roman"/>
          <w:color w:val="000000"/>
          <w:spacing w:val="0"/>
          <w:w w:val="100"/>
          <w:position w:val="0"/>
          <w:sz w:val="24"/>
          <w:szCs w:val="24"/>
        </w:rPr>
        <w:t>0.57%</w:t>
      </w:r>
      <w:r>
        <w:rPr>
          <w:color w:val="000000"/>
          <w:spacing w:val="0"/>
          <w:w w:val="100"/>
          <w:position w:val="0"/>
        </w:rPr>
        <w:t>至</w:t>
      </w:r>
      <w:r>
        <w:rPr>
          <w:rFonts w:ascii="Times New Roman" w:eastAsia="Times New Roman" w:hAnsi="Times New Roman" w:cs="Times New Roman"/>
          <w:color w:val="000000"/>
          <w:spacing w:val="0"/>
          <w:w w:val="100"/>
          <w:position w:val="0"/>
          <w:sz w:val="24"/>
          <w:szCs w:val="24"/>
        </w:rPr>
        <w:t>4.35%（2020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0.57%</w:t>
      </w:r>
      <w:r>
        <w:rPr>
          <w:color w:val="000000"/>
          <w:spacing w:val="0"/>
          <w:w w:val="100"/>
          <w:position w:val="0"/>
        </w:rPr>
        <w:t>至</w:t>
      </w:r>
      <w:r>
        <w:rPr>
          <w:rFonts w:ascii="Times New Roman" w:eastAsia="Times New Roman" w:hAnsi="Times New Roman" w:cs="Times New Roman"/>
          <w:color w:val="000000"/>
          <w:spacing w:val="0"/>
          <w:w w:val="100"/>
          <w:position w:val="0"/>
          <w:sz w:val="24"/>
          <w:szCs w:val="24"/>
        </w:rPr>
        <w:t>4.35%）</w:t>
      </w:r>
      <w:r>
        <w:rPr>
          <w:color w:val="000000"/>
          <w:spacing w:val="0"/>
          <w:w w:val="100"/>
          <w:position w:val="0"/>
        </w:rPr>
        <w:t>来折现估算。</w:t>
      </w:r>
      <w:bookmarkEnd w:id="1548"/>
      <w:bookmarkEnd w:id="1549"/>
      <w:bookmarkEnd w:id="1550"/>
    </w:p>
    <w:p>
      <w:pPr>
        <w:pStyle w:val="Style97"/>
        <w:keepNext/>
        <w:keepLines/>
        <w:widowControl w:val="0"/>
        <w:shd w:val="clear" w:color="auto" w:fill="auto"/>
        <w:bidi w:val="0"/>
        <w:spacing w:before="0" w:after="260" w:line="240" w:lineRule="auto"/>
        <w:ind w:left="720" w:right="0" w:firstLine="20"/>
        <w:jc w:val="left"/>
      </w:pPr>
      <w:bookmarkStart w:id="1551" w:name="bookmark1551"/>
      <w:bookmarkStart w:id="1552" w:name="bookmark1552"/>
      <w:bookmarkStart w:id="1553" w:name="bookmark1553"/>
      <w:r>
        <w:rPr>
          <w:color w:val="000000"/>
          <w:spacing w:val="0"/>
          <w:w w:val="100"/>
          <w:position w:val="0"/>
        </w:rPr>
        <w:t>公司债券及中期票据以在计量日能够取得的在活跃市场上未经调整的报价作为公允价值。</w:t>
      </w:r>
      <w:bookmarkEnd w:id="1551"/>
      <w:bookmarkEnd w:id="1552"/>
      <w:bookmarkEnd w:id="1553"/>
    </w:p>
    <w:p>
      <w:pPr>
        <w:pStyle w:val="Style97"/>
        <w:keepNext/>
        <w:keepLines/>
        <w:widowControl w:val="0"/>
        <w:shd w:val="clear" w:color="auto" w:fill="auto"/>
        <w:bidi w:val="0"/>
        <w:spacing w:before="0" w:after="580" w:line="326" w:lineRule="exact"/>
        <w:ind w:left="720" w:right="0" w:firstLine="20"/>
        <w:jc w:val="left"/>
      </w:pPr>
      <w:bookmarkStart w:id="1554" w:name="bookmark1554"/>
      <w:bookmarkStart w:id="1555" w:name="bookmark1555"/>
      <w:bookmarkStart w:id="1556" w:name="bookmark1556"/>
      <w:r>
        <w:rPr>
          <w:color w:val="000000"/>
          <w:spacing w:val="0"/>
          <w:w w:val="100"/>
          <w:position w:val="0"/>
        </w:rPr>
        <w:t>除此之外，于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日，由于本集团其他用摊余成本计量 的金融资产和金融负债的性质或其较短的到期日，其账面价值与公允价值接近。</w:t>
      </w:r>
      <w:bookmarkEnd w:id="1554"/>
      <w:bookmarkEnd w:id="1555"/>
      <w:bookmarkEnd w:id="1556"/>
    </w:p>
    <w:p>
      <w:pPr>
        <w:pStyle w:val="Style97"/>
        <w:keepNext/>
        <w:keepLines/>
        <w:widowControl w:val="0"/>
        <w:shd w:val="clear" w:color="auto" w:fill="auto"/>
        <w:bidi w:val="0"/>
        <w:spacing w:before="0" w:after="320" w:line="240" w:lineRule="auto"/>
        <w:ind w:left="0" w:right="0" w:firstLine="0"/>
        <w:jc w:val="left"/>
      </w:pPr>
      <w:bookmarkStart w:id="1557" w:name="bookmark1557"/>
      <w:bookmarkStart w:id="1558" w:name="bookmark1558"/>
      <w:bookmarkStart w:id="1559" w:name="bookmark1559"/>
      <w:r>
        <w:rPr>
          <w:color w:val="000000"/>
          <w:spacing w:val="0"/>
          <w:w w:val="100"/>
          <w:position w:val="0"/>
        </w:rPr>
        <w:t>十、关联方关系及其交易</w:t>
      </w:r>
      <w:bookmarkEnd w:id="1557"/>
      <w:bookmarkEnd w:id="1558"/>
      <w:bookmarkEnd w:id="1559"/>
    </w:p>
    <w:p>
      <w:pPr>
        <w:pStyle w:val="Style97"/>
        <w:keepNext/>
        <w:keepLines/>
        <w:widowControl w:val="0"/>
        <w:shd w:val="clear" w:color="auto" w:fill="auto"/>
        <w:tabs>
          <w:tab w:pos="701" w:val="left"/>
        </w:tabs>
        <w:bidi w:val="0"/>
        <w:spacing w:before="0" w:after="26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sz w:val="24"/>
          <w:szCs w:val="24"/>
        </w:rPr>
        <w:t>1</w:t>
      </w:r>
      <w:bookmarkEnd w:id="1562"/>
      <w:r>
        <w:rPr>
          <w:color w:val="000000"/>
          <w:spacing w:val="0"/>
          <w:w w:val="100"/>
          <w:position w:val="0"/>
        </w:rPr>
        <w:t>、</w:t>
        <w:tab/>
        <w:t>本公司的母公司情况</w:t>
      </w:r>
      <w:bookmarkEnd w:id="1560"/>
      <w:bookmarkEnd w:id="1561"/>
      <w:bookmarkEnd w:id="1563"/>
    </w:p>
    <w:p>
      <w:pPr>
        <w:pStyle w:val="Style3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本公司</w:t>
      </w:r>
    </w:p>
    <w:p>
      <w:pPr>
        <w:pStyle w:val="Style39"/>
        <w:keepNext w:val="0"/>
        <w:keepLines w:val="0"/>
        <w:widowControl w:val="0"/>
        <w:shd w:val="clear" w:color="auto" w:fill="auto"/>
        <w:tabs>
          <w:tab w:pos="1555" w:val="left"/>
          <w:tab w:pos="3146" w:val="left"/>
        </w:tabs>
        <w:bidi w:val="0"/>
        <w:spacing w:before="0" w:after="0" w:line="240" w:lineRule="auto"/>
        <w:ind w:left="0" w:right="0" w:firstLine="0"/>
        <w:jc w:val="right"/>
        <w:rPr>
          <w:sz w:val="18"/>
          <w:szCs w:val="18"/>
        </w:rPr>
      </w:pPr>
      <w:r>
        <w:rPr>
          <w:color w:val="000000"/>
          <w:spacing w:val="0"/>
          <w:w w:val="100"/>
          <w:position w:val="0"/>
          <w:sz w:val="18"/>
          <w:szCs w:val="18"/>
        </w:rPr>
        <w:t>母公司对本公司</w:t>
        <w:tab/>
        <w:t>母公司对本公司</w:t>
        <w:tab/>
        <w:t>最终控股</w:t>
      </w:r>
    </w:p>
    <w:p>
      <w:pPr>
        <w:pStyle w:val="Style39"/>
        <w:keepNext w:val="0"/>
        <w:keepLines w:val="0"/>
        <w:widowControl w:val="0"/>
        <w:shd w:val="clear" w:color="auto" w:fill="auto"/>
        <w:tabs>
          <w:tab w:pos="2033" w:val="left"/>
          <w:tab w:pos="3146" w:val="left"/>
          <w:tab w:pos="4838" w:val="left"/>
          <w:tab w:pos="6130" w:val="left"/>
          <w:tab w:pos="9384" w:val="left"/>
        </w:tabs>
        <w:bidi w:val="0"/>
        <w:spacing w:before="0" w:after="260" w:line="240" w:lineRule="auto"/>
        <w:ind w:left="0" w:right="0" w:firstLine="720"/>
        <w:jc w:val="left"/>
        <w:rPr>
          <w:sz w:val="18"/>
          <w:szCs w:val="18"/>
        </w:rPr>
      </w:pPr>
      <w:r>
        <w:rPr>
          <w:color w:val="000000"/>
          <w:spacing w:val="0"/>
          <w:w w:val="100"/>
          <w:position w:val="0"/>
          <w:sz w:val="18"/>
          <w:szCs w:val="18"/>
          <w:u w:val="single"/>
        </w:rPr>
        <w:t>母公司名称</w:t>
        <w:tab/>
        <w:t>注册地</w:t>
        <w:tab/>
        <w:t>业务性质</w:t>
        <w:tab/>
        <w:t>注册资本</w:t>
        <w:tab/>
        <w:t>的持股比例</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 xml:space="preserve">%） </w:t>
      </w:r>
      <w:r>
        <w:rPr>
          <w:color w:val="000000"/>
          <w:spacing w:val="0"/>
          <w:w w:val="100"/>
          <w:position w:val="0"/>
          <w:sz w:val="18"/>
          <w:szCs w:val="18"/>
          <w:u w:val="single"/>
        </w:rPr>
        <w:t>的表决权比例</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w:t>
        <w:tab/>
      </w:r>
      <w:r>
        <w:rPr>
          <w:color w:val="000000"/>
          <w:spacing w:val="0"/>
          <w:w w:val="100"/>
          <w:position w:val="0"/>
          <w:sz w:val="18"/>
          <w:szCs w:val="18"/>
          <w:u w:val="single"/>
        </w:rPr>
        <w:t>公司</w:t>
      </w:r>
    </w:p>
    <w:p>
      <w:pPr>
        <w:pStyle w:val="Style76"/>
        <w:keepNext w:val="0"/>
        <w:keepLines w:val="0"/>
        <w:widowControl w:val="0"/>
        <w:shd w:val="clear" w:color="auto" w:fill="auto"/>
        <w:tabs>
          <w:tab w:pos="2033" w:val="left"/>
          <w:tab w:pos="4632" w:val="left"/>
          <w:tab w:pos="6965" w:val="left"/>
          <w:tab w:pos="8582" w:val="left"/>
          <w:tab w:pos="9384" w:val="left"/>
        </w:tabs>
        <w:bidi w:val="0"/>
        <w:spacing w:before="0" w:after="320" w:line="240" w:lineRule="auto"/>
        <w:ind w:left="0" w:right="0" w:firstLine="720"/>
        <w:jc w:val="left"/>
      </w:pPr>
      <w:r>
        <w:rPr>
          <w:rFonts w:ascii="SimSun" w:eastAsia="SimSun" w:hAnsi="SimSun" w:cs="SimSun"/>
          <w:color w:val="000000"/>
          <w:spacing w:val="0"/>
          <w:w w:val="100"/>
          <w:position w:val="0"/>
        </w:rPr>
        <w:t>联通集团</w:t>
        <w:tab/>
        <w:t>北京电信业务及投资控股</w:t>
        <w:tab/>
      </w:r>
      <w:r>
        <w:rPr>
          <w:color w:val="000000"/>
          <w:spacing w:val="0"/>
          <w:w w:val="100"/>
          <w:position w:val="0"/>
        </w:rPr>
        <w:t>104,815,519,575</w:t>
        <w:tab/>
        <w:t>36.8%</w:t>
        <w:tab/>
        <w:t>36.8%</w:t>
        <w:tab/>
      </w:r>
      <w:r>
        <w:rPr>
          <w:rFonts w:ascii="SimSun" w:eastAsia="SimSun" w:hAnsi="SimSun" w:cs="SimSun"/>
          <w:color w:val="000000"/>
          <w:spacing w:val="0"/>
          <w:w w:val="100"/>
          <w:position w:val="0"/>
        </w:rPr>
        <w:t>联通集团</w:t>
      </w:r>
    </w:p>
    <w:p>
      <w:pPr>
        <w:pStyle w:val="Style97"/>
        <w:keepNext/>
        <w:keepLines/>
        <w:widowControl w:val="0"/>
        <w:shd w:val="clear" w:color="auto" w:fill="auto"/>
        <w:bidi w:val="0"/>
        <w:spacing w:before="0" w:after="320" w:line="240" w:lineRule="auto"/>
        <w:ind w:left="0" w:right="0" w:firstLine="720"/>
        <w:jc w:val="left"/>
      </w:pPr>
      <w:bookmarkStart w:id="1564" w:name="bookmark1564"/>
      <w:bookmarkStart w:id="1565" w:name="bookmark1565"/>
      <w:bookmarkStart w:id="1566" w:name="bookmark1566"/>
      <w:r>
        <w:rPr>
          <w:color w:val="000000"/>
          <w:spacing w:val="0"/>
          <w:w w:val="100"/>
          <w:position w:val="0"/>
        </w:rPr>
        <w:t>本公司的最终控股公司为联通集团。联通集团为国资委直属的中央企业。</w:t>
      </w:r>
      <w:bookmarkEnd w:id="1564"/>
      <w:bookmarkEnd w:id="1565"/>
      <w:bookmarkEnd w:id="1566"/>
    </w:p>
    <w:p>
      <w:pPr>
        <w:pStyle w:val="Style97"/>
        <w:keepNext/>
        <w:keepLines/>
        <w:widowControl w:val="0"/>
        <w:shd w:val="clear" w:color="auto" w:fill="auto"/>
        <w:tabs>
          <w:tab w:pos="701" w:val="left"/>
        </w:tabs>
        <w:bidi w:val="0"/>
        <w:spacing w:before="0" w:after="320" w:line="240" w:lineRule="auto"/>
        <w:ind w:left="0" w:right="0" w:firstLine="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sz w:val="24"/>
          <w:szCs w:val="24"/>
        </w:rPr>
        <w:t>2</w:t>
      </w:r>
      <w:bookmarkEnd w:id="1569"/>
      <w:r>
        <w:rPr>
          <w:color w:val="000000"/>
          <w:spacing w:val="0"/>
          <w:w w:val="100"/>
          <w:position w:val="0"/>
        </w:rPr>
        <w:t>、</w:t>
        <w:tab/>
        <w:t>子公司情况</w:t>
      </w:r>
      <w:bookmarkEnd w:id="1567"/>
      <w:bookmarkEnd w:id="1568"/>
      <w:bookmarkEnd w:id="1570"/>
    </w:p>
    <w:p>
      <w:pPr>
        <w:pStyle w:val="Style97"/>
        <w:keepNext/>
        <w:keepLines/>
        <w:widowControl w:val="0"/>
        <w:shd w:val="clear" w:color="auto" w:fill="auto"/>
        <w:bidi w:val="0"/>
        <w:spacing w:before="0" w:after="320" w:line="240" w:lineRule="auto"/>
        <w:ind w:left="0" w:right="0" w:firstLine="720"/>
        <w:jc w:val="left"/>
      </w:pPr>
      <w:bookmarkStart w:id="1571" w:name="bookmark1571"/>
      <w:bookmarkStart w:id="1572" w:name="bookmark1572"/>
      <w:bookmarkStart w:id="1573" w:name="bookmark1573"/>
      <w:r>
        <w:rPr>
          <w:color w:val="000000"/>
          <w:spacing w:val="0"/>
          <w:w w:val="100"/>
          <w:position w:val="0"/>
        </w:rPr>
        <w:t>子公司的基本情况及相关信息见附注七。</w:t>
      </w:r>
      <w:bookmarkEnd w:id="1571"/>
      <w:bookmarkEnd w:id="1572"/>
      <w:bookmarkEnd w:id="1573"/>
    </w:p>
    <w:p>
      <w:pPr>
        <w:pStyle w:val="Style97"/>
        <w:keepNext/>
        <w:keepLines/>
        <w:widowControl w:val="0"/>
        <w:shd w:val="clear" w:color="auto" w:fill="auto"/>
        <w:tabs>
          <w:tab w:pos="701" w:val="left"/>
        </w:tabs>
        <w:bidi w:val="0"/>
        <w:spacing w:before="0" w:after="32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sz w:val="24"/>
          <w:szCs w:val="24"/>
        </w:rPr>
        <w:t>3</w:t>
      </w:r>
      <w:bookmarkEnd w:id="1576"/>
      <w:r>
        <w:rPr>
          <w:color w:val="000000"/>
          <w:spacing w:val="0"/>
          <w:w w:val="100"/>
          <w:position w:val="0"/>
        </w:rPr>
        <w:t>、</w:t>
        <w:tab/>
        <w:t>本公司的合营和联营企业情况</w:t>
      </w:r>
      <w:bookmarkEnd w:id="1574"/>
      <w:bookmarkEnd w:id="1575"/>
      <w:bookmarkEnd w:id="1577"/>
    </w:p>
    <w:p>
      <w:pPr>
        <w:pStyle w:val="Style97"/>
        <w:keepNext/>
        <w:keepLines/>
        <w:widowControl w:val="0"/>
        <w:shd w:val="clear" w:color="auto" w:fill="auto"/>
        <w:bidi w:val="0"/>
        <w:spacing w:before="0" w:after="260" w:line="240" w:lineRule="auto"/>
        <w:ind w:left="0" w:right="0" w:firstLine="720"/>
        <w:jc w:val="left"/>
      </w:pPr>
      <w:bookmarkStart w:id="1578" w:name="bookmark1578"/>
      <w:bookmarkStart w:id="1579" w:name="bookmark1579"/>
      <w:bookmarkStart w:id="1580" w:name="bookmark1580"/>
      <w:r>
        <w:rPr>
          <w:color w:val="000000"/>
          <w:spacing w:val="0"/>
          <w:w w:val="100"/>
          <w:position w:val="0"/>
        </w:rPr>
        <w:t>本集团的合营或联营企业，详见附注五</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w:t>
      </w:r>
      <w:bookmarkEnd w:id="1578"/>
      <w:bookmarkEnd w:id="1579"/>
      <w:bookmarkEnd w:id="1580"/>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96" w:val="left"/>
        </w:tabs>
        <w:bidi w:val="0"/>
        <w:spacing w:before="0" w:after="280" w:line="240" w:lineRule="auto"/>
        <w:ind w:left="0" w:right="0" w:firstLine="0"/>
        <w:jc w:val="left"/>
        <w:rPr>
          <w:sz w:val="22"/>
          <w:szCs w:val="22"/>
        </w:rPr>
      </w:pPr>
      <w:r>
        <w:rPr>
          <w:color w:val="000000"/>
          <w:spacing w:val="0"/>
          <w:w w:val="100"/>
          <w:position w:val="0"/>
          <w:sz w:val="22"/>
          <w:szCs w:val="22"/>
        </w:rPr>
        <w:t>十、</w:t>
        <w:tab/>
        <w:t>关联方关系及其交易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6" w:val="left"/>
        </w:tabs>
        <w:bidi w:val="0"/>
        <w:spacing w:before="0" w:after="0" w:line="240" w:lineRule="auto"/>
        <w:ind w:left="0" w:right="0" w:firstLine="0"/>
        <w:jc w:val="left"/>
        <w:rPr>
          <w:sz w:val="22"/>
          <w:szCs w:val="22"/>
        </w:rPr>
      </w:pPr>
      <w:bookmarkStart w:id="1581" w:name="bookmark1581"/>
      <w:r>
        <w:rPr>
          <w:rFonts w:ascii="Times New Roman" w:eastAsia="Times New Roman" w:hAnsi="Times New Roman" w:cs="Times New Roman"/>
          <w:color w:val="000000"/>
          <w:spacing w:val="0"/>
          <w:w w:val="100"/>
          <w:position w:val="0"/>
          <w:sz w:val="24"/>
          <w:szCs w:val="24"/>
        </w:rPr>
        <w:t>4</w:t>
      </w:r>
      <w:bookmarkEnd w:id="1581"/>
      <w:r>
        <w:rPr>
          <w:color w:val="000000"/>
          <w:spacing w:val="0"/>
          <w:w w:val="100"/>
          <w:position w:val="0"/>
          <w:sz w:val="22"/>
          <w:szCs w:val="22"/>
        </w:rPr>
        <w:t>、</w:t>
        <w:tab/>
        <w:t>其他关联方情况</w:t>
      </w:r>
    </w:p>
    <w:p>
      <w:pPr>
        <w:widowControl w:val="0"/>
        <w:spacing w:line="1" w:lineRule="exact"/>
        <w:sectPr>
          <w:footnotePr>
            <w:pos w:val="pageBottom"/>
            <w:numFmt w:val="decimal"/>
            <w:numRestart w:val="continuous"/>
          </w:footnotePr>
          <w:pgSz w:w="11900" w:h="16840"/>
          <w:pgMar w:top="1599" w:right="724" w:bottom="850" w:left="958" w:header="0" w:footer="3" w:gutter="0"/>
          <w:cols w:space="720"/>
          <w:noEndnote/>
          <w:rtlGutter w:val="0"/>
          <w:docGrid w:linePitch="360"/>
        </w:sectPr>
      </w:pPr>
      <w:r>
        <mc:AlternateContent>
          <mc:Choice Requires="wps">
            <w:drawing>
              <wp:anchor distT="101600" distB="0" distL="0" distR="0" simplePos="0" relativeHeight="125829437" behindDoc="0" locked="0" layoutInCell="1" allowOverlap="1">
                <wp:simplePos x="0" y="0"/>
                <wp:positionH relativeFrom="page">
                  <wp:posOffset>5277485</wp:posOffset>
                </wp:positionH>
                <wp:positionV relativeFrom="paragraph">
                  <wp:posOffset>101600</wp:posOffset>
                </wp:positionV>
                <wp:extent cx="1017905" cy="179705"/>
                <wp:wrapTopAndBottom/>
                <wp:docPr id="78" name="Shape 78"/>
                <a:graphic xmlns:a="http://schemas.openxmlformats.org/drawingml/2006/main">
                  <a:graphicData uri="http://schemas.microsoft.com/office/word/2010/wordprocessingShape">
                    <wps:wsp>
                      <wps:cNvSpPr txBox="1"/>
                      <wps:spPr>
                        <a:xfrm>
                          <a:ext cx="1017905" cy="1797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与本集团的关系</w:t>
                            </w:r>
                          </w:p>
                        </w:txbxContent>
                      </wps:txbx>
                      <wps:bodyPr wrap="none" lIns="0" tIns="0" rIns="0" bIns="0">
                        <a:noAutoFit/>
                      </wps:bodyPr>
                    </wps:wsp>
                  </a:graphicData>
                </a:graphic>
              </wp:anchor>
            </w:drawing>
          </mc:Choice>
          <mc:Fallback>
            <w:pict>
              <v:shape id="_x0000_s1104" type="#_x0000_t202" style="position:absolute;margin-left:415.55000000000001pt;margin-top:8.pt;width:80.150000000000006pt;height:14.15pt;z-index:-125829316;mso-wrap-distance-left:0;mso-wrap-distance-top:8.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与本集团的关系</w:t>
                      </w:r>
                    </w:p>
                  </w:txbxContent>
                </v:textbox>
                <w10:wrap type="topAndBottom" anchorx="page"/>
              </v:shape>
            </w:pict>
          </mc:Fallback>
        </mc:AlternateContent>
      </w:r>
    </w:p>
    <w:p>
      <w:pPr>
        <w:widowControl w:val="0"/>
        <w:spacing w:line="172" w:lineRule="exact"/>
        <w:rPr>
          <w:sz w:val="14"/>
          <w:szCs w:val="14"/>
        </w:rPr>
      </w:pPr>
    </w:p>
    <w:p>
      <w:pPr>
        <w:widowControl w:val="0"/>
        <w:spacing w:line="1" w:lineRule="exact"/>
        <w:sectPr>
          <w:footnotePr>
            <w:pos w:val="pageBottom"/>
            <w:numFmt w:val="decimal"/>
            <w:numRestart w:val="continuous"/>
          </w:footnotePr>
          <w:type w:val="continuous"/>
          <w:pgSz w:w="11900" w:h="16840"/>
          <w:pgMar w:top="1599" w:right="0" w:bottom="793" w:left="0" w:header="0" w:footer="3" w:gutter="0"/>
          <w:cols w:space="720"/>
          <w:noEndnote/>
          <w:rtlGutter w:val="0"/>
          <w:docGrid w:linePitch="360"/>
        </w:sectPr>
      </w:pPr>
    </w:p>
    <w:p>
      <w:pPr>
        <w:widowControl w:val="0"/>
        <w:spacing w:line="1" w:lineRule="exact"/>
      </w:pPr>
      <w:r>
        <mc:AlternateContent>
          <mc:Choice Requires="wps">
            <w:drawing>
              <wp:anchor distT="0" distB="1252855" distL="534670" distR="535305" simplePos="0" relativeHeight="125829439" behindDoc="0" locked="0" layoutInCell="1" allowOverlap="1">
                <wp:simplePos x="0" y="0"/>
                <wp:positionH relativeFrom="page">
                  <wp:posOffset>4939030</wp:posOffset>
                </wp:positionH>
                <wp:positionV relativeFrom="paragraph">
                  <wp:posOffset>158750</wp:posOffset>
                </wp:positionV>
                <wp:extent cx="1700530" cy="3093720"/>
                <wp:wrapSquare wrapText="left"/>
                <wp:docPr id="80" name="Shape 80"/>
                <a:graphic xmlns:a="http://schemas.openxmlformats.org/drawingml/2006/main">
                  <a:graphicData uri="http://schemas.microsoft.com/office/word/2010/wordprocessingShape">
                    <wps:wsp>
                      <wps:cNvSpPr txBox="1"/>
                      <wps:spPr>
                        <a:xfrm>
                          <a:ext cx="1700530" cy="3093720"/>
                        </a:xfrm>
                        <a:prstGeom prst="rect"/>
                        <a:noFill/>
                      </wps:spPr>
                      <wps:txbx>
                        <w:txbxContent>
                          <w:p>
                            <w:pPr>
                              <w:pStyle w:val="Style5"/>
                              <w:keepNext w:val="0"/>
                              <w:keepLines w:val="0"/>
                              <w:widowControl w:val="0"/>
                              <w:shd w:val="clear" w:color="auto" w:fill="auto"/>
                              <w:bidi w:val="0"/>
                              <w:spacing w:before="0" w:after="0" w:line="285" w:lineRule="exact"/>
                              <w:ind w:left="0" w:right="0" w:firstLine="0"/>
                              <w:jc w:val="both"/>
                            </w:pPr>
                            <w:r>
                              <w:rPr>
                                <w:color w:val="000000"/>
                                <w:spacing w:val="0"/>
                                <w:w w:val="100"/>
                                <w:position w:val="0"/>
                              </w:rPr>
                              <w:t>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w:t>
                            </w:r>
                          </w:p>
                        </w:txbxContent>
                      </wps:txbx>
                      <wps:bodyPr lIns="0" tIns="0" rIns="0" bIns="0">
                        <a:noAutoFit/>
                      </wps:bodyPr>
                    </wps:wsp>
                  </a:graphicData>
                </a:graphic>
              </wp:anchor>
            </w:drawing>
          </mc:Choice>
          <mc:Fallback>
            <w:pict>
              <v:shape id="_x0000_s1106" type="#_x0000_t202" style="position:absolute;margin-left:388.90000000000003pt;margin-top:12.5pt;width:133.90000000000001pt;height:243.59999999999999pt;z-index:-125829314;mso-wrap-distance-left:42.100000000000001pt;mso-wrap-distance-right:42.149999999999999pt;mso-wrap-distance-bottom:98.650000000000006pt;mso-position-horizontal-relative:page" filled="f" stroked="f">
                <v:textbox inset="0,0,0,0">
                  <w:txbxContent>
                    <w:p>
                      <w:pPr>
                        <w:pStyle w:val="Style5"/>
                        <w:keepNext w:val="0"/>
                        <w:keepLines w:val="0"/>
                        <w:widowControl w:val="0"/>
                        <w:shd w:val="clear" w:color="auto" w:fill="auto"/>
                        <w:bidi w:val="0"/>
                        <w:spacing w:before="0" w:after="0" w:line="285" w:lineRule="exact"/>
                        <w:ind w:left="0" w:right="0" w:firstLine="0"/>
                        <w:jc w:val="both"/>
                      </w:pPr>
                      <w:r>
                        <w:rPr>
                          <w:color w:val="000000"/>
                          <w:spacing w:val="0"/>
                          <w:w w:val="100"/>
                          <w:position w:val="0"/>
                        </w:rPr>
                        <w:t>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w:t>
                      </w:r>
                    </w:p>
                  </w:txbxContent>
                </v:textbox>
                <w10:wrap type="square" side="left" anchorx="page"/>
              </v:shape>
            </w:pict>
          </mc:Fallback>
        </mc:AlternateContent>
      </w:r>
      <w:r>
        <mc:AlternateContent>
          <mc:Choice Requires="wps">
            <w:drawing>
              <wp:anchor distT="3420110" distB="0" distL="114300" distR="114300" simplePos="0" relativeHeight="125829441" behindDoc="0" locked="0" layoutInCell="1" allowOverlap="1">
                <wp:simplePos x="0" y="0"/>
                <wp:positionH relativeFrom="page">
                  <wp:posOffset>4518660</wp:posOffset>
                </wp:positionH>
                <wp:positionV relativeFrom="paragraph">
                  <wp:posOffset>3578860</wp:posOffset>
                </wp:positionV>
                <wp:extent cx="2541905" cy="926465"/>
                <wp:wrapSquare wrapText="left"/>
                <wp:docPr id="82" name="Shape 82"/>
                <a:graphic xmlns:a="http://schemas.openxmlformats.org/drawingml/2006/main">
                  <a:graphicData uri="http://schemas.microsoft.com/office/word/2010/wordprocessingShape">
                    <wps:wsp>
                      <wps:cNvSpPr txBox="1"/>
                      <wps:spPr>
                        <a:xfrm>
                          <a:ext cx="2541905" cy="926465"/>
                        </a:xfrm>
                        <a:prstGeom prst="rect"/>
                        <a:noFill/>
                      </wps:spPr>
                      <wps:txbx>
                        <w:txbxContent>
                          <w:p>
                            <w:pPr>
                              <w:pStyle w:val="Style5"/>
                              <w:keepNext w:val="0"/>
                              <w:keepLines w:val="0"/>
                              <w:widowControl w:val="0"/>
                              <w:shd w:val="clear" w:color="auto" w:fill="auto"/>
                              <w:bidi w:val="0"/>
                              <w:spacing w:before="0" w:after="0" w:line="290" w:lineRule="exact"/>
                              <w:ind w:left="0" w:right="0" w:firstLine="0"/>
                              <w:jc w:val="center"/>
                            </w:pPr>
                            <w:r>
                              <w:rPr>
                                <w:color w:val="000000"/>
                                <w:spacing w:val="0"/>
                                <w:w w:val="100"/>
                                <w:position w:val="0"/>
                              </w:rPr>
                              <w:t>对本公司施加重大影响的投资方</w:t>
                              <w:br/>
                              <w:t>本公司执行董事在该公司担任非执行董事</w:t>
                              <w:br/>
                              <w:t>本公司董事在该公司担任董事</w:t>
                              <w:br/>
                              <w:t>本公司董事在该公司担任董事</w:t>
                            </w:r>
                          </w:p>
                          <w:p>
                            <w:pPr>
                              <w:pStyle w:val="Style5"/>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本公司离任董事曾在该公司担任董事</w:t>
                            </w:r>
                          </w:p>
                        </w:txbxContent>
                      </wps:txbx>
                      <wps:bodyPr lIns="0" tIns="0" rIns="0" bIns="0">
                        <a:noAutoFit/>
                      </wps:bodyPr>
                    </wps:wsp>
                  </a:graphicData>
                </a:graphic>
              </wp:anchor>
            </w:drawing>
          </mc:Choice>
          <mc:Fallback>
            <w:pict>
              <v:shape id="_x0000_s1108" type="#_x0000_t202" style="position:absolute;margin-left:355.80000000000001pt;margin-top:281.80000000000001pt;width:200.15000000000001pt;height:72.950000000000003pt;z-index:-125829312;mso-wrap-distance-left:9.pt;mso-wrap-distance-top:269.30000000000001pt;mso-wrap-distance-right:9.pt;mso-position-horizontal-relative:page" filled="f" stroked="f">
                <v:textbox inset="0,0,0,0">
                  <w:txbxContent>
                    <w:p>
                      <w:pPr>
                        <w:pStyle w:val="Style5"/>
                        <w:keepNext w:val="0"/>
                        <w:keepLines w:val="0"/>
                        <w:widowControl w:val="0"/>
                        <w:shd w:val="clear" w:color="auto" w:fill="auto"/>
                        <w:bidi w:val="0"/>
                        <w:spacing w:before="0" w:after="0" w:line="290" w:lineRule="exact"/>
                        <w:ind w:left="0" w:right="0" w:firstLine="0"/>
                        <w:jc w:val="center"/>
                      </w:pPr>
                      <w:r>
                        <w:rPr>
                          <w:color w:val="000000"/>
                          <w:spacing w:val="0"/>
                          <w:w w:val="100"/>
                          <w:position w:val="0"/>
                        </w:rPr>
                        <w:t>对本公司施加重大影响的投资方</w:t>
                        <w:br/>
                        <w:t>本公司执行董事在该公司担任非执行董事</w:t>
                        <w:br/>
                        <w:t>本公司董事在该公司担任董事</w:t>
                        <w:br/>
                        <w:t>本公司董事在该公司担任董事</w:t>
                      </w:r>
                    </w:p>
                    <w:p>
                      <w:pPr>
                        <w:pStyle w:val="Style5"/>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本公司离任董事曾在该公司担任董事</w:t>
                      </w:r>
                    </w:p>
                  </w:txbxContent>
                </v:textbox>
                <w10:wrap type="square" side="left" anchorx="page"/>
              </v:shape>
            </w:pict>
          </mc:Fallback>
        </mc:AlternateConten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u w:val="single"/>
        </w:rPr>
        <w:t>联通集团及其子公司：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联通时科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北京</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信息技术有限公司及其子公司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联通集团</w:t>
      </w:r>
      <w:r>
        <w:rPr>
          <w:rFonts w:ascii="Times New Roman" w:eastAsia="Times New Roman" w:hAnsi="Times New Roman" w:cs="Times New Roman"/>
          <w:color w:val="000000"/>
          <w:spacing w:val="0"/>
          <w:w w:val="100"/>
          <w:position w:val="0"/>
          <w:sz w:val="22"/>
          <w:szCs w:val="22"/>
        </w:rPr>
        <w:t>BVI</w:t>
      </w:r>
      <w:r>
        <w:rPr>
          <w:color w:val="000000"/>
          <w:spacing w:val="0"/>
          <w:w w:val="100"/>
          <w:position w:val="0"/>
        </w:rPr>
        <w:t>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中国联通集团北京市通信有限公司及其子公司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天津市联通通信有限公司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中国联通集团河北省通信有限公司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河南省联通通信有限公司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山东省联通通信有限公司及其子公司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中国联通集团辽宁省通信有限公司及其子公司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山西省联通通信有限公司及其子公司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吉林省联通通信有限公司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中国联通集团黑龙江省通信有限公司及其子公司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内蒙古联通通信有限公司及其子公司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联通通信建设有限公司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四川联通通信有限公司及其子公司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中国联合网络通信集团有限公司附属分公司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联通资产运营有限公司</w:t>
      </w:r>
    </w:p>
    <w:p>
      <w:pPr>
        <w:pStyle w:val="Style5"/>
        <w:keepNext w:val="0"/>
        <w:keepLines w:val="0"/>
        <w:widowControl w:val="0"/>
        <w:shd w:val="clear" w:color="auto" w:fill="auto"/>
        <w:bidi w:val="0"/>
        <w:spacing w:before="0" w:after="300" w:line="240" w:lineRule="auto"/>
        <w:ind w:left="0" w:right="0" w:firstLine="720"/>
        <w:jc w:val="left"/>
      </w:pPr>
      <w:r>
        <w:rPr>
          <w:color w:val="000000"/>
          <w:spacing w:val="0"/>
          <w:w w:val="100"/>
          <w:position w:val="0"/>
        </w:rPr>
        <w:t>联通资本投资控股有限公司</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u w:val="single"/>
        </w:rPr>
        <w:t>其他关联法人：</w:t>
      </w:r>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中国人寿保险</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公司及其子公司</w:t>
      </w:r>
    </w:p>
    <w:p>
      <w:pPr>
        <w:pStyle w:val="Style5"/>
        <w:keepNext w:val="0"/>
        <w:keepLines w:val="0"/>
        <w:widowControl w:val="0"/>
        <w:shd w:val="clear" w:color="auto" w:fill="auto"/>
        <w:bidi w:val="0"/>
        <w:spacing w:before="0" w:after="40" w:line="240" w:lineRule="auto"/>
        <w:ind w:left="0" w:right="0" w:firstLine="720"/>
        <w:jc w:val="both"/>
      </w:pPr>
      <w:r>
        <w:rPr>
          <w:color w:val="000000"/>
          <w:spacing w:val="0"/>
          <w:w w:val="100"/>
          <w:position w:val="0"/>
        </w:rPr>
        <w:t>电讯盈科有限公司及其子公司</w:t>
      </w:r>
    </w:p>
    <w:p>
      <w:pPr>
        <w:pStyle w:val="Style5"/>
        <w:keepNext w:val="0"/>
        <w:keepLines w:val="0"/>
        <w:widowControl w:val="0"/>
        <w:shd w:val="clear" w:color="auto" w:fill="auto"/>
        <w:bidi w:val="0"/>
        <w:spacing w:before="0" w:after="40" w:line="240" w:lineRule="auto"/>
        <w:ind w:left="0" w:right="0" w:firstLine="720"/>
        <w:jc w:val="both"/>
      </w:pPr>
      <w:r>
        <w:rPr>
          <w:color w:val="000000"/>
          <w:spacing w:val="0"/>
          <w:w w:val="100"/>
          <w:position w:val="0"/>
        </w:rPr>
        <w:t>阿里云计算有限公司</w:t>
      </w:r>
    </w:p>
    <w:p>
      <w:pPr>
        <w:pStyle w:val="Style5"/>
        <w:keepNext w:val="0"/>
        <w:keepLines w:val="0"/>
        <w:widowControl w:val="0"/>
        <w:shd w:val="clear" w:color="auto" w:fill="auto"/>
        <w:bidi w:val="0"/>
        <w:spacing w:before="0" w:after="40" w:line="240" w:lineRule="auto"/>
        <w:ind w:left="0" w:right="0" w:firstLine="720"/>
        <w:jc w:val="both"/>
      </w:pPr>
      <w:r>
        <w:rPr>
          <w:color w:val="000000"/>
          <w:spacing w:val="0"/>
          <w:w w:val="100"/>
          <w:position w:val="0"/>
        </w:rPr>
        <w:t>深圳市腾讯计算机系统有限公司</w:t>
      </w:r>
    </w:p>
    <w:p>
      <w:pPr>
        <w:pStyle w:val="Style5"/>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广发银行股份有限公司</w:t>
      </w:r>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rPr>
        <w:t>十、 关联方关系及其交易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15" w:val="left"/>
        </w:tabs>
        <w:bidi w:val="0"/>
        <w:spacing w:before="0" w:after="280" w:line="240" w:lineRule="auto"/>
        <w:ind w:left="0" w:right="0" w:firstLine="0"/>
        <w:jc w:val="left"/>
        <w:rPr>
          <w:sz w:val="22"/>
          <w:szCs w:val="22"/>
        </w:rPr>
      </w:pPr>
      <w:bookmarkStart w:id="1582" w:name="bookmark1582"/>
      <w:r>
        <w:rPr>
          <w:rFonts w:ascii="Times New Roman" w:eastAsia="Times New Roman" w:hAnsi="Times New Roman" w:cs="Times New Roman"/>
          <w:color w:val="000000"/>
          <w:spacing w:val="0"/>
          <w:w w:val="100"/>
          <w:position w:val="0"/>
          <w:sz w:val="24"/>
          <w:szCs w:val="24"/>
        </w:rPr>
        <w:t>5</w:t>
      </w:r>
      <w:bookmarkEnd w:id="1582"/>
      <w:r>
        <w:rPr>
          <w:color w:val="000000"/>
          <w:spacing w:val="0"/>
          <w:w w:val="100"/>
          <w:position w:val="0"/>
          <w:sz w:val="22"/>
          <w:szCs w:val="22"/>
        </w:rPr>
        <w:t>、</w:t>
        <w:tab/>
        <w:t>重大关联交易</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关联交</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易定价</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方式及决</w:t>
      </w:r>
    </w:p>
    <w:tbl>
      <w:tblPr>
        <w:tblOverlap w:val="never"/>
        <w:jc w:val="right"/>
        <w:tblLayout w:type="fixed"/>
      </w:tblPr>
      <w:tblGrid>
        <w:gridCol w:w="2122"/>
        <w:gridCol w:w="1843"/>
        <w:gridCol w:w="1877"/>
        <w:gridCol w:w="864"/>
        <w:gridCol w:w="1445"/>
        <w:gridCol w:w="1258"/>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关联交易内容</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关联交易类型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关联方</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u w:val="single"/>
              </w:rPr>
              <w:t>策程序</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u w:val="single"/>
              </w:rPr>
              <w:t xml:space="preserve">2021 </w:t>
            </w:r>
            <w:r>
              <w:rPr>
                <w:color w:val="000000"/>
                <w:spacing w:val="0"/>
                <w:w w:val="100"/>
                <w:position w:val="0"/>
                <w:sz w:val="18"/>
                <w:szCs w:val="18"/>
                <w:u w:val="single"/>
              </w:rPr>
              <w:t>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u w:val="single"/>
              </w:rPr>
              <w:t xml:space="preserve">2020 </w:t>
            </w:r>
            <w:r>
              <w:rPr>
                <w:color w:val="000000"/>
                <w:spacing w:val="0"/>
                <w:w w:val="100"/>
                <w:position w:val="0"/>
                <w:sz w:val="18"/>
                <w:szCs w:val="18"/>
                <w:u w:val="single"/>
              </w:rPr>
              <w:t>年</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综合服务收入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提供劳务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192,601,904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229,220,690</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工程设计及施工服务收入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提供劳务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铁塔公司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305,758,488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295,436,700</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数据及互联网业务收入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提供劳务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其他关联法人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4,823,258,282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3,497,106,730</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移动增值服务收入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提供劳务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其他合营和联营企业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200,510,248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151,824,754</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综合服务支出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1,224,419,577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978,770,806</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支付移动增值服务支出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274,394,560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188,226,389</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支付移动增值服务支出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其他合营和联营企业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204,475,824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94,582,059</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工程设计及施工服务支出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2,336,762,663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2,034,335,382</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共享服务支出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85,984,889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77,293,557</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末梢电信服务支出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2,587,091,667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2,735,300,675</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综合服务支出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其他关联法人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1,906,796,535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1,224,506,907</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物业、设备和设施的短期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租赁及其相关服务支出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租赁支出、接受劳务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1,038,844,921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998,751,204</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通信资源租用及其相关</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服务支出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租赁支出、接受劳务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270,224,781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282,503,583</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电路及通信设施租赁及其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相关服务支出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租赁支出、接受劳务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其他关联法人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26,205,634</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铁塔资产租赁相关费用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租赁支出、接受劳务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铁塔公司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18,955,542,360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19,090,863,545</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租赁支出、接受劳务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铁塔公司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2,736,788,509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3,034,621,590</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净吸收存款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金融服务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638,095,894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(841,957,714)</w:t>
            </w: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提取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吸收存款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金融服务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其他合营和联营企业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1,857,580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50,450,823</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吸收存款利息支出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金融服务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50,247,256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55,440,150</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吸收存款利息支出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金融服务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其他合营和联营企业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880,542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717,838</w:t>
            </w: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财务公司发放贷款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金融服务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联通集团</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16,500,000,000</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财务公司收回贷款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金融服务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联通集团</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13,704,000,000</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利息及手续费收入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金融服务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356,827,258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384,325,032</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借款利息支出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495,689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借款利息支出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其他合营和联营企业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554,625</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物资采购支出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物资采购</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27,642,741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47,256,066</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物资采购支出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物资采购</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其他合营和联营企业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25,051,531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物资采购支出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物资采购</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其他关联法人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147,474,699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16,946,711</w:t>
            </w:r>
          </w:p>
        </w:tc>
      </w:tr>
    </w:tbl>
    <w:p>
      <w:pPr>
        <w:widowControl w:val="0"/>
        <w:spacing w:after="279" w:line="1" w:lineRule="exact"/>
      </w:pPr>
    </w:p>
    <w:p>
      <w:pPr>
        <w:pStyle w:val="Style5"/>
        <w:keepNext w:val="0"/>
        <w:keepLines w:val="0"/>
        <w:widowControl w:val="0"/>
        <w:shd w:val="clear" w:color="auto" w:fill="auto"/>
        <w:bidi w:val="0"/>
        <w:spacing w:before="0" w:after="280" w:line="240" w:lineRule="auto"/>
        <w:ind w:left="0" w:right="0" w:firstLine="720"/>
        <w:jc w:val="left"/>
        <w:rPr>
          <w:sz w:val="22"/>
          <w:szCs w:val="22"/>
        </w:rPr>
      </w:pPr>
      <w:r>
        <w:rPr>
          <w:color w:val="000000"/>
          <w:spacing w:val="0"/>
          <w:w w:val="100"/>
          <w:position w:val="0"/>
          <w:sz w:val="22"/>
          <w:szCs w:val="22"/>
        </w:rPr>
        <w:t>注释:</w:t>
      </w:r>
    </w:p>
    <w:p>
      <w:pPr>
        <w:pStyle w:val="Style5"/>
        <w:keepNext w:val="0"/>
        <w:keepLines w:val="0"/>
        <w:widowControl w:val="0"/>
        <w:shd w:val="clear" w:color="auto" w:fill="auto"/>
        <w:tabs>
          <w:tab w:pos="1430" w:val="left"/>
        </w:tabs>
        <w:bidi w:val="0"/>
        <w:spacing w:before="0" w:after="0" w:line="312" w:lineRule="exact"/>
        <w:ind w:left="0" w:right="0" w:firstLine="720"/>
        <w:jc w:val="left"/>
        <w:rPr>
          <w:sz w:val="22"/>
          <w:szCs w:val="22"/>
        </w:rPr>
      </w:pPr>
      <w:r>
        <w:rPr>
          <w:rFonts w:ascii="Times New Roman" w:eastAsia="Times New Roman" w:hAnsi="Times New Roman" w:cs="Times New Roman"/>
          <w:color w:val="000000"/>
          <w:spacing w:val="0"/>
          <w:w w:val="100"/>
          <w:position w:val="0"/>
          <w:sz w:val="24"/>
          <w:szCs w:val="24"/>
        </w:rPr>
        <w:t>（1）</w:t>
        <w:tab/>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2"/>
          <w:szCs w:val="22"/>
        </w:rPr>
        <w:t>日，联通运营公司与联通集团签订了《</w:t>
      </w:r>
      <w:r>
        <w:rPr>
          <w:rFonts w:ascii="Times New Roman" w:eastAsia="Times New Roman" w:hAnsi="Times New Roman" w:cs="Times New Roman"/>
          <w:color w:val="000000"/>
          <w:spacing w:val="0"/>
          <w:w w:val="100"/>
          <w:position w:val="0"/>
          <w:sz w:val="24"/>
          <w:szCs w:val="24"/>
        </w:rPr>
        <w:t>2020-2022</w:t>
      </w:r>
      <w:r>
        <w:rPr>
          <w:color w:val="000000"/>
          <w:spacing w:val="0"/>
          <w:w w:val="100"/>
          <w:position w:val="0"/>
          <w:sz w:val="22"/>
          <w:szCs w:val="22"/>
        </w:rPr>
        <w:t>年综合服务协议》</w:t>
      </w:r>
    </w:p>
    <w:p>
      <w:pPr>
        <w:pStyle w:val="Style5"/>
        <w:keepNext w:val="0"/>
        <w:keepLines w:val="0"/>
        <w:widowControl w:val="0"/>
        <w:shd w:val="clear" w:color="auto" w:fill="auto"/>
        <w:bidi w:val="0"/>
        <w:spacing w:before="0" w:after="280" w:line="312" w:lineRule="exact"/>
        <w:ind w:left="1440" w:right="0" w:firstLine="0"/>
        <w:jc w:val="left"/>
        <w:rPr>
          <w:sz w:val="22"/>
          <w:szCs w:val="22"/>
        </w:rPr>
      </w:pPr>
      <w:r>
        <w:rPr>
          <w:color w:val="000000"/>
          <w:spacing w:val="0"/>
          <w:w w:val="100"/>
          <w:position w:val="0"/>
          <w:sz w:val="22"/>
          <w:szCs w:val="22"/>
        </w:rPr>
        <w:t xml:space="preserve">并设定了 </w:t>
      </w:r>
      <w:r>
        <w:rPr>
          <w:rFonts w:ascii="Times New Roman" w:eastAsia="Times New Roman" w:hAnsi="Times New Roman" w:cs="Times New Roman"/>
          <w:color w:val="000000"/>
          <w:spacing w:val="0"/>
          <w:w w:val="100"/>
          <w:position w:val="0"/>
          <w:sz w:val="24"/>
          <w:szCs w:val="24"/>
        </w:rPr>
        <w:t>2020-2022</w:t>
      </w:r>
      <w:r>
        <w:rPr>
          <w:color w:val="000000"/>
          <w:spacing w:val="0"/>
          <w:w w:val="100"/>
          <w:position w:val="0"/>
          <w:sz w:val="22"/>
          <w:szCs w:val="22"/>
        </w:rPr>
        <w:t>年各年度的交易额度上限。该协议期限三年，自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2"/>
          <w:szCs w:val="22"/>
        </w:rPr>
        <w:t>日起至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86" w:val="left"/>
        </w:tabs>
        <w:bidi w:val="0"/>
        <w:spacing w:before="0" w:after="240" w:line="300" w:lineRule="exact"/>
        <w:ind w:left="0" w:right="0" w:firstLine="0"/>
        <w:jc w:val="left"/>
        <w:rPr>
          <w:sz w:val="22"/>
          <w:szCs w:val="22"/>
        </w:rPr>
      </w:pPr>
      <w:r>
        <w:rPr>
          <w:color w:val="000000"/>
          <w:spacing w:val="0"/>
          <w:w w:val="100"/>
          <w:position w:val="0"/>
          <w:sz w:val="22"/>
          <w:szCs w:val="22"/>
        </w:rPr>
        <w:t>十、</w:t>
        <w:tab/>
        <w:t>关联方关系及其交易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86" w:val="left"/>
        </w:tabs>
        <w:bidi w:val="0"/>
        <w:spacing w:before="0" w:after="240" w:line="262" w:lineRule="auto"/>
        <w:ind w:left="0" w:right="0" w:firstLine="0"/>
        <w:jc w:val="left"/>
        <w:rPr>
          <w:sz w:val="22"/>
          <w:szCs w:val="22"/>
        </w:rPr>
      </w:pPr>
      <w:bookmarkStart w:id="1583" w:name="bookmark1583"/>
      <w:r>
        <w:rPr>
          <w:rFonts w:ascii="Times New Roman" w:eastAsia="Times New Roman" w:hAnsi="Times New Roman" w:cs="Times New Roman"/>
          <w:color w:val="000000"/>
          <w:spacing w:val="0"/>
          <w:w w:val="100"/>
          <w:position w:val="0"/>
          <w:sz w:val="24"/>
          <w:szCs w:val="24"/>
        </w:rPr>
        <w:t>5</w:t>
      </w:r>
      <w:bookmarkEnd w:id="1583"/>
      <w:r>
        <w:rPr>
          <w:color w:val="000000"/>
          <w:spacing w:val="0"/>
          <w:w w:val="100"/>
          <w:position w:val="0"/>
          <w:sz w:val="22"/>
          <w:szCs w:val="22"/>
        </w:rPr>
        <w:t>、</w:t>
        <w:tab/>
        <w:t>重大关联交易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40" w:line="300" w:lineRule="exact"/>
        <w:ind w:left="1440" w:right="0" w:hanging="720"/>
        <w:jc w:val="both"/>
        <w:rPr>
          <w:sz w:val="22"/>
          <w:szCs w:val="22"/>
        </w:rPr>
      </w:pPr>
      <w:r>
        <w:rPr>
          <w:color w:val="000000"/>
          <w:spacing w:val="0"/>
          <w:w w:val="100"/>
          <w:position w:val="0"/>
          <w:sz w:val="22"/>
          <w:szCs w:val="22"/>
        </w:rPr>
        <w:t>注释：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47"/>
        </w:numPr>
        <w:shd w:val="clear" w:color="auto" w:fill="auto"/>
        <w:tabs>
          <w:tab w:pos="1445" w:val="left"/>
        </w:tabs>
        <w:bidi w:val="0"/>
        <w:spacing w:before="0" w:after="240" w:line="300" w:lineRule="exact"/>
        <w:ind w:left="1440" w:right="0" w:hanging="720"/>
        <w:jc w:val="both"/>
        <w:rPr>
          <w:sz w:val="22"/>
          <w:szCs w:val="22"/>
        </w:rPr>
      </w:pPr>
      <w:bookmarkStart w:id="1584" w:name="bookmark1584"/>
      <w:bookmarkEnd w:id="1584"/>
      <w:r>
        <w:rPr>
          <w:color w:val="000000"/>
          <w:spacing w:val="0"/>
          <w:w w:val="100"/>
          <w:position w:val="0"/>
          <w:sz w:val="22"/>
          <w:szCs w:val="22"/>
        </w:rPr>
        <w:t>联通运营公司和联通集团及其子公司互相提供多种综合服务，包括设备租赁和维护 服务、车辆服务、商品销售、系统集成服务、安全保卫服务、施工及安装配套服务、 软件开发服务、职工培训服务、运维服务和广告及其它综合服务。相关定价或收费 标准参考政府指导价、市场价格或成本加利润的方式确定，并在提供相关服务时结 算。</w:t>
      </w:r>
    </w:p>
    <w:p>
      <w:pPr>
        <w:pStyle w:val="Style5"/>
        <w:keepNext w:val="0"/>
        <w:keepLines w:val="0"/>
        <w:widowControl w:val="0"/>
        <w:numPr>
          <w:ilvl w:val="0"/>
          <w:numId w:val="147"/>
        </w:numPr>
        <w:shd w:val="clear" w:color="auto" w:fill="auto"/>
        <w:tabs>
          <w:tab w:pos="1445" w:val="left"/>
        </w:tabs>
        <w:bidi w:val="0"/>
        <w:spacing w:before="0" w:after="240" w:line="301" w:lineRule="exact"/>
        <w:ind w:left="1440" w:right="0" w:hanging="720"/>
        <w:jc w:val="both"/>
        <w:rPr>
          <w:sz w:val="22"/>
          <w:szCs w:val="22"/>
        </w:rPr>
      </w:pPr>
      <w:bookmarkStart w:id="1585" w:name="bookmark1585"/>
      <w:bookmarkEnd w:id="1585"/>
      <w:r>
        <w:rPr>
          <w:color w:val="000000"/>
          <w:spacing w:val="0"/>
          <w:w w:val="100"/>
          <w:position w:val="0"/>
          <w:sz w:val="22"/>
          <w:szCs w:val="22"/>
        </w:rPr>
        <w:t>联通运营公司可要求联通集团及其子公司担任采购进口及国内电信设备以及其它国 内非电信设备的代理商，联通集团及其子公司向联通运营公司提供协议项下与物资 或设备采购相关的仓储和运输服务。联通运营公司支付给联通集团及其子公司的费 用基于政府指导价、市场价格或成本加利润的方式确定。</w:t>
      </w:r>
    </w:p>
    <w:p>
      <w:pPr>
        <w:pStyle w:val="Style5"/>
        <w:keepNext w:val="0"/>
        <w:keepLines w:val="0"/>
        <w:widowControl w:val="0"/>
        <w:numPr>
          <w:ilvl w:val="0"/>
          <w:numId w:val="147"/>
        </w:numPr>
        <w:shd w:val="clear" w:color="auto" w:fill="auto"/>
        <w:tabs>
          <w:tab w:pos="1445" w:val="left"/>
        </w:tabs>
        <w:bidi w:val="0"/>
        <w:spacing w:before="0" w:after="240" w:line="301" w:lineRule="exact"/>
        <w:ind w:left="1440" w:right="0" w:hanging="720"/>
        <w:jc w:val="both"/>
        <w:rPr>
          <w:sz w:val="22"/>
          <w:szCs w:val="22"/>
        </w:rPr>
      </w:pPr>
      <w:bookmarkStart w:id="1586" w:name="bookmark1586"/>
      <w:bookmarkEnd w:id="1586"/>
      <w:r>
        <w:rPr>
          <w:color w:val="000000"/>
          <w:spacing w:val="0"/>
          <w:w w:val="100"/>
          <w:position w:val="0"/>
          <w:sz w:val="22"/>
          <w:szCs w:val="22"/>
        </w:rPr>
        <w:t>联通集团个别子公司及其他合营和联营企业与联通运营公司合作向用户提供增值服 务，联通运营公司参考与同类地区第三方的交易标准按照协议中规定的收入分成比 例向联通集团个别子公司及其他合营和联营企业付费。物资采购支出主要为联通运 营公司向合营和联营企业采购终端等通讯物资的支出。</w:t>
      </w:r>
    </w:p>
    <w:p>
      <w:pPr>
        <w:pStyle w:val="Style5"/>
        <w:keepNext w:val="0"/>
        <w:keepLines w:val="0"/>
        <w:widowControl w:val="0"/>
        <w:numPr>
          <w:ilvl w:val="0"/>
          <w:numId w:val="147"/>
        </w:numPr>
        <w:shd w:val="clear" w:color="auto" w:fill="auto"/>
        <w:tabs>
          <w:tab w:pos="1445" w:val="left"/>
        </w:tabs>
        <w:bidi w:val="0"/>
        <w:spacing w:before="0" w:after="240" w:line="317" w:lineRule="exact"/>
        <w:ind w:left="1440" w:right="0" w:hanging="720"/>
        <w:jc w:val="both"/>
        <w:rPr>
          <w:sz w:val="22"/>
          <w:szCs w:val="22"/>
        </w:rPr>
      </w:pPr>
      <w:bookmarkStart w:id="1587" w:name="bookmark1587"/>
      <w:bookmarkEnd w:id="1587"/>
      <w:r>
        <w:rPr>
          <w:color w:val="000000"/>
          <w:spacing w:val="0"/>
          <w:w w:val="100"/>
          <w:position w:val="0"/>
          <w:sz w:val="22"/>
          <w:szCs w:val="22"/>
        </w:rPr>
        <w:t>联通集团及其子公司向联通运营公司提供若干工程及信息技术相关服务的一系列相 关服务，其价格参照市场价格制定，于提供相关服务时结算。</w:t>
      </w:r>
    </w:p>
    <w:p>
      <w:pPr>
        <w:pStyle w:val="Style5"/>
        <w:keepNext w:val="0"/>
        <w:keepLines w:val="0"/>
        <w:widowControl w:val="0"/>
        <w:numPr>
          <w:ilvl w:val="0"/>
          <w:numId w:val="147"/>
        </w:numPr>
        <w:shd w:val="clear" w:color="auto" w:fill="auto"/>
        <w:tabs>
          <w:tab w:pos="1445" w:val="left"/>
        </w:tabs>
        <w:bidi w:val="0"/>
        <w:spacing w:before="0" w:after="240" w:line="312" w:lineRule="exact"/>
        <w:ind w:left="1440" w:right="0" w:hanging="720"/>
        <w:jc w:val="both"/>
        <w:rPr>
          <w:sz w:val="22"/>
          <w:szCs w:val="22"/>
        </w:rPr>
      </w:pPr>
      <w:bookmarkStart w:id="1588" w:name="bookmark1588"/>
      <w:bookmarkEnd w:id="1588"/>
      <w:r>
        <w:rPr>
          <w:color w:val="000000"/>
          <w:spacing w:val="0"/>
          <w:w w:val="100"/>
          <w:position w:val="0"/>
          <w:sz w:val="22"/>
          <w:szCs w:val="22"/>
        </w:rPr>
        <w:t>联通运营公司与联通集团及其子公司签订了一般行政服务的共享服务协议。根据此 项协议，共享服务的费用将根据各自资产比例在双方之间分摊。</w:t>
      </w:r>
    </w:p>
    <w:p>
      <w:pPr>
        <w:pStyle w:val="Style5"/>
        <w:keepNext w:val="0"/>
        <w:keepLines w:val="0"/>
        <w:widowControl w:val="0"/>
        <w:numPr>
          <w:ilvl w:val="0"/>
          <w:numId w:val="147"/>
        </w:numPr>
        <w:shd w:val="clear" w:color="auto" w:fill="auto"/>
        <w:tabs>
          <w:tab w:pos="1445" w:val="left"/>
        </w:tabs>
        <w:bidi w:val="0"/>
        <w:spacing w:before="0" w:after="240" w:line="300" w:lineRule="exact"/>
        <w:ind w:left="1440" w:right="0" w:hanging="720"/>
        <w:jc w:val="both"/>
        <w:rPr>
          <w:sz w:val="22"/>
          <w:szCs w:val="22"/>
        </w:rPr>
      </w:pPr>
      <w:bookmarkStart w:id="1589" w:name="bookmark1589"/>
      <w:bookmarkEnd w:id="1589"/>
      <w:r>
        <w:rPr>
          <w:color w:val="000000"/>
          <w:spacing w:val="0"/>
          <w:w w:val="100"/>
          <w:position w:val="0"/>
          <w:sz w:val="22"/>
          <w:szCs w:val="22"/>
        </w:rPr>
        <w:t>联通集团及其子公司向联通运营公司提供末梢电信服务的相关服务，包括若干通信 业务销售前、销售中和销售后的服务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例如若干通信设施组装及维修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、销售代理服 务、账单打印和递送服务、电话亭维护、客户发展和接待以及其它客户服务。相关 定价或收费标准参考政府指导价、市场价格或成本加利润的方式确定，并在提供相 关服务时结算。</w:t>
      </w:r>
    </w:p>
    <w:p>
      <w:pPr>
        <w:pStyle w:val="Style5"/>
        <w:keepNext w:val="0"/>
        <w:keepLines w:val="0"/>
        <w:widowControl w:val="0"/>
        <w:numPr>
          <w:ilvl w:val="0"/>
          <w:numId w:val="147"/>
        </w:numPr>
        <w:shd w:val="clear" w:color="auto" w:fill="auto"/>
        <w:tabs>
          <w:tab w:pos="1445" w:val="left"/>
        </w:tabs>
        <w:bidi w:val="0"/>
        <w:spacing w:before="0" w:after="240" w:line="299" w:lineRule="exact"/>
        <w:ind w:left="1440" w:right="0" w:hanging="720"/>
        <w:jc w:val="both"/>
        <w:rPr>
          <w:sz w:val="22"/>
          <w:szCs w:val="22"/>
        </w:rPr>
      </w:pPr>
      <w:bookmarkStart w:id="1590" w:name="bookmark1590"/>
      <w:bookmarkEnd w:id="1590"/>
      <w:r>
        <w:rPr>
          <w:color w:val="000000"/>
          <w:spacing w:val="0"/>
          <w:w w:val="100"/>
          <w:position w:val="0"/>
          <w:sz w:val="22"/>
          <w:szCs w:val="22"/>
        </w:rPr>
        <w:t>联通运营公司向联通集团及其子公司租用若干物业，该等物业用途为办公室、电信 设备场地和其它辅助用途。联通运营公司应付的费用基于市场租金水平或每一项物 业的折旧及税金确定。后者在折旧及税金不高于市场租金水平时适用。相关费用应 按季于每季末支付，每年参考租赁物业当时市场租金水平重新审定。</w:t>
      </w:r>
    </w:p>
    <w:p>
      <w:pPr>
        <w:pStyle w:val="Style5"/>
        <w:keepNext w:val="0"/>
        <w:keepLines w:val="0"/>
        <w:widowControl w:val="0"/>
        <w:numPr>
          <w:ilvl w:val="0"/>
          <w:numId w:val="147"/>
        </w:numPr>
        <w:shd w:val="clear" w:color="auto" w:fill="auto"/>
        <w:tabs>
          <w:tab w:pos="1445" w:val="left"/>
        </w:tabs>
        <w:bidi w:val="0"/>
        <w:spacing w:before="0" w:after="240" w:line="299" w:lineRule="exact"/>
        <w:ind w:left="1440" w:right="0" w:hanging="720"/>
        <w:jc w:val="both"/>
        <w:rPr>
          <w:sz w:val="22"/>
          <w:szCs w:val="22"/>
        </w:rPr>
      </w:pPr>
      <w:bookmarkStart w:id="1591" w:name="bookmark1591"/>
      <w:bookmarkEnd w:id="1591"/>
      <w:r>
        <w:rPr>
          <w:color w:val="000000"/>
          <w:spacing w:val="0"/>
          <w:w w:val="100"/>
          <w:position w:val="0"/>
          <w:sz w:val="22"/>
          <w:szCs w:val="22"/>
        </w:rPr>
        <w:t>联通运营公司使用联通集团及其子公司拥有的国际通信信道出入口，国际通信业务 出入口，国际海缆容量以及国际陆缆等国际通信资源及其他通信设施，费用以通信 资源和设施的年度折旧金额为基础确定，且收费不高于市场租金水平。除联通运营 公司与联通集团另行协商外，上述通信设施维护所产生的费用由联通运营公司承担， 相关费用参照市场价格确定，若没有市场价格，则以合理成本加合理利润的方式确 定。</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2" w:val="left"/>
        </w:tabs>
        <w:bidi w:val="0"/>
        <w:spacing w:before="0" w:after="260" w:line="314" w:lineRule="exact"/>
        <w:ind w:left="0" w:right="0" w:firstLine="0"/>
        <w:jc w:val="left"/>
        <w:rPr>
          <w:sz w:val="22"/>
          <w:szCs w:val="22"/>
        </w:rPr>
      </w:pPr>
      <w:r>
        <w:rPr>
          <w:color w:val="000000"/>
          <w:spacing w:val="0"/>
          <w:w w:val="100"/>
          <w:position w:val="0"/>
          <w:sz w:val="22"/>
          <w:szCs w:val="22"/>
        </w:rPr>
        <w:t>十、</w:t>
        <w:tab/>
        <w:t>关联方关系及其交易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2" w:val="left"/>
        </w:tabs>
        <w:bidi w:val="0"/>
        <w:spacing w:before="0" w:after="260" w:line="276" w:lineRule="auto"/>
        <w:ind w:left="0" w:right="0" w:firstLine="0"/>
        <w:jc w:val="left"/>
        <w:rPr>
          <w:sz w:val="22"/>
          <w:szCs w:val="22"/>
        </w:rPr>
      </w:pPr>
      <w:bookmarkStart w:id="1592" w:name="bookmark1592"/>
      <w:r>
        <w:rPr>
          <w:rFonts w:ascii="Times New Roman" w:eastAsia="Times New Roman" w:hAnsi="Times New Roman" w:cs="Times New Roman"/>
          <w:color w:val="000000"/>
          <w:spacing w:val="0"/>
          <w:w w:val="100"/>
          <w:position w:val="0"/>
          <w:sz w:val="24"/>
          <w:szCs w:val="24"/>
        </w:rPr>
        <w:t>5</w:t>
      </w:r>
      <w:bookmarkEnd w:id="1592"/>
      <w:r>
        <w:rPr>
          <w:color w:val="000000"/>
          <w:spacing w:val="0"/>
          <w:w w:val="100"/>
          <w:position w:val="0"/>
          <w:sz w:val="22"/>
          <w:szCs w:val="22"/>
        </w:rPr>
        <w:t>、</w:t>
        <w:tab/>
        <w:t>重大关联交易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4" w:lineRule="exact"/>
        <w:ind w:left="1420" w:right="0" w:hanging="700"/>
        <w:jc w:val="both"/>
        <w:rPr>
          <w:sz w:val="22"/>
          <w:szCs w:val="22"/>
        </w:rPr>
      </w:pPr>
      <w:r>
        <w:rPr>
          <w:color w:val="000000"/>
          <w:spacing w:val="0"/>
          <w:w w:val="100"/>
          <w:position w:val="0"/>
          <w:sz w:val="22"/>
          <w:szCs w:val="22"/>
        </w:rPr>
        <w:t>注释：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1430" w:val="left"/>
        </w:tabs>
        <w:bidi w:val="0"/>
        <w:spacing w:before="0" w:after="260" w:line="314" w:lineRule="exact"/>
        <w:ind w:left="1420" w:right="0" w:hanging="700"/>
        <w:jc w:val="both"/>
        <w:rPr>
          <w:sz w:val="22"/>
          <w:szCs w:val="22"/>
        </w:rPr>
      </w:pPr>
      <w:bookmarkStart w:id="1593" w:name="bookmark1593"/>
      <w:r>
        <w:rPr>
          <w:rFonts w:ascii="Times New Roman" w:eastAsia="Times New Roman" w:hAnsi="Times New Roman" w:cs="Times New Roman"/>
          <w:color w:val="000000"/>
          <w:spacing w:val="0"/>
          <w:w w:val="100"/>
          <w:position w:val="0"/>
          <w:sz w:val="24"/>
          <w:szCs w:val="24"/>
        </w:rPr>
        <w:t>（</w:t>
      </w:r>
      <w:bookmarkEnd w:id="1593"/>
      <w:r>
        <w:rPr>
          <w:rFonts w:ascii="Times New Roman" w:eastAsia="Times New Roman" w:hAnsi="Times New Roman" w:cs="Times New Roman"/>
          <w:color w:val="000000"/>
          <w:spacing w:val="0"/>
          <w:w w:val="100"/>
          <w:position w:val="0"/>
          <w:sz w:val="24"/>
          <w:szCs w:val="24"/>
        </w:rPr>
        <w:t>10）</w:t>
        <w:tab/>
      </w:r>
      <w:r>
        <w:rPr>
          <w:color w:val="000000"/>
          <w:spacing w:val="0"/>
          <w:w w:val="100"/>
          <w:position w:val="0"/>
          <w:sz w:val="22"/>
          <w:szCs w:val="22"/>
        </w:rPr>
        <w:t>财务公司向联通集团及其子公司以及联营企业智慧足迹提供金融服务，包括存款服 务、贷款及其他授信服务和其他金融服务。相关利率遵循中国人民银行规定的利率 标准，并参考向其他用户提供同类服务所确定的利率及一般商业银行向联通集团提 供同类服务的利率；相关手续费参考政府指导价、市场价格等厘定。</w:t>
      </w:r>
    </w:p>
    <w:p>
      <w:pPr>
        <w:pStyle w:val="Style5"/>
        <w:keepNext w:val="0"/>
        <w:keepLines w:val="0"/>
        <w:widowControl w:val="0"/>
        <w:shd w:val="clear" w:color="auto" w:fill="auto"/>
        <w:bidi w:val="0"/>
        <w:spacing w:before="0" w:after="260" w:line="314" w:lineRule="exact"/>
        <w:ind w:left="1420" w:right="0" w:firstLine="2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年度，财务公司向联通集团发放贷款人民币</w:t>
      </w:r>
      <w:r>
        <w:rPr>
          <w:rFonts w:ascii="Times New Roman" w:eastAsia="Times New Roman" w:hAnsi="Times New Roman" w:cs="Times New Roman"/>
          <w:color w:val="000000"/>
          <w:spacing w:val="0"/>
          <w:w w:val="100"/>
          <w:position w:val="0"/>
          <w:sz w:val="24"/>
          <w:szCs w:val="24"/>
        </w:rPr>
        <w:t>114</w:t>
      </w:r>
      <w:r>
        <w:rPr>
          <w:color w:val="000000"/>
          <w:spacing w:val="0"/>
          <w:w w:val="100"/>
          <w:position w:val="0"/>
          <w:sz w:val="22"/>
          <w:szCs w:val="22"/>
        </w:rPr>
        <w:t>亿元，贷款利率以放款日前 最近一期公布的</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年期贷款市场报价利率</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“LPR”</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减</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2"/>
          <w:szCs w:val="22"/>
        </w:rPr>
        <w:t>基点确定。贷款存续期，贷 款利率中的</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年期</w:t>
      </w:r>
      <w:r>
        <w:rPr>
          <w:rFonts w:ascii="Times New Roman" w:eastAsia="Times New Roman" w:hAnsi="Times New Roman" w:cs="Times New Roman"/>
          <w:color w:val="000000"/>
          <w:spacing w:val="0"/>
          <w:w w:val="100"/>
          <w:position w:val="0"/>
          <w:sz w:val="24"/>
          <w:szCs w:val="24"/>
        </w:rPr>
        <w:t>LPR</w:t>
      </w:r>
      <w:r>
        <w:rPr>
          <w:color w:val="000000"/>
          <w:spacing w:val="0"/>
          <w:w w:val="100"/>
          <w:position w:val="0"/>
          <w:sz w:val="22"/>
          <w:szCs w:val="22"/>
        </w:rPr>
        <w:t>按季度调整，调整日为每季度第三个月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2"/>
          <w:szCs w:val="22"/>
        </w:rPr>
        <w:t>日，调整为该日 前最近一期公布的一年期</w:t>
      </w:r>
      <w:r>
        <w:rPr>
          <w:rFonts w:ascii="Times New Roman" w:eastAsia="Times New Roman" w:hAnsi="Times New Roman" w:cs="Times New Roman"/>
          <w:color w:val="000000"/>
          <w:spacing w:val="0"/>
          <w:w w:val="100"/>
          <w:position w:val="0"/>
          <w:sz w:val="24"/>
          <w:szCs w:val="24"/>
        </w:rPr>
        <w:t>LPR</w:t>
      </w:r>
      <w:r>
        <w:rPr>
          <w:color w:val="000000"/>
          <w:spacing w:val="0"/>
          <w:w w:val="100"/>
          <w:position w:val="0"/>
          <w:sz w:val="22"/>
          <w:szCs w:val="22"/>
        </w:rPr>
        <w:t>。</w:t>
      </w:r>
      <w:r>
        <w:rPr>
          <w:color w:val="000000"/>
          <w:spacing w:val="0"/>
          <w:w w:val="100"/>
          <w:position w:val="0"/>
          <w:sz w:val="22"/>
          <w:szCs w:val="22"/>
        </w:rPr>
        <w:t>联通集团本年偿还贷款人民币</w:t>
      </w:r>
      <w:r>
        <w:rPr>
          <w:rFonts w:ascii="Times New Roman" w:eastAsia="Times New Roman" w:hAnsi="Times New Roman" w:cs="Times New Roman"/>
          <w:color w:val="000000"/>
          <w:spacing w:val="0"/>
          <w:w w:val="100"/>
          <w:position w:val="0"/>
          <w:sz w:val="24"/>
          <w:szCs w:val="24"/>
        </w:rPr>
        <w:t>115</w:t>
      </w:r>
      <w:r>
        <w:rPr>
          <w:color w:val="000000"/>
          <w:spacing w:val="0"/>
          <w:w w:val="100"/>
          <w:position w:val="0"/>
          <w:sz w:val="22"/>
          <w:szCs w:val="22"/>
        </w:rPr>
        <w:t>亿元，剩余部分 将于</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年内到期。</w:t>
      </w:r>
    </w:p>
    <w:p>
      <w:pPr>
        <w:pStyle w:val="Style5"/>
        <w:keepNext w:val="0"/>
        <w:keepLines w:val="0"/>
        <w:widowControl w:val="0"/>
        <w:shd w:val="clear" w:color="auto" w:fill="auto"/>
        <w:tabs>
          <w:tab w:pos="1430" w:val="left"/>
        </w:tabs>
        <w:bidi w:val="0"/>
        <w:spacing w:before="0" w:after="260" w:line="314" w:lineRule="exact"/>
        <w:ind w:left="1420" w:right="0" w:hanging="700"/>
        <w:jc w:val="both"/>
        <w:rPr>
          <w:sz w:val="22"/>
          <w:szCs w:val="22"/>
        </w:rPr>
      </w:pPr>
      <w:bookmarkStart w:id="1594" w:name="bookmark1594"/>
      <w:r>
        <w:rPr>
          <w:rFonts w:ascii="Times New Roman" w:eastAsia="Times New Roman" w:hAnsi="Times New Roman" w:cs="Times New Roman"/>
          <w:color w:val="000000"/>
          <w:spacing w:val="0"/>
          <w:w w:val="100"/>
          <w:position w:val="0"/>
          <w:sz w:val="24"/>
          <w:szCs w:val="24"/>
        </w:rPr>
        <w:t>（</w:t>
      </w:r>
      <w:bookmarkEnd w:id="1594"/>
      <w:r>
        <w:rPr>
          <w:rFonts w:ascii="Times New Roman" w:eastAsia="Times New Roman" w:hAnsi="Times New Roman" w:cs="Times New Roman"/>
          <w:color w:val="000000"/>
          <w:spacing w:val="0"/>
          <w:w w:val="100"/>
          <w:position w:val="0"/>
          <w:sz w:val="24"/>
          <w:szCs w:val="24"/>
        </w:rPr>
        <w:t>11）</w:t>
        <w:tab/>
      </w:r>
      <w:r>
        <w:rPr>
          <w:color w:val="000000"/>
          <w:spacing w:val="0"/>
          <w:w w:val="100"/>
          <w:position w:val="0"/>
          <w:sz w:val="22"/>
          <w:szCs w:val="22"/>
        </w:rPr>
        <w:t>本集团向铁塔公司提供包括系统集成和工程设计服务等在内的工程设计及施工服务。</w:t>
      </w:r>
    </w:p>
    <w:p>
      <w:pPr>
        <w:pStyle w:val="Style5"/>
        <w:keepNext w:val="0"/>
        <w:keepLines w:val="0"/>
        <w:widowControl w:val="0"/>
        <w:shd w:val="clear" w:color="auto" w:fill="auto"/>
        <w:tabs>
          <w:tab w:pos="1430" w:val="left"/>
        </w:tabs>
        <w:bidi w:val="0"/>
        <w:spacing w:before="0" w:after="260" w:line="319" w:lineRule="exact"/>
        <w:ind w:left="1420" w:right="0" w:hanging="700"/>
        <w:jc w:val="both"/>
        <w:rPr>
          <w:sz w:val="22"/>
          <w:szCs w:val="22"/>
        </w:rPr>
      </w:pPr>
      <w:bookmarkStart w:id="1595" w:name="bookmark1595"/>
      <w:r>
        <w:rPr>
          <w:rFonts w:ascii="Times New Roman" w:eastAsia="Times New Roman" w:hAnsi="Times New Roman" w:cs="Times New Roman"/>
          <w:color w:val="000000"/>
          <w:spacing w:val="0"/>
          <w:w w:val="100"/>
          <w:position w:val="0"/>
          <w:sz w:val="24"/>
          <w:szCs w:val="24"/>
        </w:rPr>
        <w:t>（</w:t>
      </w:r>
      <w:bookmarkEnd w:id="1595"/>
      <w:r>
        <w:rPr>
          <w:rFonts w:ascii="Times New Roman" w:eastAsia="Times New Roman" w:hAnsi="Times New Roman" w:cs="Times New Roman"/>
          <w:color w:val="000000"/>
          <w:spacing w:val="0"/>
          <w:w w:val="100"/>
          <w:position w:val="0"/>
          <w:sz w:val="24"/>
          <w:szCs w:val="24"/>
        </w:rPr>
        <w:t>12）</w:t>
        <w:tab/>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日，联通运营公司与铁塔公司就若干通信铁塔及相关资产的使用事 项签订了商务定价协议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协议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，协议约定了产品目录、使用费定价标准 及服务期限等具体事项。</w:t>
      </w:r>
    </w:p>
    <w:p>
      <w:pPr>
        <w:pStyle w:val="Style5"/>
        <w:keepNext w:val="0"/>
        <w:keepLines w:val="0"/>
        <w:widowControl w:val="0"/>
        <w:shd w:val="clear" w:color="auto" w:fill="auto"/>
        <w:bidi w:val="0"/>
        <w:spacing w:before="0" w:after="260" w:line="310" w:lineRule="exact"/>
        <w:ind w:left="1420" w:right="0" w:firstLine="20"/>
        <w:jc w:val="both"/>
        <w:rPr>
          <w:sz w:val="22"/>
          <w:szCs w:val="22"/>
        </w:rPr>
      </w:pPr>
      <w:r>
        <w:rPr>
          <w:color w:val="000000"/>
          <w:spacing w:val="0"/>
          <w:w w:val="100"/>
          <w:position w:val="0"/>
          <w:sz w:val="22"/>
          <w:szCs w:val="22"/>
        </w:rPr>
        <w:t>随后，双方签署了省级服务协议以及有关特定铁塔的租赁确认书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确认 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日，经双方公平谈判协商，联通运营公司与铁塔公司签署订 立了《</w:t>
      </w:r>
      <w:r>
        <w:rPr>
          <w:color w:val="000000"/>
          <w:spacing w:val="0"/>
          <w:w w:val="100"/>
          <w:position w:val="0"/>
          <w:sz w:val="24"/>
          <w:szCs w:val="24"/>
        </w:rPr>
        <w:t>〈</w:t>
      </w:r>
      <w:r>
        <w:rPr>
          <w:color w:val="000000"/>
          <w:spacing w:val="0"/>
          <w:w w:val="100"/>
          <w:position w:val="0"/>
          <w:sz w:val="22"/>
          <w:szCs w:val="22"/>
        </w:rPr>
        <w:t>商务定价协议</w:t>
      </w:r>
      <w:r>
        <w:rPr>
          <w:color w:val="000000"/>
          <w:spacing w:val="0"/>
          <w:w w:val="100"/>
          <w:position w:val="0"/>
          <w:sz w:val="24"/>
          <w:szCs w:val="24"/>
        </w:rPr>
        <w:t>〉</w:t>
      </w:r>
      <w:r>
        <w:rPr>
          <w:color w:val="000000"/>
          <w:spacing w:val="0"/>
          <w:w w:val="100"/>
          <w:position w:val="0"/>
          <w:sz w:val="22"/>
          <w:szCs w:val="22"/>
        </w:rPr>
        <w:t>补充协议》</w:t>
      </w:r>
      <w:r>
        <w:rPr>
          <w:color w:val="000000"/>
          <w:spacing w:val="0"/>
          <w:w w:val="100"/>
          <w:position w:val="0"/>
          <w:sz w:val="24"/>
          <w:szCs w:val="24"/>
        </w:rPr>
        <w:t>（</w:t>
      </w:r>
      <w:r>
        <w:rPr>
          <w:color w:val="000000"/>
          <w:spacing w:val="0"/>
          <w:w w:val="100"/>
          <w:position w:val="0"/>
          <w:sz w:val="22"/>
          <w:szCs w:val="22"/>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补充协议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，该补充协议的主要内容 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降低了铁塔公司作为定价基础的成本加成率，以及</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提高了对本集团与其他 公司共享铁塔而给予的共享折扣率等。本集团将根据铁塔租赁的实际需求，重新签 署《产品业务确认单》或《批量起租表》。自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日，重新租赁的铁塔以 新条款内容执行，约定期限为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w:t>
      </w:r>
    </w:p>
    <w:p>
      <w:pPr>
        <w:pStyle w:val="Style5"/>
        <w:keepNext w:val="0"/>
        <w:keepLines w:val="0"/>
        <w:widowControl w:val="0"/>
        <w:shd w:val="clear" w:color="auto" w:fill="auto"/>
        <w:bidi w:val="0"/>
        <w:spacing w:before="0" w:after="260" w:line="308" w:lineRule="exact"/>
        <w:ind w:left="1420" w:right="0" w:firstLine="20"/>
        <w:jc w:val="both"/>
        <w:rPr>
          <w:sz w:val="22"/>
          <w:szCs w:val="22"/>
        </w:rPr>
      </w:pPr>
      <w:r>
        <w:rPr>
          <w:color w:val="000000"/>
          <w:spacing w:val="0"/>
          <w:w w:val="100"/>
          <w:position w:val="0"/>
          <w:sz w:val="22"/>
          <w:szCs w:val="22"/>
        </w:rPr>
        <w:t>根据以上安排，本集团针对上述业务于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年确认使用权资产增加人民币</w:t>
      </w:r>
      <w:r>
        <w:rPr>
          <w:rFonts w:ascii="Times New Roman" w:eastAsia="Times New Roman" w:hAnsi="Times New Roman" w:cs="Times New Roman"/>
          <w:color w:val="000000"/>
          <w:spacing w:val="0"/>
          <w:w w:val="100"/>
          <w:position w:val="0"/>
          <w:sz w:val="24"/>
          <w:szCs w:val="24"/>
        </w:rPr>
        <w:t>27.37</w:t>
      </w:r>
      <w:r>
        <w:rPr>
          <w:color w:val="000000"/>
          <w:spacing w:val="0"/>
          <w:w w:val="100"/>
          <w:position w:val="0"/>
          <w:sz w:val="22"/>
          <w:szCs w:val="22"/>
        </w:rPr>
        <w:t>亿 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年：人民币</w:t>
      </w:r>
      <w:r>
        <w:rPr>
          <w:rFonts w:ascii="Times New Roman" w:eastAsia="Times New Roman" w:hAnsi="Times New Roman" w:cs="Times New Roman"/>
          <w:color w:val="000000"/>
          <w:spacing w:val="0"/>
          <w:w w:val="100"/>
          <w:position w:val="0"/>
          <w:sz w:val="24"/>
          <w:szCs w:val="24"/>
        </w:rPr>
        <w:t>30.35</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，合并利润表中确认了使用权资产折旧费用人民币 </w:t>
      </w:r>
      <w:r>
        <w:rPr>
          <w:rFonts w:ascii="Times New Roman" w:eastAsia="Times New Roman" w:hAnsi="Times New Roman" w:cs="Times New Roman"/>
          <w:color w:val="000000"/>
          <w:spacing w:val="0"/>
          <w:w w:val="100"/>
          <w:position w:val="0"/>
          <w:sz w:val="24"/>
          <w:szCs w:val="24"/>
        </w:rPr>
        <w:t>74.80</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年：人民币</w:t>
      </w:r>
      <w:r>
        <w:rPr>
          <w:rFonts w:ascii="Times New Roman" w:eastAsia="Times New Roman" w:hAnsi="Times New Roman" w:cs="Times New Roman"/>
          <w:color w:val="000000"/>
          <w:spacing w:val="0"/>
          <w:w w:val="100"/>
          <w:position w:val="0"/>
          <w:sz w:val="24"/>
          <w:szCs w:val="24"/>
        </w:rPr>
        <w:t>70.88</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、利息费用人民币</w:t>
      </w:r>
      <w:r>
        <w:rPr>
          <w:rFonts w:ascii="Times New Roman" w:eastAsia="Times New Roman" w:hAnsi="Times New Roman" w:cs="Times New Roman"/>
          <w:color w:val="000000"/>
          <w:spacing w:val="0"/>
          <w:w w:val="100"/>
          <w:position w:val="0"/>
          <w:sz w:val="24"/>
          <w:szCs w:val="24"/>
        </w:rPr>
        <w:t>5.75</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年：人民 币</w:t>
      </w:r>
      <w:r>
        <w:rPr>
          <w:rFonts w:ascii="Times New Roman" w:eastAsia="Times New Roman" w:hAnsi="Times New Roman" w:cs="Times New Roman"/>
          <w:color w:val="000000"/>
          <w:spacing w:val="0"/>
          <w:w w:val="100"/>
          <w:position w:val="0"/>
          <w:sz w:val="24"/>
          <w:szCs w:val="24"/>
        </w:rPr>
        <w:t>7.57</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，及可变租金和相关服务费用人民币</w:t>
      </w:r>
      <w:r>
        <w:rPr>
          <w:rFonts w:ascii="Times New Roman" w:eastAsia="Times New Roman" w:hAnsi="Times New Roman" w:cs="Times New Roman"/>
          <w:color w:val="000000"/>
          <w:spacing w:val="0"/>
          <w:w w:val="100"/>
          <w:position w:val="0"/>
          <w:sz w:val="24"/>
          <w:szCs w:val="24"/>
        </w:rPr>
        <w:t>109.00</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 xml:space="preserve">年：人民币 </w:t>
      </w:r>
      <w:r>
        <w:rPr>
          <w:rFonts w:ascii="Times New Roman" w:eastAsia="Times New Roman" w:hAnsi="Times New Roman" w:cs="Times New Roman"/>
          <w:color w:val="000000"/>
          <w:spacing w:val="0"/>
          <w:w w:val="100"/>
          <w:position w:val="0"/>
          <w:sz w:val="24"/>
          <w:szCs w:val="24"/>
        </w:rPr>
        <w:t xml:space="preserve">112.46 </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tabs>
          <w:tab w:pos="1430" w:val="left"/>
        </w:tabs>
        <w:bidi w:val="0"/>
        <w:spacing w:before="0" w:after="260" w:line="317" w:lineRule="exact"/>
        <w:ind w:left="1420" w:right="0" w:hanging="700"/>
        <w:jc w:val="both"/>
        <w:rPr>
          <w:sz w:val="22"/>
          <w:szCs w:val="22"/>
        </w:rPr>
      </w:pPr>
      <w:bookmarkStart w:id="1596" w:name="bookmark1596"/>
      <w:r>
        <w:rPr>
          <w:rFonts w:ascii="Times New Roman" w:eastAsia="Times New Roman" w:hAnsi="Times New Roman" w:cs="Times New Roman"/>
          <w:color w:val="000000"/>
          <w:spacing w:val="0"/>
          <w:w w:val="100"/>
          <w:position w:val="0"/>
          <w:sz w:val="24"/>
          <w:szCs w:val="24"/>
        </w:rPr>
        <w:t>（</w:t>
      </w:r>
      <w:bookmarkEnd w:id="1596"/>
      <w:r>
        <w:rPr>
          <w:rFonts w:ascii="Times New Roman" w:eastAsia="Times New Roman" w:hAnsi="Times New Roman" w:cs="Times New Roman"/>
          <w:color w:val="000000"/>
          <w:spacing w:val="0"/>
          <w:w w:val="100"/>
          <w:position w:val="0"/>
          <w:sz w:val="24"/>
          <w:szCs w:val="24"/>
        </w:rPr>
        <w:t>13）</w:t>
        <w:tab/>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2"/>
          <w:szCs w:val="22"/>
        </w:rPr>
        <w:t>日，联通红筹公司自联通集团</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公司借入贷款人民币</w:t>
      </w:r>
      <w:r>
        <w:rPr>
          <w:rFonts w:ascii="Times New Roman" w:eastAsia="Times New Roman" w:hAnsi="Times New Roman" w:cs="Times New Roman"/>
          <w:color w:val="000000"/>
          <w:spacing w:val="0"/>
          <w:w w:val="100"/>
          <w:position w:val="0"/>
          <w:sz w:val="24"/>
          <w:szCs w:val="24"/>
        </w:rPr>
        <w:t>2.07</w:t>
      </w:r>
      <w:r>
        <w:rPr>
          <w:color w:val="000000"/>
          <w:spacing w:val="0"/>
          <w:w w:val="100"/>
          <w:position w:val="0"/>
          <w:sz w:val="22"/>
          <w:szCs w:val="22"/>
        </w:rPr>
        <w:t>亿元， 借款年利率为</w:t>
      </w:r>
      <w:r>
        <w:rPr>
          <w:rFonts w:ascii="Times New Roman" w:eastAsia="Times New Roman" w:hAnsi="Times New Roman" w:cs="Times New Roman"/>
          <w:color w:val="000000"/>
          <w:spacing w:val="0"/>
          <w:w w:val="100"/>
          <w:position w:val="0"/>
          <w:sz w:val="24"/>
          <w:szCs w:val="24"/>
        </w:rPr>
        <w:t>1.20%</w:t>
      </w:r>
      <w:r>
        <w:rPr>
          <w:color w:val="000000"/>
          <w:spacing w:val="0"/>
          <w:w w:val="100"/>
          <w:position w:val="0"/>
          <w:sz w:val="22"/>
          <w:szCs w:val="22"/>
        </w:rPr>
        <w:t>，已于本年全部偿还。</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77" w:val="left"/>
        </w:tabs>
        <w:bidi w:val="0"/>
        <w:spacing w:before="0" w:after="260" w:line="315" w:lineRule="exact"/>
        <w:ind w:left="0" w:right="0" w:firstLine="0"/>
        <w:jc w:val="left"/>
        <w:rPr>
          <w:sz w:val="22"/>
          <w:szCs w:val="22"/>
        </w:rPr>
      </w:pPr>
      <w:r>
        <w:rPr>
          <w:color w:val="000000"/>
          <w:spacing w:val="0"/>
          <w:w w:val="100"/>
          <w:position w:val="0"/>
          <w:sz w:val="22"/>
          <w:szCs w:val="22"/>
        </w:rPr>
        <w:t>十、</w:t>
        <w:tab/>
        <w:t>关联方关系及其交易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77" w:val="left"/>
        </w:tabs>
        <w:bidi w:val="0"/>
        <w:spacing w:before="0" w:after="260" w:line="276"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重大关联交易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5" w:lineRule="exact"/>
        <w:ind w:left="1440" w:right="0" w:hanging="720"/>
        <w:jc w:val="both"/>
        <w:rPr>
          <w:sz w:val="22"/>
          <w:szCs w:val="22"/>
        </w:rPr>
      </w:pPr>
      <w:r>
        <w:rPr>
          <w:color w:val="000000"/>
          <w:spacing w:val="0"/>
          <w:w w:val="100"/>
          <w:position w:val="0"/>
          <w:sz w:val="22"/>
          <w:szCs w:val="22"/>
        </w:rPr>
        <w:t>注释：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49"/>
        </w:numPr>
        <w:shd w:val="clear" w:color="auto" w:fill="auto"/>
        <w:tabs>
          <w:tab w:pos="1443" w:val="left"/>
        </w:tabs>
        <w:bidi w:val="0"/>
        <w:spacing w:before="0" w:after="260" w:line="315" w:lineRule="exact"/>
        <w:ind w:left="1440" w:right="0" w:hanging="720"/>
        <w:jc w:val="both"/>
        <w:rPr>
          <w:sz w:val="22"/>
          <w:szCs w:val="22"/>
        </w:rPr>
      </w:pPr>
      <w:bookmarkStart w:id="1597" w:name="bookmark1597"/>
      <w:bookmarkEnd w:id="1597"/>
      <w:r>
        <w:rPr>
          <w:color w:val="000000"/>
          <w:spacing w:val="0"/>
          <w:w w:val="100"/>
          <w:position w:val="0"/>
          <w:sz w:val="22"/>
          <w:szCs w:val="22"/>
        </w:rPr>
        <w:t>数据及互联网业务收入主要为联通运营公司向其他关联法人提供通信、互联网等业 务产生的收入。综合服务支出主要为其他关联法人向联通运营公司提供第三方支付 服务及其他技术服务等产生的支出。物资采购支出主要为联通运营公司向其他关联 法人采购终端等通讯物资的支出。以上服务价格为一般市场价格。</w:t>
      </w:r>
    </w:p>
    <w:p>
      <w:pPr>
        <w:pStyle w:val="Style5"/>
        <w:keepNext w:val="0"/>
        <w:keepLines w:val="0"/>
        <w:widowControl w:val="0"/>
        <w:numPr>
          <w:ilvl w:val="0"/>
          <w:numId w:val="149"/>
        </w:numPr>
        <w:shd w:val="clear" w:color="auto" w:fill="auto"/>
        <w:tabs>
          <w:tab w:pos="1443" w:val="left"/>
        </w:tabs>
        <w:bidi w:val="0"/>
        <w:spacing w:before="0" w:after="260" w:line="312" w:lineRule="exact"/>
        <w:ind w:left="1440" w:right="0" w:hanging="720"/>
        <w:jc w:val="both"/>
        <w:rPr>
          <w:sz w:val="22"/>
          <w:szCs w:val="22"/>
        </w:rPr>
      </w:pPr>
      <w:bookmarkStart w:id="1598" w:name="bookmark1598"/>
      <w:bookmarkEnd w:id="1598"/>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月及</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 xml:space="preserve">月，联通运营公司通过财务公司自智慧足迹借入委托贷款人民币 </w:t>
      </w:r>
      <w:r>
        <w:rPr>
          <w:rFonts w:ascii="Times New Roman" w:eastAsia="Times New Roman" w:hAnsi="Times New Roman" w:cs="Times New Roman"/>
          <w:color w:val="000000"/>
          <w:spacing w:val="0"/>
          <w:w w:val="100"/>
          <w:position w:val="0"/>
          <w:sz w:val="24"/>
          <w:szCs w:val="24"/>
        </w:rPr>
        <w:t>0.50</w:t>
      </w:r>
      <w:r>
        <w:rPr>
          <w:color w:val="000000"/>
          <w:spacing w:val="0"/>
          <w:w w:val="100"/>
          <w:position w:val="0"/>
          <w:sz w:val="22"/>
          <w:szCs w:val="22"/>
        </w:rPr>
        <w:t>亿元，贷款利率为固定利率</w:t>
      </w:r>
      <w:r>
        <w:rPr>
          <w:rFonts w:ascii="Times New Roman" w:eastAsia="Times New Roman" w:hAnsi="Times New Roman" w:cs="Times New Roman"/>
          <w:color w:val="000000"/>
          <w:spacing w:val="0"/>
          <w:w w:val="100"/>
          <w:position w:val="0"/>
          <w:sz w:val="24"/>
          <w:szCs w:val="24"/>
        </w:rPr>
        <w:t>3.92%</w:t>
      </w:r>
      <w:r>
        <w:rPr>
          <w:color w:val="000000"/>
          <w:spacing w:val="0"/>
          <w:w w:val="100"/>
          <w:position w:val="0"/>
          <w:sz w:val="22"/>
          <w:szCs w:val="22"/>
        </w:rPr>
        <w:t>。相关借款已于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月和</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月偿还。</w:t>
      </w:r>
    </w:p>
    <w:p>
      <w:pPr>
        <w:pStyle w:val="Style5"/>
        <w:keepNext w:val="0"/>
        <w:keepLines w:val="0"/>
        <w:widowControl w:val="0"/>
        <w:numPr>
          <w:ilvl w:val="0"/>
          <w:numId w:val="149"/>
        </w:numPr>
        <w:shd w:val="clear" w:color="auto" w:fill="auto"/>
        <w:tabs>
          <w:tab w:pos="1443" w:val="left"/>
        </w:tabs>
        <w:bidi w:val="0"/>
        <w:spacing w:before="0" w:after="260" w:line="322" w:lineRule="exact"/>
        <w:ind w:left="1440" w:right="0" w:hanging="720"/>
        <w:jc w:val="both"/>
        <w:rPr>
          <w:sz w:val="22"/>
          <w:szCs w:val="22"/>
        </w:rPr>
      </w:pPr>
      <w:bookmarkStart w:id="1599" w:name="bookmark1599"/>
      <w:bookmarkEnd w:id="1599"/>
      <w:r>
        <w:rPr>
          <w:color w:val="000000"/>
          <w:spacing w:val="0"/>
          <w:w w:val="100"/>
          <w:position w:val="0"/>
          <w:sz w:val="22"/>
          <w:szCs w:val="22"/>
        </w:rPr>
        <w:t>联通集团为联通商标的注册持有人。商标上带有联通标识，均已在中国国家商标局 登记。根据联通集团和联通运营公司之间的独家中国商标使用协议，本集团被授予 有权以免交商标使用费及可延期的方式来使用这些商标。</w:t>
      </w:r>
    </w:p>
    <w:p>
      <w:pPr>
        <w:pStyle w:val="Style5"/>
        <w:keepNext w:val="0"/>
        <w:keepLines w:val="0"/>
        <w:widowControl w:val="0"/>
        <w:numPr>
          <w:ilvl w:val="0"/>
          <w:numId w:val="149"/>
        </w:numPr>
        <w:shd w:val="clear" w:color="auto" w:fill="auto"/>
        <w:tabs>
          <w:tab w:pos="1443" w:val="left"/>
        </w:tabs>
        <w:bidi w:val="0"/>
        <w:spacing w:before="0" w:after="260" w:line="307" w:lineRule="exact"/>
        <w:ind w:left="1440" w:right="0" w:hanging="720"/>
        <w:jc w:val="both"/>
        <w:rPr>
          <w:sz w:val="22"/>
          <w:szCs w:val="22"/>
        </w:rPr>
      </w:pPr>
      <w:bookmarkStart w:id="1600" w:name="bookmark1600"/>
      <w:bookmarkEnd w:id="1600"/>
      <w:r>
        <w:rPr>
          <w:color w:val="000000"/>
          <w:spacing w:val="0"/>
          <w:w w:val="100"/>
          <w:position w:val="0"/>
          <w:sz w:val="22"/>
          <w:szCs w:val="22"/>
        </w:rPr>
        <w:t>本集团按市场一般价格向其他关联法人广发银行股份有限公司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广发银行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及合营 企业招联消费金融有限公司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招联金融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等合营和联营企业提供电信及相关增值服 务。除此之外，本年本集团与广发银行拆入资金、存放同业等日最高交易额不超过 人民币</w:t>
      </w:r>
      <w:r>
        <w:rPr>
          <w:rFonts w:ascii="Times New Roman" w:eastAsia="Times New Roman" w:hAnsi="Times New Roman" w:cs="Times New Roman"/>
          <w:color w:val="000000"/>
          <w:spacing w:val="0"/>
          <w:w w:val="100"/>
          <w:position w:val="0"/>
          <w:sz w:val="24"/>
          <w:szCs w:val="24"/>
        </w:rPr>
        <w:t>5.03</w:t>
      </w:r>
      <w:r>
        <w:rPr>
          <w:color w:val="000000"/>
          <w:spacing w:val="0"/>
          <w:w w:val="100"/>
          <w:position w:val="0"/>
          <w:sz w:val="22"/>
          <w:szCs w:val="22"/>
        </w:rPr>
        <w:t>亿元；与招联金融拆出资金日最高交易额不超过人民币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亿元。</w:t>
      </w:r>
    </w:p>
    <w:p>
      <w:pPr>
        <w:pStyle w:val="Style5"/>
        <w:keepNext w:val="0"/>
        <w:keepLines w:val="0"/>
        <w:widowControl w:val="0"/>
        <w:numPr>
          <w:ilvl w:val="0"/>
          <w:numId w:val="149"/>
        </w:numPr>
        <w:shd w:val="clear" w:color="auto" w:fill="auto"/>
        <w:tabs>
          <w:tab w:pos="1443" w:val="left"/>
        </w:tabs>
        <w:bidi w:val="0"/>
        <w:spacing w:before="0" w:after="260" w:line="315" w:lineRule="exact"/>
        <w:ind w:left="0" w:right="0" w:firstLine="720"/>
        <w:jc w:val="left"/>
        <w:rPr>
          <w:sz w:val="22"/>
          <w:szCs w:val="22"/>
        </w:rPr>
      </w:pPr>
      <w:bookmarkStart w:id="1601" w:name="bookmark1601"/>
      <w:bookmarkEnd w:id="1601"/>
      <w:r>
        <w:rPr>
          <w:color w:val="000000"/>
          <w:spacing w:val="0"/>
          <w:w w:val="100"/>
          <w:position w:val="0"/>
          <w:sz w:val="22"/>
          <w:szCs w:val="22"/>
        </w:rPr>
        <w:t>关键管理人员报酬</w:t>
      </w:r>
    </w:p>
    <w:p>
      <w:pPr>
        <w:pStyle w:val="Style5"/>
        <w:keepNext w:val="0"/>
        <w:keepLines w:val="0"/>
        <w:widowControl w:val="0"/>
        <w:shd w:val="clear" w:color="auto" w:fill="auto"/>
        <w:tabs>
          <w:tab w:pos="7435" w:val="left"/>
        </w:tabs>
        <w:bidi w:val="0"/>
        <w:spacing w:before="0" w:after="260" w:line="315" w:lineRule="exact"/>
        <w:ind w:left="0" w:right="0" w:firstLine="720"/>
        <w:jc w:val="left"/>
        <w:rPr>
          <w:sz w:val="22"/>
          <w:szCs w:val="22"/>
        </w:rPr>
      </w:pPr>
      <w:r>
        <w:rPr>
          <w:rFonts w:ascii="Times New Roman" w:eastAsia="Times New Roman" w:hAnsi="Times New Roman" w:cs="Times New Roman"/>
          <w:color w:val="000000"/>
          <w:spacing w:val="0"/>
          <w:w w:val="100"/>
          <w:position w:val="0"/>
          <w:sz w:val="24"/>
          <w:szCs w:val="24"/>
          <w:u w:val="single"/>
        </w:rPr>
        <w:t>(</w:t>
      </w:r>
      <w:r>
        <w:rPr>
          <w:color w:val="000000"/>
          <w:spacing w:val="0"/>
          <w:w w:val="100"/>
          <w:position w:val="0"/>
          <w:sz w:val="22"/>
          <w:szCs w:val="22"/>
          <w:u w:val="single"/>
        </w:rPr>
        <w:t>单位：人民币万元</w:t>
      </w:r>
      <w:r>
        <w:rPr>
          <w:rFonts w:ascii="Times New Roman" w:eastAsia="Times New Roman" w:hAnsi="Times New Roman" w:cs="Times New Roman"/>
          <w:color w:val="000000"/>
          <w:spacing w:val="0"/>
          <w:w w:val="100"/>
          <w:position w:val="0"/>
          <w:sz w:val="24"/>
          <w:szCs w:val="24"/>
          <w:u w:val="single"/>
        </w:rPr>
        <w:t>)</w:t>
        <w:tab/>
        <w:t>2021</w:t>
      </w:r>
      <w:r>
        <w:rPr>
          <w:color w:val="000000"/>
          <w:spacing w:val="0"/>
          <w:w w:val="100"/>
          <w:position w:val="0"/>
          <w:sz w:val="22"/>
          <w:szCs w:val="22"/>
          <w:u w:val="single"/>
        </w:rPr>
        <w:t xml:space="preserve">年度 </w:t>
      </w: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p>
      <w:pPr>
        <w:pStyle w:val="Style89"/>
        <w:keepNext w:val="0"/>
        <w:keepLines w:val="0"/>
        <w:widowControl w:val="0"/>
        <w:shd w:val="clear" w:color="auto" w:fill="auto"/>
        <w:tabs>
          <w:tab w:pos="7939" w:val="left"/>
          <w:tab w:pos="9384" w:val="left"/>
        </w:tabs>
        <w:bidi w:val="0"/>
        <w:spacing w:before="0" w:after="260" w:line="240" w:lineRule="auto"/>
        <w:ind w:left="0" w:right="0" w:firstLine="720"/>
        <w:jc w:val="left"/>
      </w:pPr>
      <w:r>
        <w:rPr>
          <w:rFonts w:ascii="SimSun" w:eastAsia="SimSun" w:hAnsi="SimSun" w:cs="SimSun"/>
          <w:color w:val="000000"/>
          <w:spacing w:val="0"/>
          <w:w w:val="100"/>
          <w:position w:val="0"/>
          <w:sz w:val="22"/>
          <w:szCs w:val="22"/>
          <w:u w:val="none"/>
        </w:rPr>
        <w:t>关键管理人员报酬</w:t>
        <w:tab/>
      </w:r>
      <w:r>
        <w:rPr>
          <w:color w:val="000000"/>
          <w:spacing w:val="0"/>
          <w:w w:val="100"/>
          <w:position w:val="0"/>
          <w:sz w:val="24"/>
          <w:szCs w:val="24"/>
        </w:rPr>
        <w:t>730.95</w:t>
        <w:tab/>
        <w:t>855.97</w:t>
      </w:r>
    </w:p>
    <w:p>
      <w:pPr>
        <w:pStyle w:val="Style5"/>
        <w:keepNext w:val="0"/>
        <w:keepLines w:val="0"/>
        <w:widowControl w:val="0"/>
        <w:shd w:val="clear" w:color="auto" w:fill="auto"/>
        <w:bidi w:val="0"/>
        <w:spacing w:before="0" w:after="260" w:line="317" w:lineRule="exact"/>
        <w:ind w:left="720" w:right="0" w:firstLine="0"/>
        <w:jc w:val="left"/>
        <w:rPr>
          <w:sz w:val="22"/>
          <w:szCs w:val="22"/>
        </w:rPr>
      </w:pPr>
      <w:r>
        <w:rPr>
          <w:color w:val="000000"/>
          <w:spacing w:val="0"/>
          <w:w w:val="100"/>
          <w:position w:val="0"/>
          <w:sz w:val="22"/>
          <w:szCs w:val="22"/>
        </w:rPr>
        <w:t>除以上已披露的实际发放薪酬，本集团关键管理人员报酬还包括本年已计提尚未发放的薪 酬及五险一金缴费金额。</w:t>
      </w:r>
      <w:r>
        <w:br w:type="page"/>
      </w:r>
    </w:p>
    <w:p>
      <w:pPr>
        <w:pStyle w:val="Style97"/>
        <w:keepNext/>
        <w:keepLines/>
        <w:widowControl w:val="0"/>
        <w:shd w:val="clear" w:color="auto" w:fill="auto"/>
        <w:bidi w:val="0"/>
        <w:spacing w:before="0" w:after="40" w:line="240" w:lineRule="auto"/>
        <w:ind w:left="0" w:right="0" w:firstLine="0"/>
        <w:jc w:val="left"/>
      </w:pPr>
      <w:bookmarkStart w:id="1602" w:name="bookmark1602"/>
      <w:bookmarkStart w:id="1603" w:name="bookmark1603"/>
      <w:bookmarkStart w:id="1604" w:name="bookmark1604"/>
      <w:r>
        <w:rPr>
          <w:color w:val="000000"/>
          <w:spacing w:val="0"/>
          <w:w w:val="100"/>
          <w:position w:val="0"/>
        </w:rPr>
        <w:t>财务报表附注</w:t>
      </w:r>
      <w:bookmarkEnd w:id="1602"/>
      <w:bookmarkEnd w:id="1603"/>
      <w:bookmarkEnd w:id="1604"/>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605"/>
      <w:bookmarkEnd w:id="1606"/>
      <w:bookmarkEnd w:id="1607"/>
    </w:p>
    <w:p>
      <w:pPr>
        <w:pStyle w:val="Style97"/>
        <w:keepNext/>
        <w:keepLines/>
        <w:widowControl w:val="0"/>
        <w:shd w:val="clear" w:color="auto" w:fill="auto"/>
        <w:bidi w:val="0"/>
        <w:spacing w:before="0" w:after="300" w:line="240" w:lineRule="auto"/>
        <w:ind w:left="0" w:right="0" w:firstLine="0"/>
        <w:jc w:val="left"/>
      </w:pPr>
      <w:bookmarkStart w:id="1608" w:name="bookmark1608"/>
      <w:bookmarkStart w:id="1609" w:name="bookmark1609"/>
      <w:bookmarkStart w:id="1610" w:name="bookmark1610"/>
      <w:r>
        <w:rPr>
          <w:color w:val="000000"/>
          <w:spacing w:val="0"/>
          <w:w w:val="100"/>
          <w:position w:val="0"/>
        </w:rPr>
        <w:t>十、 关联方关系及其交易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608"/>
      <w:bookmarkEnd w:id="1609"/>
      <w:bookmarkEnd w:id="1610"/>
    </w:p>
    <w:p>
      <w:pPr>
        <w:pStyle w:val="Style97"/>
        <w:keepNext/>
        <w:keepLines/>
        <w:widowControl w:val="0"/>
        <w:shd w:val="clear" w:color="auto" w:fill="auto"/>
        <w:tabs>
          <w:tab w:pos="720" w:val="left"/>
        </w:tabs>
        <w:bidi w:val="0"/>
        <w:spacing w:before="0" w:after="30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sz w:val="24"/>
          <w:szCs w:val="24"/>
        </w:rPr>
        <w:t>6</w:t>
      </w:r>
      <w:bookmarkEnd w:id="1613"/>
      <w:r>
        <w:rPr>
          <w:color w:val="000000"/>
          <w:spacing w:val="0"/>
          <w:w w:val="100"/>
          <w:position w:val="0"/>
        </w:rPr>
        <w:t>、</w:t>
        <w:tab/>
        <w:t>关联方应收、应付款项账面余额</w:t>
      </w:r>
      <w:bookmarkEnd w:id="1611"/>
      <w:bookmarkEnd w:id="1612"/>
      <w:bookmarkEnd w:id="1614"/>
    </w:p>
    <w:p>
      <w:pPr>
        <w:pStyle w:val="Style89"/>
        <w:keepNext w:val="0"/>
        <w:keepLines w:val="0"/>
        <w:widowControl w:val="0"/>
        <w:shd w:val="clear" w:color="auto" w:fill="auto"/>
        <w:tabs>
          <w:tab w:pos="1752" w:val="left"/>
        </w:tabs>
        <w:bidi w:val="0"/>
        <w:spacing w:before="0" w:line="240" w:lineRule="auto"/>
        <w:ind w:left="0" w:right="0" w:firstLine="0"/>
        <w:jc w:val="center"/>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tab/>
      </w: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tabs>
          <w:tab w:pos="1752" w:val="left"/>
        </w:tabs>
        <w:bidi w:val="0"/>
        <w:spacing w:before="0" w:after="30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tab/>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bl>
      <w:tblPr>
        <w:tblOverlap w:val="never"/>
        <w:jc w:val="right"/>
        <w:tblLayout w:type="fixed"/>
      </w:tblPr>
      <w:tblGrid>
        <w:gridCol w:w="1934"/>
        <w:gridCol w:w="3725"/>
        <w:gridCol w:w="2083"/>
        <w:gridCol w:w="1666"/>
      </w:tblGrid>
      <w:tr>
        <w:trPr>
          <w:trHeight w:val="168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500"/>
              <w:jc w:val="left"/>
              <w:rPr>
                <w:sz w:val="22"/>
                <w:szCs w:val="22"/>
              </w:rPr>
            </w:pPr>
            <w:r>
              <w:rPr>
                <w:color w:val="000000"/>
                <w:spacing w:val="0"/>
                <w:w w:val="100"/>
                <w:position w:val="0"/>
                <w:sz w:val="22"/>
                <w:szCs w:val="22"/>
              </w:rPr>
              <w:t>联通集团及其子公司</w:t>
            </w:r>
          </w:p>
          <w:p>
            <w:pPr>
              <w:pStyle w:val="Style22"/>
              <w:keepNext w:val="0"/>
              <w:keepLines w:val="0"/>
              <w:widowControl w:val="0"/>
              <w:shd w:val="clear" w:color="auto" w:fill="auto"/>
              <w:bidi w:val="0"/>
              <w:spacing w:before="0" w:after="40" w:line="240" w:lineRule="auto"/>
              <w:ind w:left="0" w:right="0" w:firstLine="500"/>
              <w:jc w:val="left"/>
              <w:rPr>
                <w:sz w:val="22"/>
                <w:szCs w:val="22"/>
              </w:rPr>
            </w:pPr>
            <w:r>
              <w:rPr>
                <w:color w:val="000000"/>
                <w:spacing w:val="0"/>
                <w:w w:val="100"/>
                <w:position w:val="0"/>
                <w:sz w:val="22"/>
                <w:szCs w:val="22"/>
              </w:rPr>
              <w:t>铁塔公司</w:t>
            </w:r>
          </w:p>
          <w:p>
            <w:pPr>
              <w:pStyle w:val="Style22"/>
              <w:keepNext w:val="0"/>
              <w:keepLines w:val="0"/>
              <w:widowControl w:val="0"/>
              <w:shd w:val="clear" w:color="auto" w:fill="auto"/>
              <w:bidi w:val="0"/>
              <w:spacing w:before="0" w:after="40" w:line="240" w:lineRule="auto"/>
              <w:ind w:left="0" w:right="0" w:firstLine="500"/>
              <w:jc w:val="left"/>
              <w:rPr>
                <w:sz w:val="22"/>
                <w:szCs w:val="22"/>
              </w:rPr>
            </w:pPr>
            <w:r>
              <w:rPr>
                <w:color w:val="000000"/>
                <w:spacing w:val="0"/>
                <w:w w:val="100"/>
                <w:position w:val="0"/>
                <w:sz w:val="22"/>
                <w:szCs w:val="22"/>
              </w:rPr>
              <w:t>其他合营和联营企业</w:t>
            </w:r>
          </w:p>
          <w:p>
            <w:pPr>
              <w:pStyle w:val="Style22"/>
              <w:keepNext w:val="0"/>
              <w:keepLines w:val="0"/>
              <w:widowControl w:val="0"/>
              <w:shd w:val="clear" w:color="auto" w:fill="auto"/>
              <w:bidi w:val="0"/>
              <w:spacing w:before="0" w:after="40" w:line="240" w:lineRule="auto"/>
              <w:ind w:left="0" w:right="0" w:firstLine="500"/>
              <w:jc w:val="left"/>
              <w:rPr>
                <w:sz w:val="22"/>
                <w:szCs w:val="22"/>
              </w:rPr>
            </w:pPr>
            <w:r>
              <w:rPr>
                <w:color w:val="000000"/>
                <w:spacing w:val="0"/>
                <w:w w:val="100"/>
                <w:position w:val="0"/>
                <w:sz w:val="22"/>
                <w:szCs w:val="22"/>
              </w:rPr>
              <w:t>其他关联法人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146,032,344</w:t>
            </w:r>
          </w:p>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41,864,565</w:t>
            </w:r>
          </w:p>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49,636,745</w:t>
            </w:r>
          </w:p>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574,864,983</w:t>
            </w:r>
          </w:p>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812,398,637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176,784,802</w:t>
            </w:r>
          </w:p>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32,712,831</w:t>
            </w:r>
          </w:p>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17,075,808</w:t>
            </w:r>
          </w:p>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193,852,186</w:t>
            </w:r>
          </w:p>
          <w:p>
            <w:pPr>
              <w:pStyle w:val="Style22"/>
              <w:keepNext w:val="0"/>
              <w:keepLines w:val="0"/>
              <w:widowControl w:val="0"/>
              <w:shd w:val="clear" w:color="auto" w:fill="auto"/>
              <w:bidi w:val="0"/>
              <w:spacing w:before="0" w:after="0" w:line="240" w:lineRule="auto"/>
              <w:ind w:left="0" w:right="0"/>
              <w:jc w:val="both"/>
              <w:rPr>
                <w:sz w:val="24"/>
                <w:szCs w:val="24"/>
              </w:rPr>
            </w:pPr>
            <w:r>
              <w:rPr>
                <w:rFonts w:ascii="Times New Roman" w:eastAsia="Times New Roman" w:hAnsi="Times New Roman" w:cs="Times New Roman"/>
                <w:color w:val="000000"/>
                <w:spacing w:val="0"/>
                <w:w w:val="100"/>
                <w:position w:val="0"/>
                <w:sz w:val="24"/>
                <w:szCs w:val="24"/>
              </w:rPr>
              <w:t>420,425,627</w:t>
            </w:r>
          </w:p>
        </w:tc>
      </w:tr>
      <w:tr>
        <w:trPr>
          <w:trHeight w:val="1546" w:hRule="exact"/>
        </w:trPr>
        <w:tc>
          <w:tcPr>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left"/>
              <w:rPr>
                <w:sz w:val="22"/>
                <w:szCs w:val="22"/>
              </w:rPr>
            </w:pPr>
            <w:r>
              <w:rPr>
                <w:color w:val="000000"/>
                <w:spacing w:val="0"/>
                <w:w w:val="100"/>
                <w:position w:val="0"/>
                <w:sz w:val="22"/>
                <w:szCs w:val="22"/>
              </w:rPr>
              <w:t>预付款项</w:t>
            </w:r>
          </w:p>
        </w:tc>
        <w:tc>
          <w:tcPr>
            <w:tcBorders/>
            <w:shd w:val="clear" w:color="auto" w:fill="FFFFFF"/>
            <w:vAlign w:val="top"/>
          </w:tcPr>
          <w:p>
            <w:pPr>
              <w:pStyle w:val="Style22"/>
              <w:keepNext w:val="0"/>
              <w:keepLines w:val="0"/>
              <w:widowControl w:val="0"/>
              <w:shd w:val="clear" w:color="auto" w:fill="auto"/>
              <w:bidi w:val="0"/>
              <w:spacing w:before="160" w:after="60" w:line="240" w:lineRule="auto"/>
              <w:ind w:left="0" w:right="0" w:firstLine="500"/>
              <w:jc w:val="left"/>
              <w:rPr>
                <w:sz w:val="22"/>
                <w:szCs w:val="22"/>
              </w:rPr>
            </w:pPr>
            <w:r>
              <w:rPr>
                <w:color w:val="000000"/>
                <w:spacing w:val="0"/>
                <w:w w:val="100"/>
                <w:position w:val="0"/>
                <w:sz w:val="22"/>
                <w:szCs w:val="22"/>
              </w:rPr>
              <w:t>联通集团及其子公司</w:t>
            </w:r>
          </w:p>
          <w:p>
            <w:pPr>
              <w:pStyle w:val="Style22"/>
              <w:keepNext w:val="0"/>
              <w:keepLines w:val="0"/>
              <w:widowControl w:val="0"/>
              <w:shd w:val="clear" w:color="auto" w:fill="auto"/>
              <w:bidi w:val="0"/>
              <w:spacing w:before="0" w:after="60" w:line="240" w:lineRule="auto"/>
              <w:ind w:left="0" w:right="0" w:firstLine="500"/>
              <w:jc w:val="left"/>
              <w:rPr>
                <w:sz w:val="22"/>
                <w:szCs w:val="22"/>
              </w:rPr>
            </w:pPr>
            <w:r>
              <w:rPr>
                <w:color w:val="000000"/>
                <w:spacing w:val="0"/>
                <w:w w:val="100"/>
                <w:position w:val="0"/>
                <w:sz w:val="22"/>
                <w:szCs w:val="22"/>
              </w:rPr>
              <w:t>铁塔公司</w:t>
            </w:r>
          </w:p>
          <w:p>
            <w:pPr>
              <w:pStyle w:val="Style22"/>
              <w:keepNext w:val="0"/>
              <w:keepLines w:val="0"/>
              <w:widowControl w:val="0"/>
              <w:shd w:val="clear" w:color="auto" w:fill="auto"/>
              <w:bidi w:val="0"/>
              <w:spacing w:before="0" w:after="60" w:line="240" w:lineRule="auto"/>
              <w:ind w:left="0" w:right="0" w:firstLine="500"/>
              <w:jc w:val="left"/>
              <w:rPr>
                <w:sz w:val="22"/>
                <w:szCs w:val="22"/>
              </w:rPr>
            </w:pPr>
            <w:r>
              <w:rPr>
                <w:color w:val="000000"/>
                <w:spacing w:val="0"/>
                <w:w w:val="100"/>
                <w:position w:val="0"/>
                <w:sz w:val="22"/>
                <w:szCs w:val="22"/>
              </w:rPr>
              <w:t>其他关联法人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23,137,279</w:t>
            </w:r>
          </w:p>
          <w:p>
            <w:pPr>
              <w:pStyle w:val="Style22"/>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8,296,117</w:t>
            </w:r>
          </w:p>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223,605,631</w:t>
            </w:r>
          </w:p>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255,039,027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15,903,726</w:t>
            </w:r>
          </w:p>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13,525,656</w:t>
            </w:r>
          </w:p>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411,826</w:t>
            </w:r>
          </w:p>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29,841,208</w:t>
            </w:r>
          </w:p>
        </w:tc>
      </w:tr>
      <w:tr>
        <w:trPr>
          <w:trHeight w:val="1526" w:hRule="exact"/>
        </w:trPr>
        <w:tc>
          <w:tcPr>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left"/>
              <w:rPr>
                <w:sz w:val="22"/>
                <w:szCs w:val="22"/>
              </w:rPr>
            </w:pPr>
            <w:r>
              <w:rPr>
                <w:color w:val="000000"/>
                <w:spacing w:val="0"/>
                <w:w w:val="100"/>
                <w:position w:val="0"/>
                <w:sz w:val="22"/>
                <w:szCs w:val="22"/>
              </w:rPr>
              <w:t>其他应收款</w:t>
            </w:r>
          </w:p>
        </w:tc>
        <w:tc>
          <w:tcPr>
            <w:tcBorders/>
            <w:shd w:val="clear" w:color="auto" w:fill="FFFFFF"/>
            <w:vAlign w:val="top"/>
          </w:tcPr>
          <w:p>
            <w:pPr>
              <w:pStyle w:val="Style22"/>
              <w:keepNext w:val="0"/>
              <w:keepLines w:val="0"/>
              <w:widowControl w:val="0"/>
              <w:shd w:val="clear" w:color="auto" w:fill="auto"/>
              <w:bidi w:val="0"/>
              <w:spacing w:before="160" w:after="60" w:line="240" w:lineRule="auto"/>
              <w:ind w:left="0" w:right="0" w:firstLine="500"/>
              <w:jc w:val="left"/>
              <w:rPr>
                <w:sz w:val="22"/>
                <w:szCs w:val="22"/>
              </w:rPr>
            </w:pPr>
            <w:r>
              <w:rPr>
                <w:color w:val="000000"/>
                <w:spacing w:val="0"/>
                <w:w w:val="100"/>
                <w:position w:val="0"/>
                <w:sz w:val="22"/>
                <w:szCs w:val="22"/>
              </w:rPr>
              <w:t>联通集团及其子公司</w:t>
            </w:r>
          </w:p>
          <w:p>
            <w:pPr>
              <w:pStyle w:val="Style22"/>
              <w:keepNext w:val="0"/>
              <w:keepLines w:val="0"/>
              <w:widowControl w:val="0"/>
              <w:shd w:val="clear" w:color="auto" w:fill="auto"/>
              <w:bidi w:val="0"/>
              <w:spacing w:before="0" w:after="60" w:line="240" w:lineRule="auto"/>
              <w:ind w:left="0" w:right="0" w:firstLine="500"/>
              <w:jc w:val="left"/>
              <w:rPr>
                <w:sz w:val="22"/>
                <w:szCs w:val="22"/>
              </w:rPr>
            </w:pPr>
            <w:r>
              <w:rPr>
                <w:color w:val="000000"/>
                <w:spacing w:val="0"/>
                <w:w w:val="100"/>
                <w:position w:val="0"/>
                <w:sz w:val="22"/>
                <w:szCs w:val="22"/>
              </w:rPr>
              <w:t>铁塔公司</w:t>
            </w:r>
          </w:p>
          <w:p>
            <w:pPr>
              <w:pStyle w:val="Style22"/>
              <w:keepNext w:val="0"/>
              <w:keepLines w:val="0"/>
              <w:widowControl w:val="0"/>
              <w:shd w:val="clear" w:color="auto" w:fill="auto"/>
              <w:bidi w:val="0"/>
              <w:spacing w:before="0" w:after="60" w:line="240" w:lineRule="auto"/>
              <w:ind w:left="0" w:right="0" w:firstLine="500"/>
              <w:jc w:val="left"/>
              <w:rPr>
                <w:sz w:val="22"/>
                <w:szCs w:val="22"/>
              </w:rPr>
            </w:pPr>
            <w:r>
              <w:rPr>
                <w:color w:val="000000"/>
                <w:spacing w:val="0"/>
                <w:w w:val="100"/>
                <w:position w:val="0"/>
                <w:sz w:val="22"/>
                <w:szCs w:val="22"/>
              </w:rPr>
              <w:t>其他关联法人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4,693,428</w:t>
            </w:r>
          </w:p>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30,903,612</w:t>
            </w:r>
          </w:p>
          <w:p>
            <w:pPr>
              <w:pStyle w:val="Style22"/>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6,407</w:t>
            </w:r>
          </w:p>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35,603,447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4,856,719</w:t>
            </w:r>
          </w:p>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45,087,242</w:t>
            </w:r>
          </w:p>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2,550</w:t>
            </w:r>
          </w:p>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49,946,511</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其他流动资产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2"/>
                <w:szCs w:val="22"/>
              </w:rPr>
              <w:t xml:space="preserve">联通集团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注 </w:t>
            </w:r>
            <w:r>
              <w:rPr>
                <w:rFonts w:ascii="Times New Roman" w:eastAsia="Times New Roman" w:hAnsi="Times New Roman" w:cs="Times New Roman"/>
                <w:color w:val="000000"/>
                <w:spacing w:val="0"/>
                <w:w w:val="100"/>
                <w:position w:val="0"/>
                <w:sz w:val="24"/>
                <w:szCs w:val="24"/>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10,410,486,667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10,510,092,986</w:t>
            </w:r>
          </w:p>
        </w:tc>
      </w:tr>
      <w:tr>
        <w:trPr>
          <w:trHeight w:val="60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长期应收款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联通集团及其子公司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2,103,608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1834" w:hRule="exact"/>
        </w:trPr>
        <w:tc>
          <w:tcPr>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left"/>
              <w:rPr>
                <w:sz w:val="22"/>
                <w:szCs w:val="22"/>
              </w:rPr>
            </w:pPr>
            <w:r>
              <w:rPr>
                <w:color w:val="000000"/>
                <w:spacing w:val="0"/>
                <w:w w:val="100"/>
                <w:position w:val="0"/>
                <w:sz w:val="22"/>
                <w:szCs w:val="22"/>
              </w:rPr>
              <w:t>应付账款</w:t>
            </w:r>
          </w:p>
        </w:tc>
        <w:tc>
          <w:tcPr>
            <w:tcBorders/>
            <w:shd w:val="clear" w:color="auto" w:fill="FFFFFF"/>
            <w:vAlign w:val="top"/>
          </w:tcPr>
          <w:p>
            <w:pPr>
              <w:pStyle w:val="Style22"/>
              <w:keepNext w:val="0"/>
              <w:keepLines w:val="0"/>
              <w:widowControl w:val="0"/>
              <w:shd w:val="clear" w:color="auto" w:fill="auto"/>
              <w:bidi w:val="0"/>
              <w:spacing w:before="100" w:after="0" w:line="310" w:lineRule="exact"/>
              <w:ind w:left="500" w:right="0" w:firstLine="0"/>
              <w:jc w:val="left"/>
              <w:rPr>
                <w:sz w:val="22"/>
                <w:szCs w:val="22"/>
              </w:rPr>
            </w:pPr>
            <w:r>
              <w:rPr>
                <w:color w:val="000000"/>
                <w:spacing w:val="0"/>
                <w:w w:val="100"/>
                <w:position w:val="0"/>
                <w:sz w:val="22"/>
                <w:szCs w:val="22"/>
              </w:rPr>
              <w:t>联通集团及其子公司 铁塔公司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2"/>
                <w:szCs w:val="22"/>
              </w:rPr>
              <w:t>其他合营和联营企业 其他关联法人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1,411,789,772</w:t>
            </w:r>
          </w:p>
          <w:p>
            <w:pPr>
              <w:pStyle w:val="Style2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4,024,510,876</w:t>
            </w:r>
          </w:p>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103,004,519</w:t>
            </w:r>
          </w:p>
          <w:p>
            <w:pPr>
              <w:pStyle w:val="Style2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185,607,978</w:t>
            </w:r>
          </w:p>
          <w:p>
            <w:pPr>
              <w:pStyle w:val="Style2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5,724,913,145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1,507,128,762</w:t>
            </w:r>
          </w:p>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3,893,174,437</w:t>
            </w:r>
          </w:p>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30,993,823</w:t>
            </w:r>
          </w:p>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91,581,711</w:t>
            </w:r>
          </w:p>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5,522,878,733</w:t>
            </w:r>
          </w:p>
        </w:tc>
      </w:tr>
      <w:tr>
        <w:trPr>
          <w:trHeight w:val="1546" w:hRule="exact"/>
        </w:trPr>
        <w:tc>
          <w:tcPr>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0"/>
              <w:jc w:val="left"/>
              <w:rPr>
                <w:sz w:val="22"/>
                <w:szCs w:val="22"/>
              </w:rPr>
            </w:pPr>
            <w:r>
              <w:rPr>
                <w:color w:val="000000"/>
                <w:spacing w:val="0"/>
                <w:w w:val="100"/>
                <w:position w:val="0"/>
                <w:sz w:val="22"/>
                <w:szCs w:val="22"/>
              </w:rPr>
              <w:t>其他应付款</w:t>
            </w:r>
          </w:p>
        </w:tc>
        <w:tc>
          <w:tcPr>
            <w:tcBorders/>
            <w:shd w:val="clear" w:color="auto" w:fill="FFFFFF"/>
            <w:vAlign w:val="top"/>
          </w:tcPr>
          <w:p>
            <w:pPr>
              <w:pStyle w:val="Style22"/>
              <w:keepNext w:val="0"/>
              <w:keepLines w:val="0"/>
              <w:widowControl w:val="0"/>
              <w:shd w:val="clear" w:color="auto" w:fill="auto"/>
              <w:bidi w:val="0"/>
              <w:spacing w:before="120" w:after="0" w:line="312" w:lineRule="exact"/>
              <w:ind w:left="500" w:right="0" w:firstLine="0"/>
              <w:jc w:val="left"/>
              <w:rPr>
                <w:sz w:val="22"/>
                <w:szCs w:val="22"/>
              </w:rPr>
            </w:pPr>
            <w:r>
              <w:rPr>
                <w:color w:val="000000"/>
                <w:spacing w:val="0"/>
                <w:w w:val="100"/>
                <w:position w:val="0"/>
                <w:sz w:val="22"/>
                <w:szCs w:val="22"/>
              </w:rPr>
              <w:t>联通集团及其子公司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注 </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2"/>
                <w:szCs w:val="22"/>
              </w:rPr>
              <w:t>铁塔公司</w:t>
            </w:r>
          </w:p>
          <w:p>
            <w:pPr>
              <w:pStyle w:val="Style22"/>
              <w:keepNext w:val="0"/>
              <w:keepLines w:val="0"/>
              <w:widowControl w:val="0"/>
              <w:shd w:val="clear" w:color="auto" w:fill="auto"/>
              <w:bidi w:val="0"/>
              <w:spacing w:before="0" w:after="0" w:line="312" w:lineRule="exact"/>
              <w:ind w:left="500" w:right="0" w:firstLine="0"/>
              <w:jc w:val="left"/>
              <w:rPr>
                <w:sz w:val="24"/>
                <w:szCs w:val="24"/>
              </w:rPr>
            </w:pPr>
            <w:r>
              <w:rPr>
                <w:color w:val="000000"/>
                <w:spacing w:val="0"/>
                <w:w w:val="100"/>
                <w:position w:val="0"/>
                <w:sz w:val="22"/>
                <w:szCs w:val="22"/>
              </w:rPr>
              <w:t>其他合营和联营企业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注 </w:t>
            </w:r>
            <w:r>
              <w:rPr>
                <w:rFonts w:ascii="Times New Roman" w:eastAsia="Times New Roman" w:hAnsi="Times New Roman" w:cs="Times New Roman"/>
                <w:color w:val="000000"/>
                <w:spacing w:val="0"/>
                <w:w w:val="100"/>
                <w:position w:val="0"/>
                <w:sz w:val="24"/>
                <w:szCs w:val="24"/>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4,408,053,410</w:t>
            </w:r>
          </w:p>
          <w:p>
            <w:pPr>
              <w:pStyle w:val="Style22"/>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8,311,525</w:t>
            </w:r>
          </w:p>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61,381,876</w:t>
            </w:r>
          </w:p>
          <w:p>
            <w:pPr>
              <w:pStyle w:val="Style2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4,477,746,811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3,740,027,801</w:t>
            </w:r>
          </w:p>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8,601,653</w:t>
            </w:r>
          </w:p>
          <w:p>
            <w:pPr>
              <w:pStyle w:val="Style22"/>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58,868,698</w:t>
            </w:r>
          </w:p>
          <w:p>
            <w:pPr>
              <w:pStyle w:val="Style22"/>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3,807,498,152</w:t>
            </w:r>
          </w:p>
        </w:tc>
      </w:tr>
      <w:tr>
        <w:trPr>
          <w:trHeight w:val="49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租赁负债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2"/>
                <w:szCs w:val="22"/>
              </w:rPr>
              <w:t>铁塔公司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3）</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4,184,076,829</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10,030,582,657</w:t>
            </w:r>
          </w:p>
        </w:tc>
      </w:tr>
    </w:tbl>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6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25"/>
        <w:keepNext w:val="0"/>
        <w:keepLines w:val="0"/>
        <w:widowControl w:val="0"/>
        <w:shd w:val="clear" w:color="auto" w:fill="auto"/>
        <w:bidi w:val="0"/>
        <w:spacing w:before="0" w:after="0" w:line="240" w:lineRule="auto"/>
        <w:ind w:left="5" w:right="0" w:firstLine="0"/>
        <w:jc w:val="left"/>
        <w:rPr>
          <w:sz w:val="22"/>
          <w:szCs w:val="22"/>
        </w:rPr>
      </w:pPr>
      <w:r>
        <w:rPr>
          <w:color w:val="000000"/>
          <w:spacing w:val="0"/>
          <w:w w:val="100"/>
          <w:position w:val="0"/>
          <w:sz w:val="22"/>
          <w:szCs w:val="22"/>
        </w:rPr>
        <w:t>十、 关联方关系及其交易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tbl>
      <w:tblPr>
        <w:tblOverlap w:val="never"/>
        <w:jc w:val="center"/>
        <w:tblLayout w:type="fixed"/>
      </w:tblPr>
      <w:tblGrid>
        <w:gridCol w:w="2184"/>
        <w:gridCol w:w="3960"/>
        <w:gridCol w:w="2381"/>
        <w:gridCol w:w="1622"/>
      </w:tblGrid>
      <w:tr>
        <w:trPr>
          <w:trHeight w:val="432" w:hRule="exact"/>
        </w:trPr>
        <w:tc>
          <w:tcPr>
            <w:tcBorders/>
            <w:shd w:val="clear" w:color="auto" w:fill="FFFFFF"/>
            <w:vAlign w:val="top"/>
          </w:tcPr>
          <w:p>
            <w:pPr>
              <w:pStyle w:val="Style22"/>
              <w:keepNext w:val="0"/>
              <w:keepLines w:val="0"/>
              <w:widowControl w:val="0"/>
              <w:shd w:val="clear" w:color="auto" w:fill="auto"/>
              <w:tabs>
                <w:tab w:pos="720"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tab/>
              <w:t>关联方应收、</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应付款项账面余额 </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租赁负债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2"/>
                <w:szCs w:val="22"/>
              </w:rPr>
              <w:t>铁塔公司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u w:val="single"/>
              </w:rPr>
              <w:t>8,222,549,943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24"/>
                <w:szCs w:val="24"/>
              </w:rPr>
            </w:pPr>
            <w:r>
              <w:rPr>
                <w:rFonts w:ascii="Times New Roman" w:eastAsia="Times New Roman" w:hAnsi="Times New Roman" w:cs="Times New Roman"/>
                <w:color w:val="000000"/>
                <w:spacing w:val="0"/>
                <w:w w:val="100"/>
                <w:position w:val="0"/>
                <w:sz w:val="24"/>
                <w:szCs w:val="24"/>
              </w:rPr>
              <w:t>7,806,209,011</w:t>
            </w:r>
          </w:p>
        </w:tc>
      </w:tr>
      <w:tr>
        <w:trPr>
          <w:trHeight w:val="4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合同资产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铁塔公司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61,174,715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75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应付票据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2"/>
                <w:szCs w:val="22"/>
              </w:rPr>
              <w:t>铁塔公司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2,077,369,639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24"/>
                <w:szCs w:val="24"/>
              </w:rPr>
            </w:pPr>
            <w:r>
              <w:rPr>
                <w:rFonts w:ascii="Times New Roman" w:eastAsia="Times New Roman" w:hAnsi="Times New Roman" w:cs="Times New Roman"/>
                <w:color w:val="000000"/>
                <w:spacing w:val="0"/>
                <w:w w:val="100"/>
                <w:position w:val="0"/>
                <w:sz w:val="24"/>
                <w:szCs w:val="24"/>
              </w:rPr>
              <w:t>2,014,383,668</w:t>
            </w:r>
          </w:p>
        </w:tc>
      </w:tr>
      <w:tr>
        <w:trPr>
          <w:trHeight w:val="4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合同负债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联通集团及其子公司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4,039,260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3,201,346</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其他关联法人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99,674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其他合营和联营企业</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721,236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rPr>
                <w:sz w:val="22"/>
                <w:szCs w:val="22"/>
              </w:rPr>
            </w:pPr>
            <w:r>
              <w:rPr>
                <w:color w:val="000000"/>
                <w:spacing w:val="0"/>
                <w:w w:val="100"/>
                <w:position w:val="0"/>
                <w:sz w:val="22"/>
                <w:szCs w:val="22"/>
              </w:rPr>
              <w:t>铁塔公司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6,528,935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11,389,105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3,201,346</w:t>
            </w:r>
          </w:p>
        </w:tc>
      </w:tr>
    </w:tbl>
    <w:p>
      <w:pPr>
        <w:widowControl w:val="0"/>
        <w:spacing w:after="259" w:line="1" w:lineRule="exact"/>
      </w:pPr>
    </w:p>
    <w:p>
      <w:pPr>
        <w:pStyle w:val="Style5"/>
        <w:keepNext w:val="0"/>
        <w:keepLines w:val="0"/>
        <w:widowControl w:val="0"/>
        <w:shd w:val="clear" w:color="auto" w:fill="auto"/>
        <w:bidi w:val="0"/>
        <w:spacing w:before="0" w:after="260" w:line="310" w:lineRule="exact"/>
        <w:ind w:left="1440" w:right="0" w:hanging="72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日，对联通集团及其子公司的其他应付款主要为财务公司吸收存 款余额约人民币</w:t>
      </w:r>
      <w:r>
        <w:rPr>
          <w:rFonts w:ascii="Times New Roman" w:eastAsia="Times New Roman" w:hAnsi="Times New Roman" w:cs="Times New Roman"/>
          <w:color w:val="000000"/>
          <w:spacing w:val="0"/>
          <w:w w:val="100"/>
          <w:position w:val="0"/>
          <w:sz w:val="24"/>
          <w:szCs w:val="24"/>
        </w:rPr>
        <w:t>41.71</w:t>
      </w:r>
      <w:r>
        <w:rPr>
          <w:color w:val="000000"/>
          <w:spacing w:val="0"/>
          <w:w w:val="100"/>
          <w:position w:val="0"/>
          <w:sz w:val="22"/>
          <w:szCs w:val="22"/>
        </w:rPr>
        <w:t>亿元，年利率范围为</w:t>
      </w:r>
      <w:r>
        <w:rPr>
          <w:rFonts w:ascii="Times New Roman" w:eastAsia="Times New Roman" w:hAnsi="Times New Roman" w:cs="Times New Roman"/>
          <w:color w:val="000000"/>
          <w:spacing w:val="0"/>
          <w:w w:val="100"/>
          <w:position w:val="0"/>
          <w:sz w:val="24"/>
          <w:szCs w:val="24"/>
        </w:rPr>
        <w:t>0.42%-2.75%</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 财务公司自智慧足迹吸收存款余额约人民币</w:t>
      </w:r>
      <w:r>
        <w:rPr>
          <w:rFonts w:ascii="Times New Roman" w:eastAsia="Times New Roman" w:hAnsi="Times New Roman" w:cs="Times New Roman"/>
          <w:color w:val="000000"/>
          <w:spacing w:val="0"/>
          <w:w w:val="100"/>
          <w:position w:val="0"/>
          <w:sz w:val="24"/>
          <w:szCs w:val="24"/>
        </w:rPr>
        <w:t>0.6</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亿元，年利率范围为</w:t>
      </w:r>
      <w:r>
        <w:rPr>
          <w:rFonts w:ascii="Times New Roman" w:eastAsia="Times New Roman" w:hAnsi="Times New Roman" w:cs="Times New Roman"/>
          <w:color w:val="000000"/>
          <w:spacing w:val="0"/>
          <w:w w:val="100"/>
          <w:position w:val="0"/>
          <w:sz w:val="24"/>
          <w:szCs w:val="24"/>
        </w:rPr>
        <w:t>0.42%- 2.75%</w:t>
      </w:r>
      <w:r>
        <w:rPr>
          <w:color w:val="000000"/>
          <w:spacing w:val="0"/>
          <w:w w:val="100"/>
          <w:position w:val="0"/>
          <w:sz w:val="22"/>
          <w:szCs w:val="22"/>
        </w:rPr>
        <w:t>。</w:t>
      </w:r>
    </w:p>
    <w:p>
      <w:pPr>
        <w:pStyle w:val="Style5"/>
        <w:keepNext w:val="0"/>
        <w:keepLines w:val="0"/>
        <w:widowControl w:val="0"/>
        <w:shd w:val="clear" w:color="auto" w:fill="auto"/>
        <w:bidi w:val="0"/>
        <w:spacing w:before="0" w:after="260" w:line="312" w:lineRule="exact"/>
        <w:ind w:left="1440" w:right="0" w:hanging="72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日，财务公司向联通集团发放贷款余额约人民币</w:t>
      </w:r>
      <w:r>
        <w:rPr>
          <w:rFonts w:ascii="Times New Roman" w:eastAsia="Times New Roman" w:hAnsi="Times New Roman" w:cs="Times New Roman"/>
          <w:color w:val="000000"/>
          <w:spacing w:val="0"/>
          <w:w w:val="100"/>
          <w:position w:val="0"/>
          <w:sz w:val="24"/>
          <w:szCs w:val="24"/>
        </w:rPr>
        <w:t>104</w:t>
      </w:r>
      <w:r>
        <w:rPr>
          <w:color w:val="000000"/>
          <w:spacing w:val="0"/>
          <w:w w:val="100"/>
          <w:position w:val="0"/>
          <w:sz w:val="22"/>
          <w:szCs w:val="22"/>
        </w:rPr>
        <w:t>亿元。借款 利率以放款日前最近一期公布的</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年期</w:t>
      </w:r>
      <w:r>
        <w:rPr>
          <w:rFonts w:ascii="Times New Roman" w:eastAsia="Times New Roman" w:hAnsi="Times New Roman" w:cs="Times New Roman"/>
          <w:color w:val="000000"/>
          <w:spacing w:val="0"/>
          <w:w w:val="100"/>
          <w:position w:val="0"/>
          <w:sz w:val="24"/>
          <w:szCs w:val="24"/>
        </w:rPr>
        <w:t>LPR</w:t>
      </w:r>
      <w:r>
        <w:rPr>
          <w:color w:val="000000"/>
          <w:spacing w:val="0"/>
          <w:w w:val="100"/>
          <w:position w:val="0"/>
          <w:sz w:val="22"/>
          <w:szCs w:val="22"/>
        </w:rPr>
        <w:t>减</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2"/>
          <w:szCs w:val="22"/>
        </w:rPr>
        <w:t>基点确定。贷款存续期内贷款 利率中的</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年期</w:t>
      </w:r>
      <w:r>
        <w:rPr>
          <w:rFonts w:ascii="Times New Roman" w:eastAsia="Times New Roman" w:hAnsi="Times New Roman" w:cs="Times New Roman"/>
          <w:color w:val="000000"/>
          <w:spacing w:val="0"/>
          <w:w w:val="100"/>
          <w:position w:val="0"/>
          <w:sz w:val="24"/>
          <w:szCs w:val="24"/>
        </w:rPr>
        <w:t>LPR</w:t>
      </w:r>
      <w:r>
        <w:rPr>
          <w:color w:val="000000"/>
          <w:spacing w:val="0"/>
          <w:w w:val="100"/>
          <w:position w:val="0"/>
          <w:sz w:val="22"/>
          <w:szCs w:val="22"/>
        </w:rPr>
        <w:t>按季度调整，调整日为每季度第三个月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2"/>
          <w:szCs w:val="22"/>
        </w:rPr>
        <w:t>日，调整为该日前 最近一期公布的一年期</w:t>
      </w:r>
      <w:r>
        <w:rPr>
          <w:rFonts w:ascii="Times New Roman" w:eastAsia="Times New Roman" w:hAnsi="Times New Roman" w:cs="Times New Roman"/>
          <w:color w:val="000000"/>
          <w:spacing w:val="0"/>
          <w:w w:val="100"/>
          <w:position w:val="0"/>
          <w:sz w:val="24"/>
          <w:szCs w:val="24"/>
        </w:rPr>
        <w:t>LPR</w:t>
      </w:r>
      <w:r>
        <w:rPr>
          <w:color w:val="000000"/>
          <w:spacing w:val="0"/>
          <w:w w:val="100"/>
          <w:position w:val="0"/>
          <w:sz w:val="22"/>
          <w:szCs w:val="22"/>
        </w:rPr>
        <w:t>。</w:t>
      </w:r>
    </w:p>
    <w:p>
      <w:pPr>
        <w:pStyle w:val="Style5"/>
        <w:keepNext w:val="0"/>
        <w:keepLines w:val="0"/>
        <w:widowControl w:val="0"/>
        <w:shd w:val="clear" w:color="auto" w:fill="auto"/>
        <w:bidi w:val="0"/>
        <w:spacing w:before="0" w:after="260" w:line="312" w:lineRule="exact"/>
        <w:ind w:left="1440" w:right="0" w:hanging="72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：根据联通运营公司与铁塔公司就若干通信铁塔及相关资产的使用事项签订的协议安 排，本集团于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日确认了相关使用权资产账面价值约人民币</w:t>
      </w:r>
      <w:r>
        <w:rPr>
          <w:rFonts w:ascii="Times New Roman" w:eastAsia="Times New Roman" w:hAnsi="Times New Roman" w:cs="Times New Roman"/>
          <w:color w:val="000000"/>
          <w:spacing w:val="0"/>
          <w:w w:val="100"/>
          <w:position w:val="0"/>
          <w:sz w:val="24"/>
          <w:szCs w:val="24"/>
        </w:rPr>
        <w:t xml:space="preserve">118.07 </w:t>
      </w:r>
      <w:r>
        <w:rPr>
          <w:color w:val="000000"/>
          <w:spacing w:val="0"/>
          <w:w w:val="100"/>
          <w:position w:val="0"/>
          <w:sz w:val="22"/>
          <w:szCs w:val="22"/>
        </w:rPr>
        <w:t>亿元及租赁负债账面余额约人民币</w:t>
      </w:r>
      <w:r>
        <w:rPr>
          <w:rFonts w:ascii="Times New Roman" w:eastAsia="Times New Roman" w:hAnsi="Times New Roman" w:cs="Times New Roman"/>
          <w:color w:val="000000"/>
          <w:spacing w:val="0"/>
          <w:w w:val="100"/>
          <w:position w:val="0"/>
          <w:sz w:val="24"/>
          <w:szCs w:val="24"/>
        </w:rPr>
        <w:t>124.07</w:t>
      </w:r>
      <w:r>
        <w:rPr>
          <w:color w:val="000000"/>
          <w:spacing w:val="0"/>
          <w:w w:val="100"/>
          <w:position w:val="0"/>
          <w:sz w:val="22"/>
          <w:szCs w:val="22"/>
        </w:rPr>
        <w:t>亿元。于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日，应付账款 中应付铁塔公司余额约为人民币</w:t>
      </w:r>
      <w:r>
        <w:rPr>
          <w:rFonts w:ascii="Times New Roman" w:eastAsia="Times New Roman" w:hAnsi="Times New Roman" w:cs="Times New Roman"/>
          <w:color w:val="000000"/>
          <w:spacing w:val="0"/>
          <w:w w:val="100"/>
          <w:position w:val="0"/>
          <w:sz w:val="24"/>
          <w:szCs w:val="24"/>
        </w:rPr>
        <w:t>40.25</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日：约人民币</w:t>
      </w:r>
      <w:r>
        <w:rPr>
          <w:rFonts w:ascii="Times New Roman" w:eastAsia="Times New Roman" w:hAnsi="Times New Roman" w:cs="Times New Roman"/>
          <w:color w:val="000000"/>
          <w:spacing w:val="0"/>
          <w:w w:val="100"/>
          <w:position w:val="0"/>
          <w:sz w:val="24"/>
          <w:szCs w:val="24"/>
        </w:rPr>
        <w:t>38.93</w:t>
      </w:r>
      <w:r>
        <w:rPr>
          <w:color w:val="000000"/>
          <w:spacing w:val="0"/>
          <w:w w:val="100"/>
          <w:position w:val="0"/>
          <w:sz w:val="22"/>
          <w:szCs w:val="22"/>
        </w:rPr>
        <w:t>亿 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，应付票据中应付铁塔公司余额约为人民币</w:t>
      </w:r>
      <w:r>
        <w:rPr>
          <w:rFonts w:ascii="Times New Roman" w:eastAsia="Times New Roman" w:hAnsi="Times New Roman" w:cs="Times New Roman"/>
          <w:color w:val="000000"/>
          <w:spacing w:val="0"/>
          <w:w w:val="100"/>
          <w:position w:val="0"/>
          <w:sz w:val="24"/>
          <w:szCs w:val="24"/>
        </w:rPr>
        <w:t>20.77</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日：约 人民币</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，主要包含应付铁塔可变租金、服务费等相关款项。</w:t>
      </w:r>
    </w:p>
    <w:p>
      <w:pPr>
        <w:pStyle w:val="Style5"/>
        <w:keepNext w:val="0"/>
        <w:keepLines w:val="0"/>
        <w:widowControl w:val="0"/>
        <w:shd w:val="clear" w:color="auto" w:fill="auto"/>
        <w:bidi w:val="0"/>
        <w:spacing w:before="0" w:after="260" w:line="314" w:lineRule="exact"/>
        <w:ind w:left="1440" w:right="0" w:hanging="720"/>
        <w:jc w:val="left"/>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：除上述款项以外，其他应收、应付关联公司余额均为无抵押、即期偿付或于有关合 同条款规定的期限内支付或收取，并在如附注十</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所述的与关联方的正常经营交易 中产生。</w:t>
      </w:r>
      <w:r>
        <w:br w:type="page"/>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u w:val="none"/>
        </w:rPr>
        <w:t>2021</w:t>
      </w:r>
      <w:r>
        <w:rPr>
          <w:rFonts w:ascii="SimSun" w:eastAsia="SimSun" w:hAnsi="SimSun" w:cs="SimSun"/>
          <w:color w:val="000000"/>
          <w:spacing w:val="0"/>
          <w:w w:val="100"/>
          <w:position w:val="0"/>
          <w:sz w:val="22"/>
          <w:szCs w:val="22"/>
          <w:u w:val="none"/>
        </w:rPr>
        <w:t>年</w:t>
      </w:r>
      <w:r>
        <w:rPr>
          <w:color w:val="000000"/>
          <w:spacing w:val="0"/>
          <w:w w:val="100"/>
          <w:position w:val="0"/>
          <w:sz w:val="24"/>
          <w:szCs w:val="24"/>
          <w:u w:val="none"/>
        </w:rPr>
        <w:t>12</w:t>
      </w:r>
      <w:r>
        <w:rPr>
          <w:rFonts w:ascii="SimSun" w:eastAsia="SimSun" w:hAnsi="SimSun" w:cs="SimSun"/>
          <w:color w:val="000000"/>
          <w:spacing w:val="0"/>
          <w:w w:val="100"/>
          <w:position w:val="0"/>
          <w:sz w:val="22"/>
          <w:szCs w:val="22"/>
          <w:u w:val="none"/>
        </w:rPr>
        <w:t>月</w:t>
      </w:r>
      <w:r>
        <w:rPr>
          <w:color w:val="000000"/>
          <w:spacing w:val="0"/>
          <w:w w:val="100"/>
          <w:position w:val="0"/>
          <w:sz w:val="24"/>
          <w:szCs w:val="24"/>
          <w:u w:val="none"/>
        </w:rPr>
        <w:t>31</w:t>
      </w:r>
      <w:r>
        <w:rPr>
          <w:rFonts w:ascii="SimSun" w:eastAsia="SimSun" w:hAnsi="SimSun" w:cs="SimSun"/>
          <w:color w:val="000000"/>
          <w:spacing w:val="0"/>
          <w:w w:val="100"/>
          <w:position w:val="0"/>
          <w:sz w:val="22"/>
          <w:szCs w:val="22"/>
          <w:u w:val="none"/>
        </w:rPr>
        <w:t>日止年度</w:t>
      </w:r>
    </w:p>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widowControl w:val="0"/>
        <w:spacing w:line="1" w:lineRule="exact"/>
        <w:sectPr>
          <w:footnotePr>
            <w:pos w:val="pageBottom"/>
            <w:numFmt w:val="decimal"/>
            <w:numRestart w:val="continuous"/>
          </w:footnotePr>
          <w:type w:val="continuous"/>
          <w:pgSz w:w="11900" w:h="16840"/>
          <w:pgMar w:top="1599" w:right="550" w:bottom="793" w:left="901" w:header="0" w:footer="3" w:gutter="0"/>
          <w:cols w:space="720"/>
          <w:noEndnote/>
          <w:rtlGutter w:val="0"/>
          <w:docGrid w:linePitch="360"/>
        </w:sectPr>
      </w:pPr>
      <w:r>
        <mc:AlternateContent>
          <mc:Choice Requires="wps">
            <w:drawing>
              <wp:anchor distT="279400" distB="377825" distL="0" distR="0" simplePos="0" relativeHeight="125829443" behindDoc="0" locked="0" layoutInCell="1" allowOverlap="1">
                <wp:simplePos x="0" y="0"/>
                <wp:positionH relativeFrom="page">
                  <wp:posOffset>649605</wp:posOffset>
                </wp:positionH>
                <wp:positionV relativeFrom="paragraph">
                  <wp:posOffset>279400</wp:posOffset>
                </wp:positionV>
                <wp:extent cx="450850" cy="189230"/>
                <wp:wrapTopAndBottom/>
                <wp:docPr id="84" name="Shape 84"/>
                <a:graphic xmlns:a="http://schemas.openxmlformats.org/drawingml/2006/main">
                  <a:graphicData uri="http://schemas.microsoft.com/office/word/2010/wordprocessingShape">
                    <wps:wsp>
                      <wps:cNvSpPr txBox="1"/>
                      <wps:spPr>
                        <a:xfrm>
                          <a:ext cx="45085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十一、</w:t>
                            </w:r>
                          </w:p>
                        </w:txbxContent>
                      </wps:txbx>
                      <wps:bodyPr wrap="none" lIns="0" tIns="0" rIns="0" bIns="0">
                        <a:noAutoFit/>
                      </wps:bodyPr>
                    </wps:wsp>
                  </a:graphicData>
                </a:graphic>
              </wp:anchor>
            </w:drawing>
          </mc:Choice>
          <mc:Fallback>
            <w:pict>
              <v:shape id="_x0000_s1110" type="#_x0000_t202" style="position:absolute;margin-left:51.149999999999999pt;margin-top:22.pt;width:35.5pt;height:14.9pt;z-index:-125829310;mso-wrap-distance-left:0;mso-wrap-distance-top:22.pt;mso-wrap-distance-right:0;mso-wrap-distance-bottom:29.7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十一、</w:t>
                      </w:r>
                    </w:p>
                  </w:txbxContent>
                </v:textbox>
                <w10:wrap type="topAndBottom" anchorx="page"/>
              </v:shape>
            </w:pict>
          </mc:Fallback>
        </mc:AlternateContent>
      </w:r>
      <w:r>
        <mc:AlternateContent>
          <mc:Choice Requires="wps">
            <w:drawing>
              <wp:anchor distT="279400" distB="381000" distL="0" distR="0" simplePos="0" relativeHeight="125829445" behindDoc="0" locked="0" layoutInCell="1" allowOverlap="1">
                <wp:simplePos x="0" y="0"/>
                <wp:positionH relativeFrom="page">
                  <wp:posOffset>1103630</wp:posOffset>
                </wp:positionH>
                <wp:positionV relativeFrom="paragraph">
                  <wp:posOffset>279400</wp:posOffset>
                </wp:positionV>
                <wp:extent cx="1090930" cy="186055"/>
                <wp:wrapTopAndBottom/>
                <wp:docPr id="86" name="Shape 86"/>
                <a:graphic xmlns:a="http://schemas.openxmlformats.org/drawingml/2006/main">
                  <a:graphicData uri="http://schemas.microsoft.com/office/word/2010/wordprocessingShape">
                    <wps:wsp>
                      <wps:cNvSpPr txBox="1"/>
                      <wps:spPr>
                        <a:xfrm>
                          <a:ext cx="109093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承诺及或有事项</w:t>
                            </w:r>
                          </w:p>
                        </w:txbxContent>
                      </wps:txbx>
                      <wps:bodyPr wrap="none" lIns="0" tIns="0" rIns="0" bIns="0">
                        <a:noAutoFit/>
                      </wps:bodyPr>
                    </wps:wsp>
                  </a:graphicData>
                </a:graphic>
              </wp:anchor>
            </w:drawing>
          </mc:Choice>
          <mc:Fallback>
            <w:pict>
              <v:shape id="_x0000_s1112" type="#_x0000_t202" style="position:absolute;margin-left:86.900000000000006pt;margin-top:22.pt;width:85.900000000000006pt;height:14.65pt;z-index:-125829308;mso-wrap-distance-left:0;mso-wrap-distance-top:22.pt;mso-wrap-distance-right:0;mso-wrap-distance-bottom:30.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承诺及或有事项</w:t>
                      </w:r>
                    </w:p>
                  </w:txbxContent>
                </v:textbox>
                <w10:wrap type="topAndBottom" anchorx="page"/>
              </v:shape>
            </w:pict>
          </mc:Fallback>
        </mc:AlternateContent>
      </w:r>
      <w:r>
        <mc:AlternateContent>
          <mc:Choice Requires="wps">
            <w:drawing>
              <wp:anchor distT="657225" distB="0" distL="0" distR="0" simplePos="0" relativeHeight="125829447" behindDoc="0" locked="0" layoutInCell="1" allowOverlap="1">
                <wp:simplePos x="0" y="0"/>
                <wp:positionH relativeFrom="page">
                  <wp:posOffset>658495</wp:posOffset>
                </wp:positionH>
                <wp:positionV relativeFrom="paragraph">
                  <wp:posOffset>657225</wp:posOffset>
                </wp:positionV>
                <wp:extent cx="240665" cy="189230"/>
                <wp:wrapTopAndBottom/>
                <wp:docPr id="88" name="Shape 88"/>
                <a:graphic xmlns:a="http://schemas.openxmlformats.org/drawingml/2006/main">
                  <a:graphicData uri="http://schemas.microsoft.com/office/word/2010/wordprocessingShape">
                    <wps:wsp>
                      <wps:cNvSpPr txBox="1"/>
                      <wps:spPr>
                        <a:xfrm>
                          <a:ext cx="240665"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txbxContent>
                      </wps:txbx>
                      <wps:bodyPr wrap="none" lIns="0" tIns="0" rIns="0" bIns="0">
                        <a:noAutoFit/>
                      </wps:bodyPr>
                    </wps:wsp>
                  </a:graphicData>
                </a:graphic>
              </wp:anchor>
            </w:drawing>
          </mc:Choice>
          <mc:Fallback>
            <w:pict>
              <v:shape id="_x0000_s1114" type="#_x0000_t202" style="position:absolute;margin-left:51.850000000000001pt;margin-top:51.75pt;width:18.949999999999999pt;height:14.9pt;z-index:-125829306;mso-wrap-distance-left:0;mso-wrap-distance-top:51.75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txbxContent>
                </v:textbox>
                <w10:wrap type="topAndBottom" anchorx="page"/>
              </v:shape>
            </w:pict>
          </mc:Fallback>
        </mc:AlternateContent>
      </w:r>
      <w:r>
        <mc:AlternateContent>
          <mc:Choice Requires="wps">
            <w:drawing>
              <wp:anchor distT="654050" distB="6350" distL="0" distR="0" simplePos="0" relativeHeight="125829449" behindDoc="0" locked="0" layoutInCell="1" allowOverlap="1">
                <wp:simplePos x="0" y="0"/>
                <wp:positionH relativeFrom="page">
                  <wp:posOffset>1106805</wp:posOffset>
                </wp:positionH>
                <wp:positionV relativeFrom="paragraph">
                  <wp:posOffset>654050</wp:posOffset>
                </wp:positionV>
                <wp:extent cx="935990" cy="186055"/>
                <wp:wrapTopAndBottom/>
                <wp:docPr id="90" name="Shape 90"/>
                <a:graphic xmlns:a="http://schemas.openxmlformats.org/drawingml/2006/main">
                  <a:graphicData uri="http://schemas.microsoft.com/office/word/2010/wordprocessingShape">
                    <wps:wsp>
                      <wps:cNvSpPr txBox="1"/>
                      <wps:spPr>
                        <a:xfrm>
                          <a:ext cx="93599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重要承诺事项</w:t>
                            </w:r>
                          </w:p>
                        </w:txbxContent>
                      </wps:txbx>
                      <wps:bodyPr wrap="none" lIns="0" tIns="0" rIns="0" bIns="0">
                        <a:noAutoFit/>
                      </wps:bodyPr>
                    </wps:wsp>
                  </a:graphicData>
                </a:graphic>
              </wp:anchor>
            </w:drawing>
          </mc:Choice>
          <mc:Fallback>
            <w:pict>
              <v:shape id="_x0000_s1116" type="#_x0000_t202" style="position:absolute;margin-left:87.150000000000006pt;margin-top:51.5pt;width:73.700000000000003pt;height:14.65pt;z-index:-125829304;mso-wrap-distance-left:0;mso-wrap-distance-top:51.5pt;mso-wrap-distance-right:0;mso-wrap-distance-bottom:0.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重要承诺事项</w:t>
                      </w:r>
                    </w:p>
                  </w:txbxContent>
                </v:textbox>
                <w10:wrap type="topAndBottom" anchorx="page"/>
              </v:shape>
            </w:pict>
          </mc:Fallback>
        </mc:AlternateContent>
      </w:r>
    </w:p>
    <w:p>
      <w:pPr>
        <w:widowControl w:val="0"/>
        <w:spacing w:line="146" w:lineRule="exact"/>
        <w:rPr>
          <w:sz w:val="12"/>
          <w:szCs w:val="12"/>
        </w:rPr>
      </w:pPr>
    </w:p>
    <w:p>
      <w:pPr>
        <w:widowControl w:val="0"/>
        <w:spacing w:line="1" w:lineRule="exact"/>
        <w:sectPr>
          <w:footnotePr>
            <w:pos w:val="pageBottom"/>
            <w:numFmt w:val="decimal"/>
            <w:numRestart w:val="continuous"/>
          </w:footnotePr>
          <w:type w:val="continuous"/>
          <w:pgSz w:w="11900" w:h="16840"/>
          <w:pgMar w:top="1599" w:right="0" w:bottom="1580" w:left="0" w:header="0" w:footer="3" w:gutter="0"/>
          <w:cols w:space="720"/>
          <w:noEndnote/>
          <w:rtlGutter w:val="0"/>
          <w:docGrid w:linePitch="360"/>
        </w:sectPr>
      </w:pPr>
    </w:p>
    <w:p>
      <w:pPr>
        <w:pStyle w:val="Style5"/>
        <w:keepNext w:val="0"/>
        <w:keepLines w:val="0"/>
        <w:widowControl w:val="0"/>
        <w:shd w:val="clear" w:color="auto" w:fill="auto"/>
        <w:bidi w:val="0"/>
        <w:spacing w:before="0" w:after="300" w:line="240" w:lineRule="auto"/>
        <w:ind w:left="0" w:right="0" w:firstLine="740"/>
        <w:jc w:val="left"/>
        <w:rPr>
          <w:sz w:val="22"/>
          <w:szCs w:val="22"/>
        </w:rPr>
      </w:pPr>
      <w:r>
        <w:rPr>
          <w:color w:val="000000"/>
          <w:spacing w:val="0"/>
          <w:w w:val="100"/>
          <w:position w:val="0"/>
          <w:sz w:val="22"/>
          <w:szCs w:val="22"/>
        </w:rPr>
        <w:t>资本性支出承诺事项</w:t>
      </w:r>
    </w:p>
    <w:p>
      <w:pPr>
        <w:pStyle w:val="Style5"/>
        <w:keepNext w:val="0"/>
        <w:keepLines w:val="0"/>
        <w:widowControl w:val="0"/>
        <w:shd w:val="clear" w:color="auto" w:fill="auto"/>
        <w:bidi w:val="0"/>
        <w:spacing w:before="0" w:after="0" w:line="302" w:lineRule="exact"/>
        <w:ind w:left="740" w:right="0" w:firstLine="0"/>
        <w:jc w:val="left"/>
        <w:rPr>
          <w:sz w:val="22"/>
          <w:szCs w:val="22"/>
        </w:rPr>
      </w:pPr>
      <w:r>
        <w:rPr>
          <w:color w:val="000000"/>
          <w:spacing w:val="0"/>
          <w:w w:val="100"/>
          <w:position w:val="0"/>
          <w:sz w:val="22"/>
          <w:szCs w:val="22"/>
        </w:rPr>
        <w:t>本集团的资本性支出承诺主要是关于电信网络建设方面的资本支出。以下为本集团于资产 负债表日，已签约而尚不必在资产负债表上列示的资本性支出及其他承诺：</w:t>
      </w:r>
    </w:p>
    <w:p>
      <w:pPr>
        <w:widowControl w:val="0"/>
        <w:spacing w:line="1" w:lineRule="exact"/>
      </w:pPr>
      <w:r>
        <mc:AlternateContent>
          <mc:Choice Requires="wps">
            <w:drawing>
              <wp:anchor distT="114300" distB="0" distL="0" distR="0" simplePos="0" relativeHeight="125829451" behindDoc="0" locked="0" layoutInCell="1" allowOverlap="1">
                <wp:simplePos x="0" y="0"/>
                <wp:positionH relativeFrom="page">
                  <wp:posOffset>5093335</wp:posOffset>
                </wp:positionH>
                <wp:positionV relativeFrom="paragraph">
                  <wp:posOffset>114300</wp:posOffset>
                </wp:positionV>
                <wp:extent cx="719455" cy="387350"/>
                <wp:wrapTopAndBottom/>
                <wp:docPr id="92" name="Shape 92"/>
                <a:graphic xmlns:a="http://schemas.openxmlformats.org/drawingml/2006/main">
                  <a:graphicData uri="http://schemas.microsoft.com/office/word/2010/wordprocessingShape">
                    <wps:wsp>
                      <wps:cNvSpPr txBox="1"/>
                      <wps:spPr>
                        <a:xfrm>
                          <a:ext cx="719455" cy="38735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lIns="0" tIns="0" rIns="0" bIns="0">
                        <a:noAutoFit/>
                      </wps:bodyPr>
                    </wps:wsp>
                  </a:graphicData>
                </a:graphic>
              </wp:anchor>
            </w:drawing>
          </mc:Choice>
          <mc:Fallback>
            <w:pict>
              <v:shape id="_x0000_s1118" type="#_x0000_t202" style="position:absolute;margin-left:401.05000000000001pt;margin-top:9.pt;width:56.649999999999999pt;height:30.5pt;z-index:-125829302;mso-wrap-distance-left:0;mso-wrap-distance-top:9.pt;mso-wrap-distance-right:0;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114300" distB="0" distL="0" distR="0" simplePos="0" relativeHeight="125829453" behindDoc="0" locked="0" layoutInCell="1" allowOverlap="1">
                <wp:simplePos x="0" y="0"/>
                <wp:positionH relativeFrom="page">
                  <wp:posOffset>6209030</wp:posOffset>
                </wp:positionH>
                <wp:positionV relativeFrom="paragraph">
                  <wp:posOffset>114300</wp:posOffset>
                </wp:positionV>
                <wp:extent cx="719455" cy="387350"/>
                <wp:wrapTopAndBottom/>
                <wp:docPr id="94" name="Shape 94"/>
                <a:graphic xmlns:a="http://schemas.openxmlformats.org/drawingml/2006/main">
                  <a:graphicData uri="http://schemas.microsoft.com/office/word/2010/wordprocessingShape">
                    <wps:wsp>
                      <wps:cNvSpPr txBox="1"/>
                      <wps:spPr>
                        <a:xfrm>
                          <a:ext cx="719455" cy="38735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lIns="0" tIns="0" rIns="0" bIns="0">
                        <a:noAutoFit/>
                      </wps:bodyPr>
                    </wps:wsp>
                  </a:graphicData>
                </a:graphic>
              </wp:anchor>
            </w:drawing>
          </mc:Choice>
          <mc:Fallback>
            <w:pict>
              <v:shape id="_x0000_s1120" type="#_x0000_t202" style="position:absolute;margin-left:488.90000000000003pt;margin-top:9.pt;width:56.649999999999999pt;height:30.5pt;z-index:-125829300;mso-wrap-distance-left:0;mso-wrap-distance-top:9.pt;mso-wrap-distance-right:0;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p>
    <w:p>
      <w:pPr>
        <w:widowControl w:val="0"/>
        <w:spacing w:line="1" w:lineRule="exact"/>
      </w:pPr>
      <w:r>
        <mc:AlternateContent>
          <mc:Choice Requires="wps">
            <w:drawing>
              <wp:anchor distT="186690" distB="0" distL="0" distR="0" simplePos="0" relativeHeight="125829455" behindDoc="0" locked="0" layoutInCell="1" allowOverlap="1">
                <wp:simplePos x="0" y="0"/>
                <wp:positionH relativeFrom="page">
                  <wp:posOffset>1118870</wp:posOffset>
                </wp:positionH>
                <wp:positionV relativeFrom="paragraph">
                  <wp:posOffset>186690</wp:posOffset>
                </wp:positionV>
                <wp:extent cx="1697990" cy="186055"/>
                <wp:wrapTopAndBottom/>
                <wp:docPr id="96" name="Shape 96"/>
                <a:graphic xmlns:a="http://schemas.openxmlformats.org/drawingml/2006/main">
                  <a:graphicData uri="http://schemas.microsoft.com/office/word/2010/wordprocessingShape">
                    <wps:wsp>
                      <wps:cNvSpPr txBox="1"/>
                      <wps:spPr>
                        <a:xfrm>
                          <a:ext cx="169799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房屋、建筑物及机器设备</w:t>
                            </w:r>
                          </w:p>
                        </w:txbxContent>
                      </wps:txbx>
                      <wps:bodyPr wrap="none" lIns="0" tIns="0" rIns="0" bIns="0">
                        <a:noAutoFit/>
                      </wps:bodyPr>
                    </wps:wsp>
                  </a:graphicData>
                </a:graphic>
              </wp:anchor>
            </w:drawing>
          </mc:Choice>
          <mc:Fallback>
            <w:pict>
              <v:shape id="_x0000_s1122" type="#_x0000_t202" style="position:absolute;margin-left:88.100000000000009pt;margin-top:14.700000000000001pt;width:133.69999999999999pt;height:14.65pt;z-index:-125829298;mso-wrap-distance-left:0;mso-wrap-distance-top:14.70000000000000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房屋、建筑物及机器设备</w:t>
                      </w:r>
                    </w:p>
                  </w:txbxContent>
                </v:textbox>
                <w10:wrap type="topAndBottom" anchorx="page"/>
              </v:shape>
            </w:pict>
          </mc:Fallback>
        </mc:AlternateContent>
      </w:r>
      <w:r>
        <mc:AlternateContent>
          <mc:Choice Requires="wps">
            <w:drawing>
              <wp:anchor distT="165100" distB="17780" distL="0" distR="0" simplePos="0" relativeHeight="125829457" behindDoc="0" locked="0" layoutInCell="1" allowOverlap="1">
                <wp:simplePos x="0" y="0"/>
                <wp:positionH relativeFrom="page">
                  <wp:posOffset>4971415</wp:posOffset>
                </wp:positionH>
                <wp:positionV relativeFrom="paragraph">
                  <wp:posOffset>165100</wp:posOffset>
                </wp:positionV>
                <wp:extent cx="978535" cy="189230"/>
                <wp:wrapTopAndBottom/>
                <wp:docPr id="98" name="Shape 98"/>
                <a:graphic xmlns:a="http://schemas.openxmlformats.org/drawingml/2006/main">
                  <a:graphicData uri="http://schemas.microsoft.com/office/word/2010/wordprocessingShape">
                    <wps:wsp>
                      <wps:cNvSpPr txBox="1"/>
                      <wps:spPr>
                        <a:xfrm>
                          <a:ext cx="978535" cy="18923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26,112,738,799</w:t>
                            </w:r>
                          </w:p>
                        </w:txbxContent>
                      </wps:txbx>
                      <wps:bodyPr wrap="none" lIns="0" tIns="0" rIns="0" bIns="0">
                        <a:noAutoFit/>
                      </wps:bodyPr>
                    </wps:wsp>
                  </a:graphicData>
                </a:graphic>
              </wp:anchor>
            </w:drawing>
          </mc:Choice>
          <mc:Fallback>
            <w:pict>
              <v:shape id="_x0000_s1124" type="#_x0000_t202" style="position:absolute;margin-left:391.44999999999999pt;margin-top:13.pt;width:77.049999999999997pt;height:14.9pt;z-index:-125829296;mso-wrap-distance-left:0;mso-wrap-distance-top:13.pt;mso-wrap-distance-right:0;mso-wrap-distance-bottom:1.4000000000000001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26,112,738,799</w:t>
                      </w:r>
                    </w:p>
                  </w:txbxContent>
                </v:textbox>
                <w10:wrap type="topAndBottom" anchorx="page"/>
              </v:shape>
            </w:pict>
          </mc:Fallback>
        </mc:AlternateContent>
      </w:r>
      <w:r>
        <mc:AlternateContent>
          <mc:Choice Requires="wps">
            <w:drawing>
              <wp:anchor distT="165100" distB="17780" distL="0" distR="0" simplePos="0" relativeHeight="125829459" behindDoc="0" locked="0" layoutInCell="1" allowOverlap="1">
                <wp:simplePos x="0" y="0"/>
                <wp:positionH relativeFrom="page">
                  <wp:posOffset>6087110</wp:posOffset>
                </wp:positionH>
                <wp:positionV relativeFrom="paragraph">
                  <wp:posOffset>165100</wp:posOffset>
                </wp:positionV>
                <wp:extent cx="981710" cy="189230"/>
                <wp:wrapTopAndBottom/>
                <wp:docPr id="100" name="Shape 100"/>
                <a:graphic xmlns:a="http://schemas.openxmlformats.org/drawingml/2006/main">
                  <a:graphicData uri="http://schemas.microsoft.com/office/word/2010/wordprocessingShape">
                    <wps:wsp>
                      <wps:cNvSpPr txBox="1"/>
                      <wps:spPr>
                        <a:xfrm>
                          <a:ext cx="981710" cy="18923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26,081,707,864</w:t>
                            </w:r>
                          </w:p>
                        </w:txbxContent>
                      </wps:txbx>
                      <wps:bodyPr wrap="none" lIns="0" tIns="0" rIns="0" bIns="0">
                        <a:noAutoFit/>
                      </wps:bodyPr>
                    </wps:wsp>
                  </a:graphicData>
                </a:graphic>
              </wp:anchor>
            </w:drawing>
          </mc:Choice>
          <mc:Fallback>
            <w:pict>
              <v:shape id="_x0000_s1126" type="#_x0000_t202" style="position:absolute;margin-left:479.30000000000001pt;margin-top:13.pt;width:77.299999999999997pt;height:14.9pt;z-index:-125829294;mso-wrap-distance-left:0;mso-wrap-distance-top:13.pt;mso-wrap-distance-right:0;mso-wrap-distance-bottom:1.4000000000000001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26,081,707,864</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599" w:right="695" w:bottom="1580" w:left="982" w:header="0" w:footer="3" w:gutter="0"/>
          <w:cols w:space="720"/>
          <w:noEndnote/>
          <w:rtlGutter w:val="0"/>
          <w:docGrid w:linePitch="360"/>
        </w:sectPr>
      </w:pPr>
      <w:r>
        <mc:AlternateContent>
          <mc:Choice Requires="wps">
            <w:drawing>
              <wp:anchor distT="177800" distB="0" distL="0" distR="0" simplePos="0" relativeHeight="125829461" behindDoc="0" locked="0" layoutInCell="1" allowOverlap="1">
                <wp:simplePos x="0" y="0"/>
                <wp:positionH relativeFrom="page">
                  <wp:posOffset>643255</wp:posOffset>
                </wp:positionH>
                <wp:positionV relativeFrom="paragraph">
                  <wp:posOffset>177800</wp:posOffset>
                </wp:positionV>
                <wp:extent cx="255905" cy="189230"/>
                <wp:wrapTopAndBottom/>
                <wp:docPr id="102" name="Shape 102"/>
                <a:graphic xmlns:a="http://schemas.openxmlformats.org/drawingml/2006/main">
                  <a:graphicData uri="http://schemas.microsoft.com/office/word/2010/wordprocessingShape">
                    <wps:wsp>
                      <wps:cNvSpPr txBox="1"/>
                      <wps:spPr>
                        <a:xfrm>
                          <a:ext cx="255905"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r>
                          </w:p>
                        </w:txbxContent>
                      </wps:txbx>
                      <wps:bodyPr wrap="none" lIns="0" tIns="0" rIns="0" bIns="0">
                        <a:noAutoFit/>
                      </wps:bodyPr>
                    </wps:wsp>
                  </a:graphicData>
                </a:graphic>
              </wp:anchor>
            </w:drawing>
          </mc:Choice>
          <mc:Fallback>
            <w:pict>
              <v:shape id="_x0000_s1128" type="#_x0000_t202" style="position:absolute;margin-left:50.649999999999999pt;margin-top:14.pt;width:20.150000000000002pt;height:14.9pt;z-index:-125829292;mso-wrap-distance-left:0;mso-wrap-distance-top:14.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r>
                    </w:p>
                  </w:txbxContent>
                </v:textbox>
                <w10:wrap type="topAndBottom" anchorx="page"/>
              </v:shape>
            </w:pict>
          </mc:Fallback>
        </mc:AlternateContent>
      </w:r>
      <w:r>
        <mc:AlternateContent>
          <mc:Choice Requires="wps">
            <w:drawing>
              <wp:anchor distT="177800" distB="12700" distL="0" distR="0" simplePos="0" relativeHeight="125829463" behindDoc="0" locked="0" layoutInCell="1" allowOverlap="1">
                <wp:simplePos x="0" y="0"/>
                <wp:positionH relativeFrom="page">
                  <wp:posOffset>1106805</wp:posOffset>
                </wp:positionH>
                <wp:positionV relativeFrom="paragraph">
                  <wp:posOffset>177800</wp:posOffset>
                </wp:positionV>
                <wp:extent cx="631190" cy="176530"/>
                <wp:wrapTopAndBottom/>
                <wp:docPr id="104" name="Shape 104"/>
                <a:graphic xmlns:a="http://schemas.openxmlformats.org/drawingml/2006/main">
                  <a:graphicData uri="http://schemas.microsoft.com/office/word/2010/wordprocessingShape">
                    <wps:wsp>
                      <wps:cNvSpPr txBox="1"/>
                      <wps:spPr>
                        <a:xfrm>
                          <a:ext cx="631190" cy="1765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或有事项</w:t>
                            </w:r>
                          </w:p>
                        </w:txbxContent>
                      </wps:txbx>
                      <wps:bodyPr wrap="none" lIns="0" tIns="0" rIns="0" bIns="0">
                        <a:noAutoFit/>
                      </wps:bodyPr>
                    </wps:wsp>
                  </a:graphicData>
                </a:graphic>
              </wp:anchor>
            </w:drawing>
          </mc:Choice>
          <mc:Fallback>
            <w:pict>
              <v:shape id="_x0000_s1130" type="#_x0000_t202" style="position:absolute;margin-left:87.150000000000006pt;margin-top:14.pt;width:49.700000000000003pt;height:13.9pt;z-index:-125829290;mso-wrap-distance-left:0;mso-wrap-distance-top:14.pt;mso-wrap-distance-right:0;mso-wrap-distance-bottom: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或有事项</w:t>
                      </w:r>
                    </w:p>
                  </w:txbxContent>
                </v:textbox>
                <w10:wrap type="topAndBottom" anchorx="page"/>
              </v:shape>
            </w:pict>
          </mc:Fallback>
        </mc:AlternateContent>
      </w:r>
    </w:p>
    <w:p>
      <w:pPr>
        <w:widowControl w:val="0"/>
        <w:spacing w:line="170" w:lineRule="exact"/>
        <w:rPr>
          <w:sz w:val="14"/>
          <w:szCs w:val="14"/>
        </w:rPr>
      </w:pPr>
    </w:p>
    <w:p>
      <w:pPr>
        <w:widowControl w:val="0"/>
        <w:spacing w:line="1" w:lineRule="exact"/>
        <w:sectPr>
          <w:footnotePr>
            <w:pos w:val="pageBottom"/>
            <w:numFmt w:val="decimal"/>
            <w:numRestart w:val="continuous"/>
          </w:footnotePr>
          <w:type w:val="continuous"/>
          <w:pgSz w:w="11900" w:h="16840"/>
          <w:pgMar w:top="1599" w:right="0" w:bottom="1580"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日，本集团没有重大或有事项。</w:t>
      </w:r>
    </w:p>
    <w:p>
      <w:pPr>
        <w:widowControl w:val="0"/>
        <w:spacing w:line="1" w:lineRule="exact"/>
      </w:pPr>
      <w:r>
        <mc:AlternateContent>
          <mc:Choice Requires="wps">
            <w:drawing>
              <wp:anchor distT="292100" distB="368300" distL="0" distR="0" simplePos="0" relativeHeight="125829465" behindDoc="0" locked="0" layoutInCell="1" allowOverlap="1">
                <wp:simplePos x="0" y="0"/>
                <wp:positionH relativeFrom="page">
                  <wp:posOffset>649605</wp:posOffset>
                </wp:positionH>
                <wp:positionV relativeFrom="paragraph">
                  <wp:posOffset>292100</wp:posOffset>
                </wp:positionV>
                <wp:extent cx="450850" cy="189230"/>
                <wp:wrapTopAndBottom/>
                <wp:docPr id="106" name="Shape 106"/>
                <a:graphic xmlns:a="http://schemas.openxmlformats.org/drawingml/2006/main">
                  <a:graphicData uri="http://schemas.microsoft.com/office/word/2010/wordprocessingShape">
                    <wps:wsp>
                      <wps:cNvSpPr txBox="1"/>
                      <wps:spPr>
                        <a:xfrm>
                          <a:ext cx="45085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十二、</w:t>
                            </w:r>
                          </w:p>
                        </w:txbxContent>
                      </wps:txbx>
                      <wps:bodyPr wrap="none" lIns="0" tIns="0" rIns="0" bIns="0">
                        <a:noAutoFit/>
                      </wps:bodyPr>
                    </wps:wsp>
                  </a:graphicData>
                </a:graphic>
              </wp:anchor>
            </w:drawing>
          </mc:Choice>
          <mc:Fallback>
            <w:pict>
              <v:shape id="_x0000_s1132" type="#_x0000_t202" style="position:absolute;margin-left:51.149999999999999pt;margin-top:23.pt;width:35.5pt;height:14.9pt;z-index:-125829288;mso-wrap-distance-left:0;mso-wrap-distance-top:23.pt;mso-wrap-distance-right:0;mso-wrap-distance-bottom:2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十二、</w:t>
                      </w:r>
                    </w:p>
                  </w:txbxContent>
                </v:textbox>
                <w10:wrap type="topAndBottom" anchorx="page"/>
              </v:shape>
            </w:pict>
          </mc:Fallback>
        </mc:AlternateContent>
      </w:r>
      <w:r>
        <mc:AlternateContent>
          <mc:Choice Requires="wps">
            <w:drawing>
              <wp:anchor distT="292100" distB="368300" distL="0" distR="0" simplePos="0" relativeHeight="125829467" behindDoc="0" locked="0" layoutInCell="1" allowOverlap="1">
                <wp:simplePos x="0" y="0"/>
                <wp:positionH relativeFrom="page">
                  <wp:posOffset>1103630</wp:posOffset>
                </wp:positionH>
                <wp:positionV relativeFrom="paragraph">
                  <wp:posOffset>292100</wp:posOffset>
                </wp:positionV>
                <wp:extent cx="633730" cy="189230"/>
                <wp:wrapTopAndBottom/>
                <wp:docPr id="108" name="Shape 108"/>
                <a:graphic xmlns:a="http://schemas.openxmlformats.org/drawingml/2006/main">
                  <a:graphicData uri="http://schemas.microsoft.com/office/word/2010/wordprocessingShape">
                    <wps:wsp>
                      <wps:cNvSpPr txBox="1"/>
                      <wps:spPr>
                        <a:xfrm>
                          <a:ext cx="63373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股份支付</w:t>
                            </w:r>
                          </w:p>
                        </w:txbxContent>
                      </wps:txbx>
                      <wps:bodyPr wrap="none" lIns="0" tIns="0" rIns="0" bIns="0">
                        <a:noAutoFit/>
                      </wps:bodyPr>
                    </wps:wsp>
                  </a:graphicData>
                </a:graphic>
              </wp:anchor>
            </w:drawing>
          </mc:Choice>
          <mc:Fallback>
            <w:pict>
              <v:shape id="_x0000_s1134" type="#_x0000_t202" style="position:absolute;margin-left:86.900000000000006pt;margin-top:23.pt;width:49.899999999999999pt;height:14.9pt;z-index:-125829286;mso-wrap-distance-left:0;mso-wrap-distance-top:23.pt;mso-wrap-distance-right:0;mso-wrap-distance-bottom:2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股份支付</w:t>
                      </w:r>
                    </w:p>
                  </w:txbxContent>
                </v:textbox>
                <w10:wrap type="topAndBottom" anchorx="page"/>
              </v:shape>
            </w:pict>
          </mc:Fallback>
        </mc:AlternateContent>
      </w:r>
      <w:r>
        <mc:AlternateContent>
          <mc:Choice Requires="wps">
            <w:drawing>
              <wp:anchor distT="661035" distB="0" distL="0" distR="0" simplePos="0" relativeHeight="125829469" behindDoc="0" locked="0" layoutInCell="1" allowOverlap="1">
                <wp:simplePos x="0" y="0"/>
                <wp:positionH relativeFrom="page">
                  <wp:posOffset>658495</wp:posOffset>
                </wp:positionH>
                <wp:positionV relativeFrom="paragraph">
                  <wp:posOffset>661035</wp:posOffset>
                </wp:positionV>
                <wp:extent cx="240665" cy="189230"/>
                <wp:wrapTopAndBottom/>
                <wp:docPr id="110" name="Shape 110"/>
                <a:graphic xmlns:a="http://schemas.openxmlformats.org/drawingml/2006/main">
                  <a:graphicData uri="http://schemas.microsoft.com/office/word/2010/wordprocessingShape">
                    <wps:wsp>
                      <wps:cNvSpPr txBox="1"/>
                      <wps:spPr>
                        <a:xfrm>
                          <a:ext cx="240665"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txbxContent>
                      </wps:txbx>
                      <wps:bodyPr wrap="none" lIns="0" tIns="0" rIns="0" bIns="0">
                        <a:noAutoFit/>
                      </wps:bodyPr>
                    </wps:wsp>
                  </a:graphicData>
                </a:graphic>
              </wp:anchor>
            </w:drawing>
          </mc:Choice>
          <mc:Fallback>
            <w:pict>
              <v:shape id="_x0000_s1136" type="#_x0000_t202" style="position:absolute;margin-left:51.850000000000001pt;margin-top:52.050000000000004pt;width:18.949999999999999pt;height:14.9pt;z-index:-125829284;mso-wrap-distance-left:0;mso-wrap-distance-top:52.050000000000004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txbxContent>
                </v:textbox>
                <w10:wrap type="topAndBottom" anchorx="page"/>
              </v:shape>
            </w:pict>
          </mc:Fallback>
        </mc:AlternateContent>
      </w:r>
      <w:r>
        <mc:AlternateContent>
          <mc:Choice Requires="wps">
            <w:drawing>
              <wp:anchor distT="664210" distB="0" distL="0" distR="0" simplePos="0" relativeHeight="125829471" behindDoc="0" locked="0" layoutInCell="1" allowOverlap="1">
                <wp:simplePos x="0" y="0"/>
                <wp:positionH relativeFrom="page">
                  <wp:posOffset>1103630</wp:posOffset>
                </wp:positionH>
                <wp:positionV relativeFrom="paragraph">
                  <wp:posOffset>664210</wp:posOffset>
                </wp:positionV>
                <wp:extent cx="1243330" cy="186055"/>
                <wp:wrapTopAndBottom/>
                <wp:docPr id="112" name="Shape 112"/>
                <a:graphic xmlns:a="http://schemas.openxmlformats.org/drawingml/2006/main">
                  <a:graphicData uri="http://schemas.microsoft.com/office/word/2010/wordprocessingShape">
                    <wps:wsp>
                      <wps:cNvSpPr txBox="1"/>
                      <wps:spPr>
                        <a:xfrm>
                          <a:ext cx="124333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股份支付总体情况</w:t>
                            </w:r>
                          </w:p>
                        </w:txbxContent>
                      </wps:txbx>
                      <wps:bodyPr wrap="none" lIns="0" tIns="0" rIns="0" bIns="0">
                        <a:noAutoFit/>
                      </wps:bodyPr>
                    </wps:wsp>
                  </a:graphicData>
                </a:graphic>
              </wp:anchor>
            </w:drawing>
          </mc:Choice>
          <mc:Fallback>
            <w:pict>
              <v:shape id="_x0000_s1138" type="#_x0000_t202" style="position:absolute;margin-left:86.900000000000006pt;margin-top:52.300000000000004pt;width:97.900000000000006pt;height:14.65pt;z-index:-125829282;mso-wrap-distance-left:0;mso-wrap-distance-top:52.300000000000004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股份支付总体情况</w:t>
                      </w:r>
                    </w:p>
                  </w:txbxContent>
                </v:textbox>
                <w10:wrap type="topAndBottom" anchorx="page"/>
              </v:shape>
            </w:pict>
          </mc:Fallback>
        </mc:AlternateContent>
      </w:r>
    </w:p>
    <w:p>
      <w:pPr>
        <w:widowControl w:val="0"/>
        <w:spacing w:line="1" w:lineRule="exact"/>
      </w:pPr>
      <w:r>
        <mc:AlternateContent>
          <mc:Choice Requires="wps">
            <w:drawing>
              <wp:anchor distT="177800" distB="0" distL="0" distR="0" simplePos="0" relativeHeight="125829473" behindDoc="0" locked="0" layoutInCell="1" allowOverlap="1">
                <wp:simplePos x="0" y="0"/>
                <wp:positionH relativeFrom="page">
                  <wp:posOffset>5111750</wp:posOffset>
                </wp:positionH>
                <wp:positionV relativeFrom="paragraph">
                  <wp:posOffset>177800</wp:posOffset>
                </wp:positionV>
                <wp:extent cx="667385" cy="189230"/>
                <wp:wrapTopAndBottom/>
                <wp:docPr id="114" name="Shape 114"/>
                <a:graphic xmlns:a="http://schemas.openxmlformats.org/drawingml/2006/main">
                  <a:graphicData uri="http://schemas.microsoft.com/office/word/2010/wordprocessingShape">
                    <wps:wsp>
                      <wps:cNvSpPr txBox="1"/>
                      <wps:spPr>
                        <a:xfrm>
                          <a:ext cx="667385" cy="18923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140" type="#_x0000_t202" style="position:absolute;margin-left:402.5pt;margin-top:14.pt;width:52.550000000000004pt;height:14.9pt;z-index:-125829280;mso-wrap-distance-left:0;mso-wrap-distance-top:14.pt;mso-wrap-distance-right:0;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r>
        <mc:AlternateContent>
          <mc:Choice Requires="wps">
            <w:drawing>
              <wp:anchor distT="177800" distB="0" distL="0" distR="0" simplePos="0" relativeHeight="125829475" behindDoc="0" locked="0" layoutInCell="1" allowOverlap="1">
                <wp:simplePos x="0" y="0"/>
                <wp:positionH relativeFrom="page">
                  <wp:posOffset>6227445</wp:posOffset>
                </wp:positionH>
                <wp:positionV relativeFrom="paragraph">
                  <wp:posOffset>177800</wp:posOffset>
                </wp:positionV>
                <wp:extent cx="667385" cy="189230"/>
                <wp:wrapTopAndBottom/>
                <wp:docPr id="116" name="Shape 116"/>
                <a:graphic xmlns:a="http://schemas.openxmlformats.org/drawingml/2006/main">
                  <a:graphicData uri="http://schemas.microsoft.com/office/word/2010/wordprocessingShape">
                    <wps:wsp>
                      <wps:cNvSpPr txBox="1"/>
                      <wps:spPr>
                        <a:xfrm>
                          <a:ext cx="667385" cy="18923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142" type="#_x0000_t202" style="position:absolute;margin-left:490.35000000000002pt;margin-top:14.pt;width:52.550000000000004pt;height:14.9pt;z-index:-125829278;mso-wrap-distance-left:0;mso-wrap-distance-top:14.pt;mso-wrap-distance-right:0;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p>
    <w:p>
      <w:pPr>
        <w:widowControl w:val="0"/>
        <w:spacing w:line="1" w:lineRule="exact"/>
      </w:pPr>
      <w:r>
        <mc:AlternateContent>
          <mc:Choice Requires="wps">
            <w:drawing>
              <wp:anchor distT="152400" distB="368935" distL="0" distR="0" simplePos="0" relativeHeight="125829477" behindDoc="0" locked="0" layoutInCell="1" allowOverlap="1">
                <wp:simplePos x="0" y="0"/>
                <wp:positionH relativeFrom="page">
                  <wp:posOffset>1115695</wp:posOffset>
                </wp:positionH>
                <wp:positionV relativeFrom="paragraph">
                  <wp:posOffset>152400</wp:posOffset>
                </wp:positionV>
                <wp:extent cx="2005330" cy="606425"/>
                <wp:wrapTopAndBottom/>
                <wp:docPr id="118" name="Shape 118"/>
                <a:graphic xmlns:a="http://schemas.openxmlformats.org/drawingml/2006/main">
                  <a:graphicData uri="http://schemas.microsoft.com/office/word/2010/wordprocessingShape">
                    <wps:wsp>
                      <wps:cNvSpPr txBox="1"/>
                      <wps:spPr>
                        <a:xfrm>
                          <a:ext cx="2005330" cy="606425"/>
                        </a:xfrm>
                        <a:prstGeom prst="rect"/>
                        <a:noFill/>
                      </wps:spPr>
                      <wps:txbx>
                        <w:txbxContent>
                          <w:p>
                            <w:pPr>
                              <w:pStyle w:val="Style5"/>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本年授予的各项权益工具总额 本年解锁的各项权益工具总额 本年失效的各项权益工具总额</w:t>
                            </w:r>
                          </w:p>
                        </w:txbxContent>
                      </wps:txbx>
                      <wps:bodyPr lIns="0" tIns="0" rIns="0" bIns="0">
                        <a:noAutoFit/>
                      </wps:bodyPr>
                    </wps:wsp>
                  </a:graphicData>
                </a:graphic>
              </wp:anchor>
            </w:drawing>
          </mc:Choice>
          <mc:Fallback>
            <w:pict>
              <v:shape id="_x0000_s1144" type="#_x0000_t202" style="position:absolute;margin-left:87.850000000000009pt;margin-top:12.pt;width:157.90000000000001pt;height:47.75pt;z-index:-125829276;mso-wrap-distance-left:0;mso-wrap-distance-top:12.pt;mso-wrap-distance-right:0;mso-wrap-distance-bottom:29.050000000000001pt;mso-position-horizontal-relative:page" filled="f" stroked="f">
                <v:textbox inset="0,0,0,0">
                  <w:txbxContent>
                    <w:p>
                      <w:pPr>
                        <w:pStyle w:val="Style5"/>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本年授予的各项权益工具总额 本年解锁的各项权益工具总额 本年失效的各项权益工具总额</w:t>
                      </w:r>
                    </w:p>
                  </w:txbxContent>
                </v:textbox>
                <w10:wrap type="topAndBottom" anchorx="page"/>
              </v:shape>
            </w:pict>
          </mc:Fallback>
        </mc:AlternateContent>
      </w:r>
      <w:r>
        <mc:AlternateContent>
          <mc:Choice Requires="wps">
            <w:drawing>
              <wp:anchor distT="384175" distB="359410" distL="0" distR="0" simplePos="0" relativeHeight="125829479" behindDoc="0" locked="0" layoutInCell="1" allowOverlap="1">
                <wp:simplePos x="0" y="0"/>
                <wp:positionH relativeFrom="page">
                  <wp:posOffset>5160645</wp:posOffset>
                </wp:positionH>
                <wp:positionV relativeFrom="paragraph">
                  <wp:posOffset>384175</wp:posOffset>
                </wp:positionV>
                <wp:extent cx="792480" cy="384175"/>
                <wp:wrapTopAndBottom/>
                <wp:docPr id="120" name="Shape 120"/>
                <a:graphic xmlns:a="http://schemas.openxmlformats.org/drawingml/2006/main">
                  <a:graphicData uri="http://schemas.microsoft.com/office/word/2010/wordprocessingShape">
                    <wps:wsp>
                      <wps:cNvSpPr txBox="1"/>
                      <wps:spPr>
                        <a:xfrm>
                          <a:ext cx="792480" cy="3841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218,379,125</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24,202,275</w:t>
                            </w:r>
                          </w:p>
                        </w:txbxContent>
                      </wps:txbx>
                      <wps:bodyPr lIns="0" tIns="0" rIns="0" bIns="0">
                        <a:noAutoFit/>
                      </wps:bodyPr>
                    </wps:wsp>
                  </a:graphicData>
                </a:graphic>
              </wp:anchor>
            </w:drawing>
          </mc:Choice>
          <mc:Fallback>
            <w:pict>
              <v:shape id="_x0000_s1146" type="#_x0000_t202" style="position:absolute;margin-left:406.35000000000002pt;margin-top:30.25pt;width:62.399999999999999pt;height:30.25pt;z-index:-125829274;mso-wrap-distance-left:0;mso-wrap-distance-top:30.25pt;mso-wrap-distance-right:0;mso-wrap-distance-bottom:28.300000000000001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218,379,125</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24,202,275</w:t>
                      </w:r>
                    </w:p>
                  </w:txbxContent>
                </v:textbox>
                <w10:wrap type="topAndBottom" anchorx="page"/>
              </v:shape>
            </w:pict>
          </mc:Fallback>
        </mc:AlternateContent>
      </w:r>
      <w:r>
        <mc:AlternateContent>
          <mc:Choice Requires="wps">
            <w:drawing>
              <wp:anchor distT="384175" distB="359410" distL="0" distR="0" simplePos="0" relativeHeight="125829481" behindDoc="0" locked="0" layoutInCell="1" allowOverlap="1">
                <wp:simplePos x="0" y="0"/>
                <wp:positionH relativeFrom="page">
                  <wp:posOffset>6278880</wp:posOffset>
                </wp:positionH>
                <wp:positionV relativeFrom="paragraph">
                  <wp:posOffset>384175</wp:posOffset>
                </wp:positionV>
                <wp:extent cx="789305" cy="384175"/>
                <wp:wrapTopAndBottom/>
                <wp:docPr id="122" name="Shape 122"/>
                <a:graphic xmlns:a="http://schemas.openxmlformats.org/drawingml/2006/main">
                  <a:graphicData uri="http://schemas.microsoft.com/office/word/2010/wordprocessingShape">
                    <wps:wsp>
                      <wps:cNvSpPr txBox="1"/>
                      <wps:spPr>
                        <a:xfrm>
                          <a:ext cx="789305" cy="3841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303,314,400</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18,110,200</w:t>
                            </w:r>
                          </w:p>
                        </w:txbxContent>
                      </wps:txbx>
                      <wps:bodyPr lIns="0" tIns="0" rIns="0" bIns="0">
                        <a:noAutoFit/>
                      </wps:bodyPr>
                    </wps:wsp>
                  </a:graphicData>
                </a:graphic>
              </wp:anchor>
            </w:drawing>
          </mc:Choice>
          <mc:Fallback>
            <w:pict>
              <v:shape id="_x0000_s1148" type="#_x0000_t202" style="position:absolute;margin-left:494.40000000000003pt;margin-top:30.25pt;width:62.149999999999999pt;height:30.25pt;z-index:-125829272;mso-wrap-distance-left:0;mso-wrap-distance-top:30.25pt;mso-wrap-distance-right:0;mso-wrap-distance-bottom:28.300000000000001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303,314,400</w:t>
                      </w:r>
                    </w:p>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none"/>
                        </w:rPr>
                        <w:t>18,110,200</w:t>
                      </w:r>
                    </w:p>
                  </w:txbxContent>
                </v:textbox>
                <w10:wrap type="topAndBottom" anchorx="page"/>
              </v:shape>
            </w:pict>
          </mc:Fallback>
        </mc:AlternateContent>
      </w:r>
      <w:r>
        <mc:AlternateContent>
          <mc:Choice Requires="wps">
            <w:drawing>
              <wp:anchor distT="944880" distB="0" distL="0" distR="0" simplePos="0" relativeHeight="125829483" behindDoc="0" locked="0" layoutInCell="1" allowOverlap="1">
                <wp:simplePos x="0" y="0"/>
                <wp:positionH relativeFrom="page">
                  <wp:posOffset>1103630</wp:posOffset>
                </wp:positionH>
                <wp:positionV relativeFrom="paragraph">
                  <wp:posOffset>944880</wp:posOffset>
                </wp:positionV>
                <wp:extent cx="2157730" cy="182880"/>
                <wp:wrapTopAndBottom/>
                <wp:docPr id="124" name="Shape 124"/>
                <a:graphic xmlns:a="http://schemas.openxmlformats.org/drawingml/2006/main">
                  <a:graphicData uri="http://schemas.microsoft.com/office/word/2010/wordprocessingShape">
                    <wps:wsp>
                      <wps:cNvSpPr txBox="1"/>
                      <wps:spPr>
                        <a:xfrm>
                          <a:ext cx="215773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本年发生的股份支付费用如下:</w:t>
                            </w:r>
                          </w:p>
                        </w:txbxContent>
                      </wps:txbx>
                      <wps:bodyPr wrap="none" lIns="0" tIns="0" rIns="0" bIns="0">
                        <a:noAutoFit/>
                      </wps:bodyPr>
                    </wps:wsp>
                  </a:graphicData>
                </a:graphic>
              </wp:anchor>
            </w:drawing>
          </mc:Choice>
          <mc:Fallback>
            <w:pict>
              <v:shape id="_x0000_s1150" type="#_x0000_t202" style="position:absolute;margin-left:86.900000000000006pt;margin-top:74.400000000000006pt;width:169.90000000000001pt;height:14.4pt;z-index:-125829270;mso-wrap-distance-left:0;mso-wrap-distance-top:74.400000000000006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本年发生的股份支付费用如下:</w:t>
                      </w:r>
                    </w:p>
                  </w:txbxContent>
                </v:textbox>
                <w10:wrap type="topAndBottom" anchorx="page"/>
              </v:shape>
            </w:pict>
          </mc:Fallback>
        </mc:AlternateContent>
      </w:r>
    </w:p>
    <w:p>
      <w:pPr>
        <w:widowControl w:val="0"/>
        <w:spacing w:line="1" w:lineRule="exact"/>
      </w:pPr>
      <w:r>
        <mc:AlternateContent>
          <mc:Choice Requires="wps">
            <w:drawing>
              <wp:anchor distT="190500" distB="0" distL="0" distR="0" simplePos="0" relativeHeight="125829485" behindDoc="0" locked="0" layoutInCell="1" allowOverlap="1">
                <wp:simplePos x="0" y="0"/>
                <wp:positionH relativeFrom="page">
                  <wp:posOffset>1109980</wp:posOffset>
                </wp:positionH>
                <wp:positionV relativeFrom="paragraph">
                  <wp:posOffset>190500</wp:posOffset>
                </wp:positionV>
                <wp:extent cx="344170" cy="191770"/>
                <wp:wrapTopAndBottom/>
                <wp:docPr id="126" name="Shape 126"/>
                <a:graphic xmlns:a="http://schemas.openxmlformats.org/drawingml/2006/main">
                  <a:graphicData uri="http://schemas.microsoft.com/office/word/2010/wordprocessingShape">
                    <wps:wsp>
                      <wps:cNvSpPr txBox="1"/>
                      <wps:spPr>
                        <a:xfrm>
                          <a:ext cx="34417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项目</w:t>
                            </w:r>
                          </w:p>
                        </w:txbxContent>
                      </wps:txbx>
                      <wps:bodyPr wrap="none" lIns="0" tIns="0" rIns="0" bIns="0">
                        <a:noAutoFit/>
                      </wps:bodyPr>
                    </wps:wsp>
                  </a:graphicData>
                </a:graphic>
              </wp:anchor>
            </w:drawing>
          </mc:Choice>
          <mc:Fallback>
            <w:pict>
              <v:shape id="_x0000_s1152" type="#_x0000_t202" style="position:absolute;margin-left:87.400000000000006pt;margin-top:15.pt;width:27.100000000000001pt;height:15.1pt;z-index:-125829268;mso-wrap-distance-left:0;mso-wrap-distance-top:15.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项目</w:t>
                      </w:r>
                    </w:p>
                  </w:txbxContent>
                </v:textbox>
                <w10:wrap type="topAndBottom" anchorx="page"/>
              </v:shape>
            </w:pict>
          </mc:Fallback>
        </mc:AlternateContent>
      </w:r>
      <w:r>
        <mc:AlternateContent>
          <mc:Choice Requires="wps">
            <w:drawing>
              <wp:anchor distT="190500" distB="2540" distL="0" distR="0" simplePos="0" relativeHeight="125829487" behindDoc="0" locked="0" layoutInCell="1" allowOverlap="1">
                <wp:simplePos x="0" y="0"/>
                <wp:positionH relativeFrom="page">
                  <wp:posOffset>5111750</wp:posOffset>
                </wp:positionH>
                <wp:positionV relativeFrom="paragraph">
                  <wp:posOffset>190500</wp:posOffset>
                </wp:positionV>
                <wp:extent cx="667385" cy="189230"/>
                <wp:wrapTopAndBottom/>
                <wp:docPr id="128" name="Shape 128"/>
                <a:graphic xmlns:a="http://schemas.openxmlformats.org/drawingml/2006/main">
                  <a:graphicData uri="http://schemas.microsoft.com/office/word/2010/wordprocessingShape">
                    <wps:wsp>
                      <wps:cNvSpPr txBox="1"/>
                      <wps:spPr>
                        <a:xfrm>
                          <a:ext cx="667385" cy="18923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154" type="#_x0000_t202" style="position:absolute;margin-left:402.5pt;margin-top:15.pt;width:52.550000000000004pt;height:14.9pt;z-index:-125829266;mso-wrap-distance-left:0;mso-wrap-distance-top:15.pt;mso-wrap-distance-right:0;mso-wrap-distance-bottom:0.20000000000000001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r>
        <mc:AlternateContent>
          <mc:Choice Requires="wps">
            <w:drawing>
              <wp:anchor distT="190500" distB="2540" distL="0" distR="0" simplePos="0" relativeHeight="125829489" behindDoc="0" locked="0" layoutInCell="1" allowOverlap="1">
                <wp:simplePos x="0" y="0"/>
                <wp:positionH relativeFrom="page">
                  <wp:posOffset>6227445</wp:posOffset>
                </wp:positionH>
                <wp:positionV relativeFrom="paragraph">
                  <wp:posOffset>190500</wp:posOffset>
                </wp:positionV>
                <wp:extent cx="667385" cy="189230"/>
                <wp:wrapTopAndBottom/>
                <wp:docPr id="130" name="Shape 130"/>
                <a:graphic xmlns:a="http://schemas.openxmlformats.org/drawingml/2006/main">
                  <a:graphicData uri="http://schemas.microsoft.com/office/word/2010/wordprocessingShape">
                    <wps:wsp>
                      <wps:cNvSpPr txBox="1"/>
                      <wps:spPr>
                        <a:xfrm>
                          <a:ext cx="667385" cy="18923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年度</w:t>
                            </w:r>
                          </w:p>
                        </w:txbxContent>
                      </wps:txbx>
                      <wps:bodyPr wrap="none" lIns="0" tIns="0" rIns="0" bIns="0">
                        <a:noAutoFit/>
                      </wps:bodyPr>
                    </wps:wsp>
                  </a:graphicData>
                </a:graphic>
              </wp:anchor>
            </w:drawing>
          </mc:Choice>
          <mc:Fallback>
            <w:pict>
              <v:shape id="_x0000_s1156" type="#_x0000_t202" style="position:absolute;margin-left:490.35000000000002pt;margin-top:15.pt;width:52.550000000000004pt;height:14.9pt;z-index:-125829264;mso-wrap-distance-left:0;mso-wrap-distance-top:15.pt;mso-wrap-distance-right:0;mso-wrap-distance-bottom:0.20000000000000001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年度</w:t>
                      </w:r>
                    </w:p>
                  </w:txbxContent>
                </v:textbox>
                <w10:wrap type="topAndBottom" anchorx="page"/>
              </v:shape>
            </w:pict>
          </mc:Fallback>
        </mc:AlternateContent>
      </w:r>
    </w:p>
    <w:p>
      <w:pPr>
        <w:widowControl w:val="0"/>
        <w:spacing w:line="1" w:lineRule="exact"/>
      </w:pPr>
      <w:r>
        <mc:AlternateContent>
          <mc:Choice Requires="wps">
            <w:drawing>
              <wp:anchor distT="186690" distB="0" distL="0" distR="0" simplePos="0" relativeHeight="125829491" behindDoc="0" locked="0" layoutInCell="1" allowOverlap="1">
                <wp:simplePos x="0" y="0"/>
                <wp:positionH relativeFrom="page">
                  <wp:posOffset>1128395</wp:posOffset>
                </wp:positionH>
                <wp:positionV relativeFrom="paragraph">
                  <wp:posOffset>186690</wp:posOffset>
                </wp:positionV>
                <wp:extent cx="1536065" cy="182880"/>
                <wp:wrapTopAndBottom/>
                <wp:docPr id="132" name="Shape 132"/>
                <a:graphic xmlns:a="http://schemas.openxmlformats.org/drawingml/2006/main">
                  <a:graphicData uri="http://schemas.microsoft.com/office/word/2010/wordprocessingShape">
                    <wps:wsp>
                      <wps:cNvSpPr txBox="1"/>
                      <wps:spPr>
                        <a:xfrm>
                          <a:ext cx="153606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以权益结算的股份支付</w:t>
                            </w:r>
                          </w:p>
                        </w:txbxContent>
                      </wps:txbx>
                      <wps:bodyPr wrap="none" lIns="0" tIns="0" rIns="0" bIns="0">
                        <a:noAutoFit/>
                      </wps:bodyPr>
                    </wps:wsp>
                  </a:graphicData>
                </a:graphic>
              </wp:anchor>
            </w:drawing>
          </mc:Choice>
          <mc:Fallback>
            <w:pict>
              <v:shape id="_x0000_s1158" type="#_x0000_t202" style="position:absolute;margin-left:88.850000000000009pt;margin-top:14.700000000000001pt;width:120.95pt;height:14.4pt;z-index:-125829262;mso-wrap-distance-left:0;mso-wrap-distance-top:14.70000000000000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以权益结算的股份支付</w:t>
                      </w:r>
                    </w:p>
                  </w:txbxContent>
                </v:textbox>
                <w10:wrap type="topAndBottom" anchorx="page"/>
              </v:shape>
            </w:pict>
          </mc:Fallback>
        </mc:AlternateContent>
      </w:r>
      <w:r>
        <mc:AlternateContent>
          <mc:Choice Requires="wps">
            <w:drawing>
              <wp:anchor distT="165100" distB="15240" distL="0" distR="0" simplePos="0" relativeHeight="125829493" behindDoc="0" locked="0" layoutInCell="1" allowOverlap="1">
                <wp:simplePos x="0" y="0"/>
                <wp:positionH relativeFrom="page">
                  <wp:posOffset>5175885</wp:posOffset>
                </wp:positionH>
                <wp:positionV relativeFrom="paragraph">
                  <wp:posOffset>165100</wp:posOffset>
                </wp:positionV>
                <wp:extent cx="774065" cy="189230"/>
                <wp:wrapTopAndBottom/>
                <wp:docPr id="134" name="Shape 134"/>
                <a:graphic xmlns:a="http://schemas.openxmlformats.org/drawingml/2006/main">
                  <a:graphicData uri="http://schemas.microsoft.com/office/word/2010/wordprocessingShape">
                    <wps:wsp>
                      <wps:cNvSpPr txBox="1"/>
                      <wps:spPr>
                        <a:xfrm>
                          <a:ext cx="774065" cy="189230"/>
                        </a:xfrm>
                        <a:prstGeom prst="rect"/>
                        <a:noFill/>
                      </wps:spPr>
                      <wps:txbx>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u w:val="none"/>
                              </w:rPr>
                              <w:t>136,080,000</w:t>
                            </w:r>
                          </w:p>
                        </w:txbxContent>
                      </wps:txbx>
                      <wps:bodyPr wrap="none" lIns="0" tIns="0" rIns="0" bIns="0">
                        <a:noAutoFit/>
                      </wps:bodyPr>
                    </wps:wsp>
                  </a:graphicData>
                </a:graphic>
              </wp:anchor>
            </w:drawing>
          </mc:Choice>
          <mc:Fallback>
            <w:pict>
              <v:shape id="_x0000_s1160" type="#_x0000_t202" style="position:absolute;margin-left:407.55000000000001pt;margin-top:13.pt;width:60.950000000000003pt;height:14.9pt;z-index:-125829260;mso-wrap-distance-left:0;mso-wrap-distance-top:13.pt;mso-wrap-distance-right:0;mso-wrap-distance-bottom:1.2pt;mso-position-horizontal-relative:page" filled="f" stroked="f">
                <v:textbox inset="0,0,0,0">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u w:val="none"/>
                        </w:rPr>
                        <w:t>136,080,000</w:t>
                      </w:r>
                    </w:p>
                  </w:txbxContent>
                </v:textbox>
                <w10:wrap type="topAndBottom" anchorx="page"/>
              </v:shape>
            </w:pict>
          </mc:Fallback>
        </mc:AlternateContent>
      </w:r>
      <w:r>
        <mc:AlternateContent>
          <mc:Choice Requires="wps">
            <w:drawing>
              <wp:anchor distT="165100" distB="15240" distL="0" distR="0" simplePos="0" relativeHeight="125829495" behindDoc="0" locked="0" layoutInCell="1" allowOverlap="1">
                <wp:simplePos x="0" y="0"/>
                <wp:positionH relativeFrom="page">
                  <wp:posOffset>6279515</wp:posOffset>
                </wp:positionH>
                <wp:positionV relativeFrom="paragraph">
                  <wp:posOffset>165100</wp:posOffset>
                </wp:positionV>
                <wp:extent cx="789305" cy="189230"/>
                <wp:wrapTopAndBottom/>
                <wp:docPr id="136" name="Shape 136"/>
                <a:graphic xmlns:a="http://schemas.openxmlformats.org/drawingml/2006/main">
                  <a:graphicData uri="http://schemas.microsoft.com/office/word/2010/wordprocessingShape">
                    <wps:wsp>
                      <wps:cNvSpPr txBox="1"/>
                      <wps:spPr>
                        <a:xfrm>
                          <a:ext cx="789305" cy="189230"/>
                        </a:xfrm>
                        <a:prstGeom prst="rect"/>
                        <a:noFill/>
                      </wps:spPr>
                      <wps:txbx>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u w:val="none"/>
                              </w:rPr>
                              <w:t>374,730,000</w:t>
                            </w:r>
                          </w:p>
                        </w:txbxContent>
                      </wps:txbx>
                      <wps:bodyPr wrap="none" lIns="0" tIns="0" rIns="0" bIns="0">
                        <a:noAutoFit/>
                      </wps:bodyPr>
                    </wps:wsp>
                  </a:graphicData>
                </a:graphic>
              </wp:anchor>
            </w:drawing>
          </mc:Choice>
          <mc:Fallback>
            <w:pict>
              <v:shape id="_x0000_s1162" type="#_x0000_t202" style="position:absolute;margin-left:494.44999999999999pt;margin-top:13.pt;width:62.149999999999999pt;height:14.9pt;z-index:-125829258;mso-wrap-distance-left:0;mso-wrap-distance-top:13.pt;mso-wrap-distance-right:0;mso-wrap-distance-bottom:1.2pt;mso-position-horizontal-relative:page" filled="f" stroked="f">
                <v:textbox inset="0,0,0,0">
                  <w:txbxContent>
                    <w:p>
                      <w:pPr>
                        <w:pStyle w:val="Style89"/>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u w:val="none"/>
                        </w:rPr>
                        <w:t>374,730,000</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599" w:right="695" w:bottom="1580" w:left="982" w:header="0" w:footer="3" w:gutter="0"/>
          <w:cols w:space="720"/>
          <w:noEndnote/>
          <w:rtlGutter w:val="0"/>
          <w:docGrid w:linePitch="360"/>
        </w:sectPr>
      </w:pPr>
      <w:r>
        <mc:AlternateContent>
          <mc:Choice Requires="wps">
            <w:drawing>
              <wp:anchor distT="177800" distB="0" distL="0" distR="0" simplePos="0" relativeHeight="125829497" behindDoc="0" locked="0" layoutInCell="1" allowOverlap="1">
                <wp:simplePos x="0" y="0"/>
                <wp:positionH relativeFrom="page">
                  <wp:posOffset>643255</wp:posOffset>
                </wp:positionH>
                <wp:positionV relativeFrom="paragraph">
                  <wp:posOffset>177800</wp:posOffset>
                </wp:positionV>
                <wp:extent cx="255905" cy="189230"/>
                <wp:wrapTopAndBottom/>
                <wp:docPr id="138" name="Shape 138"/>
                <a:graphic xmlns:a="http://schemas.openxmlformats.org/drawingml/2006/main">
                  <a:graphicData uri="http://schemas.microsoft.com/office/word/2010/wordprocessingShape">
                    <wps:wsp>
                      <wps:cNvSpPr txBox="1"/>
                      <wps:spPr>
                        <a:xfrm>
                          <a:ext cx="255905"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r>
                          </w:p>
                        </w:txbxContent>
                      </wps:txbx>
                      <wps:bodyPr wrap="none" lIns="0" tIns="0" rIns="0" bIns="0">
                        <a:noAutoFit/>
                      </wps:bodyPr>
                    </wps:wsp>
                  </a:graphicData>
                </a:graphic>
              </wp:anchor>
            </w:drawing>
          </mc:Choice>
          <mc:Fallback>
            <w:pict>
              <v:shape id="_x0000_s1164" type="#_x0000_t202" style="position:absolute;margin-left:50.649999999999999pt;margin-top:14.pt;width:20.150000000000002pt;height:14.9pt;z-index:-125829256;mso-wrap-distance-left:0;mso-wrap-distance-top:14.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r>
                    </w:p>
                  </w:txbxContent>
                </v:textbox>
                <w10:wrap type="topAndBottom" anchorx="page"/>
              </v:shape>
            </w:pict>
          </mc:Fallback>
        </mc:AlternateContent>
      </w:r>
      <w:r>
        <mc:AlternateContent>
          <mc:Choice Requires="wps">
            <w:drawing>
              <wp:anchor distT="177800" distB="12700" distL="0" distR="0" simplePos="0" relativeHeight="125829499" behindDoc="0" locked="0" layoutInCell="1" allowOverlap="1">
                <wp:simplePos x="0" y="0"/>
                <wp:positionH relativeFrom="page">
                  <wp:posOffset>1115695</wp:posOffset>
                </wp:positionH>
                <wp:positionV relativeFrom="paragraph">
                  <wp:posOffset>177800</wp:posOffset>
                </wp:positionV>
                <wp:extent cx="1840865" cy="176530"/>
                <wp:wrapTopAndBottom/>
                <wp:docPr id="140" name="Shape 140"/>
                <a:graphic xmlns:a="http://schemas.openxmlformats.org/drawingml/2006/main">
                  <a:graphicData uri="http://schemas.microsoft.com/office/word/2010/wordprocessingShape">
                    <wps:wsp>
                      <wps:cNvSpPr txBox="1"/>
                      <wps:spPr>
                        <a:xfrm>
                          <a:ext cx="1840865" cy="1765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以权益结算的股份支付情况</w:t>
                            </w:r>
                          </w:p>
                        </w:txbxContent>
                      </wps:txbx>
                      <wps:bodyPr wrap="none" lIns="0" tIns="0" rIns="0" bIns="0">
                        <a:noAutoFit/>
                      </wps:bodyPr>
                    </wps:wsp>
                  </a:graphicData>
                </a:graphic>
              </wp:anchor>
            </w:drawing>
          </mc:Choice>
          <mc:Fallback>
            <w:pict>
              <v:shape id="_x0000_s1166" type="#_x0000_t202" style="position:absolute;margin-left:87.850000000000009pt;margin-top:14.pt;width:144.95000000000002pt;height:13.9pt;z-index:-125829254;mso-wrap-distance-left:0;mso-wrap-distance-top:14.pt;mso-wrap-distance-right:0;mso-wrap-distance-bottom: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以权益结算的股份支付情况</w:t>
                      </w:r>
                    </w:p>
                  </w:txbxContent>
                </v:textbox>
                <w10:wrap type="topAndBottom" anchorx="page"/>
              </v:shape>
            </w:pict>
          </mc:Fallback>
        </mc:AlternateContent>
      </w:r>
    </w:p>
    <w:p>
      <w:pPr>
        <w:widowControl w:val="0"/>
        <w:spacing w:line="113" w:lineRule="exact"/>
        <w:rPr>
          <w:sz w:val="9"/>
          <w:szCs w:val="9"/>
        </w:rPr>
      </w:pPr>
    </w:p>
    <w:p>
      <w:pPr>
        <w:widowControl w:val="0"/>
        <w:spacing w:line="1" w:lineRule="exact"/>
        <w:sectPr>
          <w:footnotePr>
            <w:pos w:val="pageBottom"/>
            <w:numFmt w:val="decimal"/>
            <w:numRestart w:val="continuous"/>
          </w:footnotePr>
          <w:type w:val="continuous"/>
          <w:pgSz w:w="11900" w:h="16840"/>
          <w:pgMar w:top="1599" w:right="0" w:bottom="1532" w:left="0" w:header="0" w:footer="3" w:gutter="0"/>
          <w:cols w:space="720"/>
          <w:noEndnote/>
          <w:rtlGutter w:val="0"/>
          <w:docGrid w:linePitch="360"/>
        </w:sectPr>
      </w:pPr>
    </w:p>
    <w:p>
      <w:pPr>
        <w:pStyle w:val="Style5"/>
        <w:keepNext w:val="0"/>
        <w:keepLines w:val="0"/>
        <w:widowControl w:val="0"/>
        <w:shd w:val="clear" w:color="auto" w:fill="auto"/>
        <w:bidi w:val="0"/>
        <w:spacing w:before="0" w:after="0" w:line="315" w:lineRule="exact"/>
        <w:ind w:left="74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日，联通红筹公司采纳了一份新的股份期权计划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二零一四股份期权计 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，向符合资格的联通红筹公司及其子公司的员工授予股份期权。二零一四股份期权计 划自</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日起生效，为期十年，并将于</w:t>
      </w:r>
      <w:r>
        <w:rPr>
          <w:rFonts w:ascii="Times New Roman" w:eastAsia="Times New Roman" w:hAnsi="Times New Roman" w:cs="Times New Roman"/>
          <w:color w:val="000000"/>
          <w:spacing w:val="0"/>
          <w:w w:val="100"/>
          <w:position w:val="0"/>
          <w:sz w:val="24"/>
          <w:szCs w:val="24"/>
        </w:rPr>
        <w:t>2024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日期满。自采纳二零一四 股份期权计划后，并无授出任何股份期权。</w:t>
      </w:r>
    </w:p>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60" w:line="312" w:lineRule="exact"/>
        <w:ind w:left="0" w:right="0" w:firstLine="0"/>
        <w:jc w:val="left"/>
        <w:rPr>
          <w:sz w:val="22"/>
          <w:szCs w:val="22"/>
        </w:rPr>
      </w:pPr>
      <w:r>
        <w:rPr>
          <w:color w:val="000000"/>
          <w:spacing w:val="0"/>
          <w:w w:val="100"/>
          <w:position w:val="0"/>
          <w:sz w:val="22"/>
          <w:szCs w:val="22"/>
        </w:rPr>
        <w:t>十二、股份支付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696" w:val="left"/>
        </w:tabs>
        <w:bidi w:val="0"/>
        <w:spacing w:before="0" w:after="260" w:line="312"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以权益结算的股份支付情况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根据</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日召开的</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年第二次临时股东大会批准及授权，本公司于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日召开第六届董事会第二次会议，审议批准实施限制性股票激励计划。该限制性股票 激励计划授予的限制性股票来源为本公司向激励对象定向发行的</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股普通股股票，首期授 予方案实施分为首次授予及预留授予。其中，首次授予的授予日为</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2"/>
          <w:szCs w:val="22"/>
        </w:rPr>
        <w:t xml:space="preserve">日，于 </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日实施完成，实际授予人数为</w:t>
      </w:r>
      <w:r>
        <w:rPr>
          <w:rFonts w:ascii="Times New Roman" w:eastAsia="Times New Roman" w:hAnsi="Times New Roman" w:cs="Times New Roman"/>
          <w:color w:val="000000"/>
          <w:spacing w:val="0"/>
          <w:w w:val="100"/>
          <w:position w:val="0"/>
          <w:sz w:val="24"/>
          <w:szCs w:val="24"/>
        </w:rPr>
        <w:t>7,752</w:t>
      </w:r>
      <w:r>
        <w:rPr>
          <w:color w:val="000000"/>
          <w:spacing w:val="0"/>
          <w:w w:val="100"/>
          <w:position w:val="0"/>
          <w:sz w:val="22"/>
          <w:szCs w:val="22"/>
        </w:rPr>
        <w:t>人，授予数量为</w:t>
      </w:r>
      <w:r>
        <w:rPr>
          <w:rFonts w:ascii="Times New Roman" w:eastAsia="Times New Roman" w:hAnsi="Times New Roman" w:cs="Times New Roman"/>
          <w:color w:val="000000"/>
          <w:spacing w:val="0"/>
          <w:w w:val="100"/>
          <w:position w:val="0"/>
          <w:sz w:val="24"/>
          <w:szCs w:val="24"/>
        </w:rPr>
        <w:t>793,861,000</w:t>
      </w:r>
      <w:r>
        <w:rPr>
          <w:color w:val="000000"/>
          <w:spacing w:val="0"/>
          <w:w w:val="100"/>
          <w:position w:val="0"/>
          <w:sz w:val="22"/>
          <w:szCs w:val="22"/>
        </w:rPr>
        <w:t>股；预留授 予的授予日为</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日实施完成，实际授予人数为</w:t>
      </w:r>
      <w:r>
        <w:rPr>
          <w:rFonts w:ascii="Times New Roman" w:eastAsia="Times New Roman" w:hAnsi="Times New Roman" w:cs="Times New Roman"/>
          <w:color w:val="000000"/>
          <w:spacing w:val="0"/>
          <w:w w:val="100"/>
          <w:position w:val="0"/>
          <w:sz w:val="24"/>
          <w:szCs w:val="24"/>
        </w:rPr>
        <w:t>193</w:t>
      </w:r>
      <w:r>
        <w:rPr>
          <w:color w:val="000000"/>
          <w:spacing w:val="0"/>
          <w:w w:val="100"/>
          <w:position w:val="0"/>
          <w:sz w:val="22"/>
          <w:szCs w:val="22"/>
        </w:rPr>
        <w:t>人，授 予数量为</w:t>
      </w:r>
      <w:r>
        <w:rPr>
          <w:rFonts w:ascii="Times New Roman" w:eastAsia="Times New Roman" w:hAnsi="Times New Roman" w:cs="Times New Roman"/>
          <w:color w:val="000000"/>
          <w:spacing w:val="0"/>
          <w:w w:val="100"/>
          <w:position w:val="0"/>
          <w:sz w:val="24"/>
          <w:szCs w:val="24"/>
        </w:rPr>
        <w:t>13,156,000</w:t>
      </w:r>
      <w:r>
        <w:rPr>
          <w:color w:val="000000"/>
          <w:spacing w:val="0"/>
          <w:w w:val="100"/>
          <w:position w:val="0"/>
          <w:sz w:val="22"/>
          <w:szCs w:val="22"/>
        </w:rPr>
        <w:t>股。激励对象的认购价格均为人民币</w:t>
      </w:r>
      <w:r>
        <w:rPr>
          <w:rFonts w:ascii="Times New Roman" w:eastAsia="Times New Roman" w:hAnsi="Times New Roman" w:cs="Times New Roman"/>
          <w:color w:val="000000"/>
          <w:spacing w:val="0"/>
          <w:w w:val="100"/>
          <w:position w:val="0"/>
          <w:sz w:val="24"/>
          <w:szCs w:val="24"/>
        </w:rPr>
        <w:t>3.79</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w:t>
      </w:r>
    </w:p>
    <w:p>
      <w:pPr>
        <w:pStyle w:val="Style5"/>
        <w:keepNext w:val="0"/>
        <w:keepLines w:val="0"/>
        <w:widowControl w:val="0"/>
        <w:shd w:val="clear" w:color="auto" w:fill="auto"/>
        <w:bidi w:val="0"/>
        <w:spacing w:before="0" w:after="260" w:line="311" w:lineRule="exact"/>
        <w:ind w:left="740" w:right="0" w:firstLine="0"/>
        <w:jc w:val="both"/>
        <w:rPr>
          <w:sz w:val="22"/>
          <w:szCs w:val="22"/>
        </w:rPr>
      </w:pPr>
      <w:r>
        <w:rPr>
          <w:color w:val="000000"/>
          <w:spacing w:val="0"/>
          <w:w w:val="100"/>
          <w:position w:val="0"/>
          <w:sz w:val="22"/>
          <w:szCs w:val="22"/>
        </w:rPr>
        <w:t>根据限制性股票激励计划首期授予方案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草案修订稿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的规定，限制性股票自登记完成之日 起</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2"/>
          <w:szCs w:val="22"/>
        </w:rPr>
        <w:t>个月内为限售期。在限售期内，限制性股票予以限售，不得转让、不得用于担保或偿 还债务；自登记完成之日起满</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2"/>
          <w:szCs w:val="22"/>
        </w:rPr>
        <w:t>个月后分三期解锁，每期解锁的比例分别为</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 xml:space="preserve">和 </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，对应的解锁日自授予日起约为</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年和</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年。实际可解锁数量应与上一年度绩效 评价结果挂钩。</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上述限制性股票在本公司业绩满足相应条件时，依据激励对象所在单位的经营业绩和激励 对象价值贡献确定解锁当年业绩贡献匹配档次，据此差异化确定当期解锁比例。其中，公 司业绩条件包括主营业务收入、利润总额等。若达到当期限制性股票的解锁条件，激励对 象可以对其当期通过本计划解锁的限制性股票依法转让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激励对象是董事和高级管理人员的， 转让股份还应符合《公司法》相关规定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；若未达到本计划规定的限制性股票解锁条件，激 励对象当期不得解锁限制性股票，由公司按照激励对象的授予价格进行相应调整后的价格 进行回购。</w:t>
      </w:r>
    </w:p>
    <w:p>
      <w:pPr>
        <w:pStyle w:val="Style5"/>
        <w:keepNext w:val="0"/>
        <w:keepLines w:val="0"/>
        <w:widowControl w:val="0"/>
        <w:shd w:val="clear" w:color="auto" w:fill="auto"/>
        <w:bidi w:val="0"/>
        <w:spacing w:before="0" w:after="260" w:line="310" w:lineRule="exact"/>
        <w:ind w:left="740" w:right="0" w:firstLine="0"/>
        <w:jc w:val="both"/>
        <w:rPr>
          <w:sz w:val="22"/>
          <w:szCs w:val="22"/>
        </w:rPr>
      </w:pPr>
      <w:r>
        <w:rPr>
          <w:color w:val="000000"/>
          <w:spacing w:val="0"/>
          <w:w w:val="100"/>
          <w:position w:val="0"/>
          <w:sz w:val="22"/>
          <w:szCs w:val="22"/>
        </w:rPr>
        <w:t>根据首期授予方案的约定，自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月起，首次授予限制性股票进入第一个解锁期。本 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2"/>
          <w:szCs w:val="22"/>
        </w:rPr>
        <w:t>日召开第六届董事会第十七次会议，本公司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年度经营业绩已达 到首期授予方案规定的第一个解锁期公司业绩条件，结合激励对象个人业绩等其他解除限 售条件，审议批准符合解锁条件的限制性股票共</w:t>
      </w:r>
      <w:r>
        <w:rPr>
          <w:rFonts w:ascii="Times New Roman" w:eastAsia="Times New Roman" w:hAnsi="Times New Roman" w:cs="Times New Roman"/>
          <w:color w:val="000000"/>
          <w:spacing w:val="0"/>
          <w:w w:val="100"/>
          <w:position w:val="0"/>
          <w:sz w:val="24"/>
          <w:szCs w:val="24"/>
        </w:rPr>
        <w:t>30,331.44</w:t>
      </w:r>
      <w:r>
        <w:rPr>
          <w:color w:val="000000"/>
          <w:spacing w:val="0"/>
          <w:w w:val="100"/>
          <w:position w:val="0"/>
          <w:sz w:val="22"/>
          <w:szCs w:val="22"/>
        </w:rPr>
        <w:t>万股，涉及激励对象共</w:t>
      </w:r>
      <w:r>
        <w:rPr>
          <w:rFonts w:ascii="Times New Roman" w:eastAsia="Times New Roman" w:hAnsi="Times New Roman" w:cs="Times New Roman"/>
          <w:color w:val="000000"/>
          <w:spacing w:val="0"/>
          <w:w w:val="100"/>
          <w:position w:val="0"/>
          <w:sz w:val="24"/>
          <w:szCs w:val="24"/>
        </w:rPr>
        <w:t>7,486</w:t>
      </w:r>
      <w:r>
        <w:rPr>
          <w:color w:val="000000"/>
          <w:spacing w:val="0"/>
          <w:w w:val="100"/>
          <w:position w:val="0"/>
          <w:sz w:val="22"/>
          <w:szCs w:val="22"/>
        </w:rPr>
        <w:t>名。 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日起，首次授予限制性股票进入第二个解锁期；自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日起，预 留授予限制性股票进入第一个解锁期。本公司于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日召开第六届董事会第二 十四次会议，本公司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年度和</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年度业绩情况达到授予方案设定的公司业绩条件， 结合激励对象个人业绩条件等其他解锁条件，审议批准符合解锁条件的首次和预留授予激 励对象共</w:t>
      </w:r>
      <w:r>
        <w:rPr>
          <w:rFonts w:ascii="Times New Roman" w:eastAsia="Times New Roman" w:hAnsi="Times New Roman" w:cs="Times New Roman"/>
          <w:color w:val="000000"/>
          <w:spacing w:val="0"/>
          <w:w w:val="100"/>
          <w:position w:val="0"/>
          <w:sz w:val="24"/>
          <w:szCs w:val="24"/>
        </w:rPr>
        <w:t>7,511</w:t>
      </w:r>
      <w:r>
        <w:rPr>
          <w:color w:val="000000"/>
          <w:spacing w:val="0"/>
          <w:w w:val="100"/>
          <w:position w:val="0"/>
          <w:sz w:val="22"/>
          <w:szCs w:val="22"/>
        </w:rPr>
        <w:t>名，解锁限制性股票共</w:t>
      </w:r>
      <w:r>
        <w:rPr>
          <w:rFonts w:ascii="Times New Roman" w:eastAsia="Times New Roman" w:hAnsi="Times New Roman" w:cs="Times New Roman"/>
          <w:color w:val="000000"/>
          <w:spacing w:val="0"/>
          <w:w w:val="100"/>
          <w:position w:val="0"/>
          <w:sz w:val="24"/>
          <w:szCs w:val="24"/>
        </w:rPr>
        <w:t>21,837.91</w:t>
      </w:r>
      <w:r>
        <w:rPr>
          <w:color w:val="000000"/>
          <w:spacing w:val="0"/>
          <w:w w:val="100"/>
          <w:position w:val="0"/>
          <w:sz w:val="22"/>
          <w:szCs w:val="22"/>
        </w:rPr>
        <w:t>万股。</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该限制性股票激励计划所涉及的激励对象为本公司子公司联通运营公司及国际公司员工， 本公司为结算企业，联通运营公司及国际公司为接受服务企业。因此，本公司按照授予日 权益工具的公允价值确认为对联通运营公司及国际公司的长期股权投资，同时确认资本公 积。</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60" w:line="311" w:lineRule="exact"/>
        <w:ind w:left="0" w:right="0" w:firstLine="0"/>
        <w:jc w:val="both"/>
        <w:rPr>
          <w:sz w:val="22"/>
          <w:szCs w:val="22"/>
        </w:rPr>
      </w:pPr>
      <w:r>
        <w:rPr>
          <w:color w:val="000000"/>
          <w:spacing w:val="0"/>
          <w:w w:val="100"/>
          <w:position w:val="0"/>
          <w:sz w:val="22"/>
          <w:szCs w:val="22"/>
        </w:rPr>
        <w:t>十二、股份支付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22" w:val="left"/>
        </w:tabs>
        <w:bidi w:val="0"/>
        <w:spacing w:before="0" w:after="260" w:line="311" w:lineRule="exact"/>
        <w:ind w:left="0" w:right="0" w:firstLine="0"/>
        <w:jc w:val="both"/>
        <w:rPr>
          <w:sz w:val="22"/>
          <w:szCs w:val="22"/>
        </w:rPr>
      </w:pPr>
      <w:bookmarkStart w:id="1615" w:name="bookmark1615"/>
      <w:r>
        <w:rPr>
          <w:rFonts w:ascii="Times New Roman" w:eastAsia="Times New Roman" w:hAnsi="Times New Roman" w:cs="Times New Roman"/>
          <w:color w:val="000000"/>
          <w:spacing w:val="0"/>
          <w:w w:val="100"/>
          <w:position w:val="0"/>
          <w:sz w:val="24"/>
          <w:szCs w:val="24"/>
        </w:rPr>
        <w:t>2</w:t>
      </w:r>
      <w:bookmarkEnd w:id="1615"/>
      <w:r>
        <w:rPr>
          <w:color w:val="000000"/>
          <w:spacing w:val="0"/>
          <w:w w:val="100"/>
          <w:position w:val="0"/>
          <w:sz w:val="22"/>
          <w:szCs w:val="22"/>
        </w:rPr>
        <w:t>、</w:t>
        <w:tab/>
        <w:t>以权益结算的股份支付情况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07" w:lineRule="exact"/>
        <w:ind w:left="740" w:right="0" w:firstLine="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 xml:space="preserve">日，资本公积中确认以权益结算的股份支付的累计金额为人民币 </w:t>
      </w:r>
      <w:r>
        <w:rPr>
          <w:rFonts w:ascii="Times New Roman" w:eastAsia="Times New Roman" w:hAnsi="Times New Roman" w:cs="Times New Roman"/>
          <w:color w:val="000000"/>
          <w:spacing w:val="0"/>
          <w:w w:val="100"/>
          <w:position w:val="0"/>
          <w:sz w:val="24"/>
          <w:szCs w:val="24"/>
        </w:rPr>
        <w:t>1,695,400,000</w:t>
      </w:r>
      <w:r>
        <w:rPr>
          <w:color w:val="000000"/>
          <w:spacing w:val="0"/>
          <w:w w:val="100"/>
          <w:position w:val="0"/>
          <w:sz w:val="22"/>
          <w:szCs w:val="22"/>
        </w:rPr>
        <w:t>元。本年以权益结算的股份支付确认的费用总额为人民币</w:t>
      </w:r>
      <w:r>
        <w:rPr>
          <w:rFonts w:ascii="Times New Roman" w:eastAsia="Times New Roman" w:hAnsi="Times New Roman" w:cs="Times New Roman"/>
          <w:color w:val="000000"/>
          <w:spacing w:val="0"/>
          <w:w w:val="100"/>
          <w:position w:val="0"/>
          <w:sz w:val="24"/>
          <w:szCs w:val="24"/>
        </w:rPr>
        <w:t>136,080,000</w:t>
      </w:r>
      <w:r>
        <w:rPr>
          <w:color w:val="000000"/>
          <w:spacing w:val="0"/>
          <w:w w:val="100"/>
          <w:position w:val="0"/>
          <w:sz w:val="22"/>
          <w:szCs w:val="22"/>
        </w:rPr>
        <w:t>元。</w:t>
      </w:r>
    </w:p>
    <w:p>
      <w:pPr>
        <w:pStyle w:val="Style5"/>
        <w:keepNext w:val="0"/>
        <w:keepLines w:val="0"/>
        <w:widowControl w:val="0"/>
        <w:shd w:val="clear" w:color="auto" w:fill="auto"/>
        <w:tabs>
          <w:tab w:pos="1190" w:val="left"/>
        </w:tabs>
        <w:bidi w:val="0"/>
        <w:spacing w:before="0" w:after="260" w:line="311" w:lineRule="exact"/>
        <w:ind w:left="740" w:right="0" w:firstLine="0"/>
        <w:jc w:val="both"/>
        <w:rPr>
          <w:sz w:val="22"/>
          <w:szCs w:val="22"/>
        </w:rPr>
      </w:pPr>
      <w:bookmarkStart w:id="1616" w:name="bookmark1616"/>
      <w:r>
        <w:rPr>
          <w:rFonts w:ascii="Times New Roman" w:eastAsia="Times New Roman" w:hAnsi="Times New Roman" w:cs="Times New Roman"/>
          <w:color w:val="000000"/>
          <w:spacing w:val="0"/>
          <w:w w:val="100"/>
          <w:position w:val="0"/>
          <w:sz w:val="24"/>
          <w:szCs w:val="24"/>
        </w:rPr>
        <w:t>（</w:t>
      </w:r>
      <w:bookmarkEnd w:id="1616"/>
      <w:r>
        <w:rPr>
          <w:rFonts w:ascii="Times New Roman" w:eastAsia="Times New Roman" w:hAnsi="Times New Roman" w:cs="Times New Roman"/>
          <w:color w:val="000000"/>
          <w:spacing w:val="0"/>
          <w:w w:val="100"/>
          <w:position w:val="0"/>
          <w:sz w:val="24"/>
          <w:szCs w:val="24"/>
        </w:rPr>
        <w:t>a）</w:t>
        <w:tab/>
      </w:r>
      <w:r>
        <w:rPr>
          <w:color w:val="000000"/>
          <w:spacing w:val="0"/>
          <w:w w:val="100"/>
          <w:position w:val="0"/>
          <w:sz w:val="22"/>
          <w:szCs w:val="22"/>
        </w:rPr>
        <w:t>授予日权益工具公允价值的确定方法如下：</w:t>
      </w:r>
    </w:p>
    <w:p>
      <w:pPr>
        <w:pStyle w:val="Style5"/>
        <w:keepNext w:val="0"/>
        <w:keepLines w:val="0"/>
        <w:widowControl w:val="0"/>
        <w:shd w:val="clear" w:color="auto" w:fill="auto"/>
        <w:bidi w:val="0"/>
        <w:spacing w:before="0" w:after="260" w:line="293" w:lineRule="exact"/>
        <w:ind w:left="740" w:right="0" w:firstLine="0"/>
        <w:jc w:val="both"/>
        <w:rPr>
          <w:sz w:val="22"/>
          <w:szCs w:val="22"/>
        </w:rPr>
      </w:pPr>
      <w:r>
        <w:rPr>
          <w:color w:val="000000"/>
          <w:spacing w:val="0"/>
          <w:w w:val="100"/>
          <w:position w:val="0"/>
          <w:sz w:val="22"/>
          <w:szCs w:val="22"/>
        </w:rPr>
        <w:t>本集团分别根据首次授予日和预留授予日股票公允价值与认购价格的差额人民币</w:t>
      </w:r>
      <w:r>
        <w:rPr>
          <w:rFonts w:ascii="Times New Roman" w:eastAsia="Times New Roman" w:hAnsi="Times New Roman" w:cs="Times New Roman"/>
          <w:color w:val="000000"/>
          <w:spacing w:val="0"/>
          <w:w w:val="100"/>
          <w:position w:val="0"/>
          <w:sz w:val="24"/>
          <w:szCs w:val="24"/>
        </w:rPr>
        <w:t>2.34</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 和人民币</w:t>
      </w:r>
      <w:r>
        <w:rPr>
          <w:rFonts w:ascii="Times New Roman" w:eastAsia="Times New Roman" w:hAnsi="Times New Roman" w:cs="Times New Roman"/>
          <w:color w:val="000000"/>
          <w:spacing w:val="0"/>
          <w:w w:val="100"/>
          <w:position w:val="0"/>
          <w:sz w:val="24"/>
          <w:szCs w:val="24"/>
        </w:rPr>
        <w:t>1.57</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股确定授予日权益工具公允价值。</w:t>
      </w:r>
    </w:p>
    <w:p>
      <w:pPr>
        <w:pStyle w:val="Style5"/>
        <w:keepNext w:val="0"/>
        <w:keepLines w:val="0"/>
        <w:widowControl w:val="0"/>
        <w:shd w:val="clear" w:color="auto" w:fill="auto"/>
        <w:tabs>
          <w:tab w:pos="1199" w:val="left"/>
        </w:tabs>
        <w:bidi w:val="0"/>
        <w:spacing w:before="0" w:after="260" w:line="311" w:lineRule="exact"/>
        <w:ind w:left="740" w:right="0" w:firstLine="0"/>
        <w:jc w:val="both"/>
        <w:rPr>
          <w:sz w:val="22"/>
          <w:szCs w:val="22"/>
        </w:rPr>
      </w:pPr>
      <w:bookmarkStart w:id="1617" w:name="bookmark1617"/>
      <w:r>
        <w:rPr>
          <w:rFonts w:ascii="Times New Roman" w:eastAsia="Times New Roman" w:hAnsi="Times New Roman" w:cs="Times New Roman"/>
          <w:color w:val="000000"/>
          <w:spacing w:val="0"/>
          <w:w w:val="100"/>
          <w:position w:val="0"/>
          <w:sz w:val="24"/>
          <w:szCs w:val="24"/>
        </w:rPr>
        <w:t>（</w:t>
      </w:r>
      <w:bookmarkEnd w:id="1617"/>
      <w:r>
        <w:rPr>
          <w:rFonts w:ascii="Times New Roman" w:eastAsia="Times New Roman" w:hAnsi="Times New Roman" w:cs="Times New Roman"/>
          <w:color w:val="000000"/>
          <w:spacing w:val="0"/>
          <w:w w:val="100"/>
          <w:position w:val="0"/>
          <w:sz w:val="24"/>
          <w:szCs w:val="24"/>
        </w:rPr>
        <w:t>b）</w:t>
        <w:tab/>
      </w:r>
      <w:r>
        <w:rPr>
          <w:color w:val="000000"/>
          <w:spacing w:val="0"/>
          <w:w w:val="100"/>
          <w:position w:val="0"/>
          <w:sz w:val="22"/>
          <w:szCs w:val="22"/>
        </w:rPr>
        <w:t>对可行权权益工具数量的确定依据：</w:t>
      </w:r>
    </w:p>
    <w:p>
      <w:pPr>
        <w:pStyle w:val="Style5"/>
        <w:keepNext w:val="0"/>
        <w:keepLines w:val="0"/>
        <w:widowControl w:val="0"/>
        <w:shd w:val="clear" w:color="auto" w:fill="auto"/>
        <w:bidi w:val="0"/>
        <w:spacing w:before="0" w:after="260" w:line="314" w:lineRule="exact"/>
        <w:ind w:left="740" w:right="0" w:firstLine="0"/>
        <w:jc w:val="both"/>
        <w:rPr>
          <w:sz w:val="22"/>
          <w:szCs w:val="22"/>
        </w:rPr>
      </w:pPr>
      <w:r>
        <w:rPr>
          <w:color w:val="000000"/>
          <w:spacing w:val="0"/>
          <w:w w:val="100"/>
          <w:position w:val="0"/>
          <w:sz w:val="22"/>
          <w:szCs w:val="22"/>
        </w:rPr>
        <w:t>本集团在等待期内每个资产负债表日，根据最新取得的可行权职工人数变动、业绩指标完 成情况等后续信息做出最佳估计，修正预计可行权的权益工具数量。在可行权日，最终预 计可行权权益工具的数量与实际可行权权益工具的数量一致。</w:t>
      </w:r>
    </w:p>
    <w:p>
      <w:pPr>
        <w:pStyle w:val="Style5"/>
        <w:keepNext w:val="0"/>
        <w:keepLines w:val="0"/>
        <w:widowControl w:val="0"/>
        <w:shd w:val="clear" w:color="auto" w:fill="auto"/>
        <w:tabs>
          <w:tab w:pos="722" w:val="left"/>
        </w:tabs>
        <w:bidi w:val="0"/>
        <w:spacing w:before="0" w:after="260" w:line="311" w:lineRule="exact"/>
        <w:ind w:left="0" w:right="0" w:firstLine="0"/>
        <w:jc w:val="both"/>
        <w:rPr>
          <w:sz w:val="22"/>
          <w:szCs w:val="22"/>
        </w:rPr>
      </w:pPr>
      <w:bookmarkStart w:id="1618" w:name="bookmark1618"/>
      <w:r>
        <w:rPr>
          <w:rFonts w:ascii="Times New Roman" w:eastAsia="Times New Roman" w:hAnsi="Times New Roman" w:cs="Times New Roman"/>
          <w:color w:val="000000"/>
          <w:spacing w:val="0"/>
          <w:w w:val="100"/>
          <w:position w:val="0"/>
          <w:sz w:val="24"/>
          <w:szCs w:val="24"/>
        </w:rPr>
        <w:t>3</w:t>
      </w:r>
      <w:bookmarkEnd w:id="1618"/>
      <w:r>
        <w:rPr>
          <w:color w:val="000000"/>
          <w:spacing w:val="0"/>
          <w:w w:val="100"/>
          <w:position w:val="0"/>
          <w:sz w:val="22"/>
          <w:szCs w:val="22"/>
        </w:rPr>
        <w:t>、</w:t>
        <w:tab/>
        <w:t>以股份支付换取服务</w:t>
      </w:r>
    </w:p>
    <w:p>
      <w:pPr>
        <w:pStyle w:val="Style5"/>
        <w:keepNext w:val="0"/>
        <w:keepLines w:val="0"/>
        <w:widowControl w:val="0"/>
        <w:shd w:val="clear" w:color="auto" w:fill="auto"/>
        <w:bidi w:val="0"/>
        <w:spacing w:before="0" w:after="540" w:line="311" w:lineRule="exact"/>
        <w:ind w:left="0" w:right="0" w:firstLine="74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年度，本集团以股份支付换取的职工服务总额为人民币</w:t>
      </w:r>
      <w:r>
        <w:rPr>
          <w:rFonts w:ascii="Times New Roman" w:eastAsia="Times New Roman" w:hAnsi="Times New Roman" w:cs="Times New Roman"/>
          <w:color w:val="000000"/>
          <w:spacing w:val="0"/>
          <w:w w:val="100"/>
          <w:position w:val="0"/>
          <w:sz w:val="24"/>
          <w:szCs w:val="24"/>
        </w:rPr>
        <w:t>136,080,000</w:t>
      </w:r>
      <w:r>
        <w:rPr>
          <w:color w:val="000000"/>
          <w:spacing w:val="0"/>
          <w:w w:val="100"/>
          <w:position w:val="0"/>
          <w:sz w:val="22"/>
          <w:szCs w:val="22"/>
        </w:rPr>
        <w:t>元。</w:t>
      </w:r>
    </w:p>
    <w:p>
      <w:pPr>
        <w:pStyle w:val="Style5"/>
        <w:keepNext w:val="0"/>
        <w:keepLines w:val="0"/>
        <w:widowControl w:val="0"/>
        <w:shd w:val="clear" w:color="auto" w:fill="auto"/>
        <w:bidi w:val="0"/>
        <w:spacing w:before="0" w:after="260" w:line="317" w:lineRule="exact"/>
        <w:ind w:left="0" w:right="0" w:firstLine="0"/>
        <w:jc w:val="both"/>
        <w:rPr>
          <w:sz w:val="22"/>
          <w:szCs w:val="22"/>
        </w:rPr>
      </w:pPr>
      <w:r>
        <w:rPr>
          <w:color w:val="000000"/>
          <w:spacing w:val="0"/>
          <w:w w:val="100"/>
          <w:position w:val="0"/>
          <w:sz w:val="22"/>
          <w:szCs w:val="22"/>
        </w:rPr>
        <w:t>十三、资产负债表日后事项</w:t>
      </w:r>
    </w:p>
    <w:p>
      <w:pPr>
        <w:pStyle w:val="Style5"/>
        <w:keepNext w:val="0"/>
        <w:keepLines w:val="0"/>
        <w:widowControl w:val="0"/>
        <w:shd w:val="clear" w:color="auto" w:fill="auto"/>
        <w:bidi w:val="0"/>
        <w:spacing w:before="0" w:after="540" w:line="317" w:lineRule="exact"/>
        <w:ind w:left="740" w:right="0" w:firstLine="0"/>
        <w:jc w:val="both"/>
        <w:rPr>
          <w:sz w:val="22"/>
          <w:szCs w:val="22"/>
        </w:rPr>
      </w:pPr>
      <w:r>
        <w:rPr>
          <w:color w:val="000000"/>
          <w:spacing w:val="0"/>
          <w:w w:val="100"/>
          <w:position w:val="0"/>
          <w:sz w:val="22"/>
          <w:szCs w:val="22"/>
        </w:rPr>
        <w:t>根据</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日董事会决议，董事会提议以本公司现金红利实施公告中确定的股权 登记日收市后在册的股份数为基准向全体股东派发每股股利人民币</w:t>
      </w:r>
      <w:r>
        <w:rPr>
          <w:rFonts w:ascii="Times New Roman" w:eastAsia="Times New Roman" w:hAnsi="Times New Roman" w:cs="Times New Roman"/>
          <w:color w:val="000000"/>
          <w:spacing w:val="0"/>
          <w:w w:val="100"/>
          <w:position w:val="0"/>
          <w:sz w:val="24"/>
          <w:szCs w:val="24"/>
        </w:rPr>
        <w:t>0.0391</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，合计 约人民币</w:t>
      </w:r>
      <w:r>
        <w:rPr>
          <w:rFonts w:ascii="Times New Roman" w:eastAsia="Times New Roman" w:hAnsi="Times New Roman" w:cs="Times New Roman"/>
          <w:color w:val="000000"/>
          <w:spacing w:val="0"/>
          <w:w w:val="100"/>
          <w:position w:val="0"/>
          <w:sz w:val="24"/>
          <w:szCs w:val="24"/>
        </w:rPr>
        <w:t>11.9</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。该股利分配预案尚未经本公司股东大会批准，故未在本财务报 表中确认为负债。</w:t>
      </w:r>
    </w:p>
    <w:p>
      <w:pPr>
        <w:pStyle w:val="Style5"/>
        <w:keepNext w:val="0"/>
        <w:keepLines w:val="0"/>
        <w:widowControl w:val="0"/>
        <w:shd w:val="clear" w:color="auto" w:fill="auto"/>
        <w:bidi w:val="0"/>
        <w:spacing w:before="0" w:after="260" w:line="312" w:lineRule="exact"/>
        <w:ind w:left="0" w:right="0" w:firstLine="0"/>
        <w:jc w:val="both"/>
        <w:rPr>
          <w:sz w:val="22"/>
          <w:szCs w:val="22"/>
        </w:rPr>
      </w:pPr>
      <w:r>
        <w:rPr>
          <w:color w:val="000000"/>
          <w:spacing w:val="0"/>
          <w:w w:val="100"/>
          <w:position w:val="0"/>
          <w:sz w:val="22"/>
          <w:szCs w:val="22"/>
        </w:rPr>
        <w:t>十四、分部信息</w:t>
      </w:r>
    </w:p>
    <w:p>
      <w:pPr>
        <w:pStyle w:val="Style5"/>
        <w:keepNext w:val="0"/>
        <w:keepLines w:val="0"/>
        <w:widowControl w:val="0"/>
        <w:shd w:val="clear" w:color="auto" w:fill="auto"/>
        <w:bidi w:val="0"/>
        <w:spacing w:before="0" w:after="260" w:line="312" w:lineRule="exact"/>
        <w:ind w:left="740" w:right="0" w:firstLine="0"/>
        <w:jc w:val="both"/>
        <w:rPr>
          <w:sz w:val="22"/>
          <w:szCs w:val="22"/>
        </w:rPr>
      </w:pPr>
      <w:r>
        <w:rPr>
          <w:color w:val="000000"/>
          <w:spacing w:val="0"/>
          <w:w w:val="100"/>
          <w:position w:val="0"/>
          <w:sz w:val="22"/>
          <w:szCs w:val="22"/>
        </w:rPr>
        <w:t>本公司的执行董事被认定为主要经营决策者。经营分部以主要经营决策者定期审阅用以分 配资源及评估分部表现的内部财务报告为基础确定。</w:t>
      </w:r>
    </w:p>
    <w:p>
      <w:pPr>
        <w:pStyle w:val="Style5"/>
        <w:keepNext w:val="0"/>
        <w:keepLines w:val="0"/>
        <w:widowControl w:val="0"/>
        <w:shd w:val="clear" w:color="auto" w:fill="auto"/>
        <w:bidi w:val="0"/>
        <w:spacing w:before="0" w:after="260" w:line="317" w:lineRule="exact"/>
        <w:ind w:left="740" w:right="0" w:firstLine="0"/>
        <w:jc w:val="both"/>
        <w:rPr>
          <w:sz w:val="22"/>
          <w:szCs w:val="22"/>
        </w:rPr>
      </w:pPr>
      <w:r>
        <w:rPr>
          <w:color w:val="000000"/>
          <w:spacing w:val="0"/>
          <w:w w:val="100"/>
          <w:position w:val="0"/>
          <w:sz w:val="22"/>
          <w:szCs w:val="22"/>
        </w:rPr>
        <w:t>主要经营决策者根据内部管理职能分配资源，将本集团视为一个整体而非以业务种类或地 区角度进行业绩评估。因此，本集团只有一个经营分部，无需列示分部资料。</w:t>
      </w:r>
    </w:p>
    <w:p>
      <w:pPr>
        <w:pStyle w:val="Style5"/>
        <w:keepNext w:val="0"/>
        <w:keepLines w:val="0"/>
        <w:widowControl w:val="0"/>
        <w:shd w:val="clear" w:color="auto" w:fill="auto"/>
        <w:bidi w:val="0"/>
        <w:spacing w:before="0" w:after="260" w:line="302" w:lineRule="exact"/>
        <w:ind w:left="740" w:right="0" w:firstLine="0"/>
        <w:jc w:val="both"/>
        <w:rPr>
          <w:sz w:val="22"/>
          <w:szCs w:val="22"/>
        </w:rPr>
      </w:pPr>
      <w:r>
        <w:rPr>
          <w:color w:val="000000"/>
          <w:spacing w:val="0"/>
          <w:w w:val="100"/>
          <w:position w:val="0"/>
          <w:sz w:val="22"/>
          <w:szCs w:val="22"/>
        </w:rPr>
        <w:t>本集团主要在中国大陆经营，所以没有列示地区资料。在所有列报期间，本集团均没有从 单一用户取得占本集团收入总额的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或以上的收入。</w:t>
      </w:r>
      <w:r>
        <w:br w:type="page"/>
      </w:r>
    </w:p>
    <w:p>
      <w:pPr>
        <w:pStyle w:val="Style97"/>
        <w:keepNext/>
        <w:keepLines/>
        <w:widowControl w:val="0"/>
        <w:shd w:val="clear" w:color="auto" w:fill="auto"/>
        <w:bidi w:val="0"/>
        <w:spacing w:before="0" w:after="40" w:line="240" w:lineRule="auto"/>
        <w:ind w:left="0" w:right="0" w:firstLine="0"/>
        <w:jc w:val="left"/>
      </w:pPr>
      <w:bookmarkStart w:id="1619" w:name="bookmark1619"/>
      <w:bookmarkStart w:id="1620" w:name="bookmark1620"/>
      <w:bookmarkStart w:id="1621" w:name="bookmark1621"/>
      <w:r>
        <w:rPr>
          <w:color w:val="000000"/>
          <w:spacing w:val="0"/>
          <w:w w:val="100"/>
          <w:position w:val="0"/>
        </w:rPr>
        <w:t>财务报表附注</w:t>
      </w:r>
      <w:bookmarkEnd w:id="1619"/>
      <w:bookmarkEnd w:id="1620"/>
      <w:bookmarkEnd w:id="1621"/>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60" w:line="240" w:lineRule="auto"/>
        <w:ind w:left="0" w:right="0" w:firstLine="0"/>
        <w:jc w:val="left"/>
        <w:rPr>
          <w:sz w:val="24"/>
          <w:szCs w:val="24"/>
        </w:rPr>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622"/>
      <w:bookmarkEnd w:id="1623"/>
      <w:bookmarkEnd w:id="1624"/>
    </w:p>
    <w:p>
      <w:pPr>
        <w:pStyle w:val="Style25"/>
        <w:keepNext w:val="0"/>
        <w:keepLines w:val="0"/>
        <w:widowControl w:val="0"/>
        <w:shd w:val="clear" w:color="auto" w:fill="auto"/>
        <w:bidi w:val="0"/>
        <w:spacing w:before="0" w:after="0" w:line="240" w:lineRule="auto"/>
        <w:ind w:left="10" w:right="0" w:firstLine="0"/>
        <w:jc w:val="left"/>
        <w:rPr>
          <w:sz w:val="22"/>
          <w:szCs w:val="22"/>
        </w:rPr>
      </w:pPr>
      <w:r>
        <w:rPr>
          <w:color w:val="000000"/>
          <w:spacing w:val="0"/>
          <w:w w:val="100"/>
          <w:position w:val="0"/>
          <w:sz w:val="22"/>
          <w:szCs w:val="22"/>
        </w:rPr>
        <w:t>十五、公司财务报表主要项目注释</w:t>
      </w:r>
    </w:p>
    <w:tbl>
      <w:tblPr>
        <w:tblOverlap w:val="never"/>
        <w:jc w:val="center"/>
        <w:tblLayout w:type="fixed"/>
      </w:tblPr>
      <w:tblGrid>
        <w:gridCol w:w="480"/>
        <w:gridCol w:w="4099"/>
        <w:gridCol w:w="3955"/>
        <w:gridCol w:w="1618"/>
      </w:tblGrid>
      <w:tr>
        <w:trPr>
          <w:trHeight w:val="43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银行存款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u w:val="single"/>
              </w:rPr>
              <w:t>1,944,193,474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1,596,328,709</w:t>
            </w:r>
          </w:p>
        </w:tc>
      </w:tr>
      <w:tr>
        <w:trPr>
          <w:trHeight w:val="4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长期股权投资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99" w:line="1" w:lineRule="exact"/>
      </w:pPr>
    </w:p>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日，本公司长期股权投资明细如下:</w:t>
      </w:r>
    </w:p>
    <w:tbl>
      <w:tblPr>
        <w:tblOverlap w:val="never"/>
        <w:jc w:val="right"/>
        <w:tblLayout w:type="fixed"/>
      </w:tblPr>
      <w:tblGrid>
        <w:gridCol w:w="2530"/>
        <w:gridCol w:w="1310"/>
        <w:gridCol w:w="2256"/>
        <w:gridCol w:w="1661"/>
        <w:gridCol w:w="1651"/>
      </w:tblGrid>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sz w:val="18"/>
                <w:szCs w:val="18"/>
                <w:u w:val="single"/>
              </w:rPr>
              <w:t>年</w:t>
            </w: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sz w:val="18"/>
                <w:szCs w:val="18"/>
                <w:u w:val="single"/>
              </w:rPr>
              <w:t>月</w:t>
            </w: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sz w:val="18"/>
                <w:szCs w:val="18"/>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u w:val="single"/>
              </w:rPr>
              <w:t>本年增减变动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sz w:val="18"/>
                <w:szCs w:val="18"/>
                <w:u w:val="single"/>
              </w:rPr>
              <w:t>年</w:t>
            </w: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sz w:val="18"/>
                <w:szCs w:val="18"/>
                <w:u w:val="single"/>
              </w:rPr>
              <w:t>月</w:t>
            </w: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sz w:val="18"/>
                <w:szCs w:val="18"/>
                <w:u w:val="single"/>
              </w:rPr>
              <w:t>日</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w:t>
            </w:r>
            <w:r>
              <w:rPr>
                <w:rFonts w:ascii="Times New Roman" w:eastAsia="Times New Roman" w:hAnsi="Times New Roman" w:cs="Times New Roman"/>
                <w:color w:val="000000"/>
                <w:spacing w:val="0"/>
                <w:w w:val="100"/>
                <w:position w:val="0"/>
                <w:sz w:val="18"/>
                <w:szCs w:val="18"/>
              </w:rPr>
              <w:t>BVI</w:t>
            </w:r>
            <w:r>
              <w:rPr>
                <w:color w:val="000000"/>
                <w:spacing w:val="0"/>
                <w:w w:val="100"/>
                <w:position w:val="0"/>
                <w:sz w:val="18"/>
                <w:szCs w:val="18"/>
              </w:rPr>
              <w:t>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100,072,258,479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100,072,258,479</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联通运营公司及国际公司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1,559,320,000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136,080,000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1,695,400,000</w:t>
            </w:r>
          </w:p>
        </w:tc>
      </w:tr>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101,631,578,479</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136,080,000</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101,767,658,479</w:t>
            </w:r>
          </w:p>
        </w:tc>
      </w:tr>
    </w:tbl>
    <w:p>
      <w:pPr>
        <w:widowControl w:val="0"/>
        <w:spacing w:after="239" w:line="1" w:lineRule="exact"/>
      </w:pPr>
    </w:p>
    <w:p>
      <w:pPr>
        <w:pStyle w:val="Style89"/>
        <w:keepNext w:val="0"/>
        <w:keepLines w:val="0"/>
        <w:widowControl w:val="0"/>
        <w:shd w:val="clear" w:color="auto" w:fill="auto"/>
        <w:bidi w:val="0"/>
        <w:spacing w:before="0" w:after="240" w:line="322" w:lineRule="exact"/>
        <w:ind w:left="0" w:right="0" w:firstLine="720"/>
        <w:jc w:val="left"/>
        <w:rPr>
          <w:sz w:val="22"/>
          <w:szCs w:val="22"/>
        </w:rPr>
      </w:pPr>
      <w:r>
        <w:rPr>
          <w:color w:val="000000"/>
          <w:spacing w:val="0"/>
          <w:w w:val="100"/>
          <w:position w:val="0"/>
          <w:sz w:val="24"/>
          <w:szCs w:val="24"/>
          <w:u w:val="none"/>
        </w:rPr>
        <w:t>(a)</w:t>
      </w:r>
      <w:r>
        <w:rPr>
          <w:rFonts w:ascii="SimSun" w:eastAsia="SimSun" w:hAnsi="SimSun" w:cs="SimSun"/>
          <w:color w:val="000000"/>
          <w:spacing w:val="0"/>
          <w:w w:val="100"/>
          <w:position w:val="0"/>
          <w:sz w:val="22"/>
          <w:szCs w:val="22"/>
          <w:u w:val="none"/>
        </w:rPr>
        <w:t>联通</w:t>
      </w:r>
      <w:r>
        <w:rPr>
          <w:color w:val="000000"/>
          <w:spacing w:val="0"/>
          <w:w w:val="100"/>
          <w:position w:val="0"/>
          <w:sz w:val="24"/>
          <w:szCs w:val="24"/>
          <w:u w:val="none"/>
        </w:rPr>
        <w:t>BVI</w:t>
      </w:r>
      <w:r>
        <w:rPr>
          <w:rFonts w:ascii="SimSun" w:eastAsia="SimSun" w:hAnsi="SimSun" w:cs="SimSun"/>
          <w:color w:val="000000"/>
          <w:spacing w:val="0"/>
          <w:w w:val="100"/>
          <w:position w:val="0"/>
          <w:sz w:val="22"/>
          <w:szCs w:val="22"/>
          <w:u w:val="none"/>
        </w:rPr>
        <w:t>公司</w:t>
      </w:r>
    </w:p>
    <w:p>
      <w:pPr>
        <w:pStyle w:val="Style97"/>
        <w:keepNext/>
        <w:keepLines/>
        <w:widowControl w:val="0"/>
        <w:shd w:val="clear" w:color="auto" w:fill="auto"/>
        <w:bidi w:val="0"/>
        <w:spacing w:before="0" w:after="300" w:line="322" w:lineRule="exact"/>
        <w:ind w:left="720" w:right="0" w:firstLine="20"/>
        <w:jc w:val="both"/>
      </w:pPr>
      <w:bookmarkStart w:id="1625" w:name="bookmark1625"/>
      <w:bookmarkStart w:id="1626" w:name="bookmark1626"/>
      <w:bookmarkStart w:id="1627" w:name="bookmark1627"/>
      <w:r>
        <w:rPr>
          <w:color w:val="000000"/>
          <w:spacing w:val="0"/>
          <w:w w:val="100"/>
          <w:position w:val="0"/>
        </w:rPr>
        <w:t>本公司持有联通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82.10%</w:t>
      </w:r>
      <w:r>
        <w:rPr>
          <w:color w:val="000000"/>
          <w:spacing w:val="0"/>
          <w:w w:val="100"/>
          <w:position w:val="0"/>
        </w:rPr>
        <w:t>股份，并通过联通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rPr>
        <w:t>公司间接拥有对联通红筹公司及 其子公司的投资。</w:t>
      </w:r>
      <w:bookmarkEnd w:id="1625"/>
      <w:bookmarkEnd w:id="1626"/>
      <w:bookmarkEnd w:id="1627"/>
    </w:p>
    <w:tbl>
      <w:tblPr>
        <w:tblOverlap w:val="never"/>
        <w:jc w:val="right"/>
        <w:tblLayout w:type="fixed"/>
      </w:tblPr>
      <w:tblGrid>
        <w:gridCol w:w="926"/>
        <w:gridCol w:w="1046"/>
        <w:gridCol w:w="974"/>
        <w:gridCol w:w="1152"/>
        <w:gridCol w:w="1728"/>
        <w:gridCol w:w="1037"/>
        <w:gridCol w:w="1051"/>
        <w:gridCol w:w="1488"/>
      </w:tblGrid>
      <w:tr>
        <w:trPr>
          <w:trHeight w:val="77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核算方法</w:t>
            </w:r>
          </w:p>
        </w:tc>
        <w:tc>
          <w:tcPr>
            <w:tcBorders/>
            <w:shd w:val="clear" w:color="auto" w:fill="FFFFFF"/>
            <w:vAlign w:val="center"/>
          </w:tcPr>
          <w:p>
            <w:pPr>
              <w:pStyle w:val="Style22"/>
              <w:keepNext w:val="0"/>
              <w:keepLines w:val="0"/>
              <w:widowControl w:val="0"/>
              <w:shd w:val="clear" w:color="auto" w:fill="auto"/>
              <w:bidi w:val="0"/>
              <w:spacing w:before="0" w:after="0" w:line="202" w:lineRule="exact"/>
              <w:ind w:left="0" w:right="0" w:firstLine="0"/>
              <w:jc w:val="center"/>
              <w:rPr>
                <w:sz w:val="18"/>
                <w:szCs w:val="18"/>
              </w:rPr>
            </w:pPr>
            <w:r>
              <w:rPr>
                <w:color w:val="000000"/>
                <w:spacing w:val="0"/>
                <w:w w:val="100"/>
                <w:position w:val="0"/>
                <w:sz w:val="18"/>
                <w:szCs w:val="18"/>
                <w:u w:val="single"/>
              </w:rPr>
              <w:t xml:space="preserve">持股比例 </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表决权比例</w:t>
            </w:r>
          </w:p>
          <w:p>
            <w:pPr>
              <w:pStyle w:val="Style22"/>
              <w:keepNext w:val="0"/>
              <w:keepLines w:val="0"/>
              <w:widowControl w:val="0"/>
              <w:shd w:val="clear" w:color="auto" w:fill="auto"/>
              <w:bidi w:val="0"/>
              <w:spacing w:before="0" w:after="0" w:line="23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 xml:space="preserve">持股比例与表决权 </w:t>
            </w:r>
            <w:r>
              <w:rPr>
                <w:color w:val="000000"/>
                <w:spacing w:val="0"/>
                <w:w w:val="100"/>
                <w:position w:val="0"/>
                <w:sz w:val="18"/>
                <w:szCs w:val="18"/>
                <w:u w:val="single"/>
              </w:rPr>
              <w:t>比例不一致的说明</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u w:val="single"/>
              </w:rPr>
              <w:t>减值准备</w:t>
            </w:r>
          </w:p>
        </w:tc>
        <w:tc>
          <w:tcPr>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本年计提 减值准备</w:t>
            </w:r>
          </w:p>
        </w:tc>
        <w:tc>
          <w:tcPr>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 xml:space="preserve">本年宣告 </w:t>
            </w:r>
            <w:r>
              <w:rPr>
                <w:color w:val="000000"/>
                <w:spacing w:val="0"/>
                <w:w w:val="100"/>
                <w:position w:val="0"/>
                <w:sz w:val="18"/>
                <w:szCs w:val="18"/>
                <w:u w:val="single"/>
              </w:rPr>
              <w:t>分派的现金股利</w:t>
            </w:r>
          </w:p>
        </w:tc>
      </w:tr>
      <w:tr>
        <w:trPr>
          <w:trHeight w:val="57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w:t>
            </w:r>
            <w:r>
              <w:rPr>
                <w:rFonts w:ascii="Times New Roman" w:eastAsia="Times New Roman" w:hAnsi="Times New Roman" w:cs="Times New Roman"/>
                <w:color w:val="000000"/>
                <w:spacing w:val="0"/>
                <w:w w:val="100"/>
                <w:position w:val="0"/>
                <w:sz w:val="18"/>
                <w:szCs w:val="18"/>
              </w:rPr>
              <w:t>BVI</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4,650,710,792</w:t>
            </w:r>
          </w:p>
        </w:tc>
      </w:tr>
    </w:tbl>
    <w:p>
      <w:pPr>
        <w:widowControl w:val="0"/>
        <w:spacing w:after="239" w:line="1" w:lineRule="exact"/>
      </w:pPr>
    </w:p>
    <w:p>
      <w:pPr>
        <w:pStyle w:val="Style97"/>
        <w:keepNext/>
        <w:keepLines/>
        <w:widowControl w:val="0"/>
        <w:shd w:val="clear" w:color="auto" w:fill="auto"/>
        <w:bidi w:val="0"/>
        <w:spacing w:before="0" w:after="240" w:line="317" w:lineRule="exact"/>
        <w:ind w:left="720" w:right="0" w:firstLine="20"/>
        <w:jc w:val="both"/>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sz w:val="24"/>
          <w:szCs w:val="24"/>
        </w:rPr>
        <w:t>(b)</w:t>
      </w:r>
      <w:r>
        <w:rPr>
          <w:color w:val="000000"/>
          <w:spacing w:val="0"/>
          <w:w w:val="100"/>
          <w:position w:val="0"/>
        </w:rPr>
        <w:t>联通运营公司及国际公司</w:t>
      </w:r>
      <w:bookmarkEnd w:id="1628"/>
      <w:bookmarkEnd w:id="1629"/>
      <w:bookmarkEnd w:id="1630"/>
    </w:p>
    <w:p>
      <w:pPr>
        <w:pStyle w:val="Style97"/>
        <w:keepNext/>
        <w:keepLines/>
        <w:widowControl w:val="0"/>
        <w:shd w:val="clear" w:color="auto" w:fill="auto"/>
        <w:bidi w:val="0"/>
        <w:spacing w:before="0" w:after="300" w:line="317" w:lineRule="exact"/>
        <w:ind w:left="720" w:right="0" w:firstLine="20"/>
        <w:jc w:val="both"/>
      </w:pPr>
      <w:bookmarkStart w:id="1631" w:name="bookmark1631"/>
      <w:bookmarkStart w:id="1632" w:name="bookmark1632"/>
      <w:bookmarkStart w:id="1633" w:name="bookmark1633"/>
      <w:r>
        <w:rPr>
          <w:color w:val="000000"/>
          <w:spacing w:val="0"/>
          <w:w w:val="100"/>
          <w:position w:val="0"/>
        </w:rPr>
        <w:t>如附注十二所述，本公司于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年实施限制性股票激励计划，本公司为结算企业，联通 运营公司及国际公司为接受服务企业。因此，本公司按照授予日权益工具的公允价值确认 为对联通运营公司及国际公司的长期股权投资，同时确认资本公积。</w:t>
      </w:r>
      <w:bookmarkEnd w:id="1631"/>
      <w:bookmarkEnd w:id="1632"/>
      <w:bookmarkEnd w:id="1633"/>
    </w:p>
    <w:p>
      <w:pPr>
        <w:pStyle w:val="Style97"/>
        <w:keepNext/>
        <w:keepLines/>
        <w:widowControl w:val="0"/>
        <w:shd w:val="clear" w:color="auto" w:fill="auto"/>
        <w:tabs>
          <w:tab w:pos="691" w:val="left"/>
        </w:tabs>
        <w:bidi w:val="0"/>
        <w:spacing w:before="0" w:after="300" w:line="240" w:lineRule="auto"/>
        <w:ind w:left="0" w:right="0" w:firstLine="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债权投资</w:t>
      </w:r>
      <w:bookmarkEnd w:id="1634"/>
      <w:bookmarkEnd w:id="1635"/>
      <w:bookmarkEnd w:id="1636"/>
    </w:p>
    <w:p>
      <w:pPr>
        <w:pStyle w:val="Style89"/>
        <w:keepNext w:val="0"/>
        <w:keepLines w:val="0"/>
        <w:widowControl w:val="0"/>
        <w:shd w:val="clear" w:color="auto" w:fill="auto"/>
        <w:tabs>
          <w:tab w:pos="1752" w:val="left"/>
        </w:tabs>
        <w:bidi w:val="0"/>
        <w:spacing w:before="0" w:line="240" w:lineRule="auto"/>
        <w:ind w:left="0" w:right="260" w:firstLine="0"/>
        <w:jc w:val="right"/>
        <w:rPr>
          <w:sz w:val="22"/>
          <w:szCs w:val="22"/>
        </w:rPr>
      </w:pPr>
      <w:r>
        <w:rPr>
          <w:color w:val="000000"/>
          <w:spacing w:val="0"/>
          <w:w w:val="100"/>
          <w:position w:val="0"/>
          <w:sz w:val="24"/>
          <w:szCs w:val="24"/>
          <w:u w:val="none"/>
        </w:rPr>
        <w:t xml:space="preserve">2021 </w:t>
      </w:r>
      <w:r>
        <w:rPr>
          <w:rFonts w:ascii="SimSun" w:eastAsia="SimSun" w:hAnsi="SimSun" w:cs="SimSun"/>
          <w:color w:val="000000"/>
          <w:spacing w:val="0"/>
          <w:w w:val="100"/>
          <w:position w:val="0"/>
          <w:sz w:val="22"/>
          <w:szCs w:val="22"/>
          <w:u w:val="none"/>
        </w:rPr>
        <w:t>年</w:t>
        <w:tab/>
      </w:r>
      <w:r>
        <w:rPr>
          <w:color w:val="000000"/>
          <w:spacing w:val="0"/>
          <w:w w:val="100"/>
          <w:position w:val="0"/>
          <w:sz w:val="24"/>
          <w:szCs w:val="24"/>
          <w:u w:val="none"/>
        </w:rPr>
        <w:t xml:space="preserve">2020 </w:t>
      </w:r>
      <w:r>
        <w:rPr>
          <w:rFonts w:ascii="SimSun" w:eastAsia="SimSun" w:hAnsi="SimSun" w:cs="SimSun"/>
          <w:color w:val="000000"/>
          <w:spacing w:val="0"/>
          <w:w w:val="100"/>
          <w:position w:val="0"/>
          <w:sz w:val="22"/>
          <w:szCs w:val="22"/>
          <w:u w:val="none"/>
        </w:rPr>
        <w:t>年</w:t>
      </w:r>
    </w:p>
    <w:p>
      <w:pPr>
        <w:pStyle w:val="Style89"/>
        <w:keepNext w:val="0"/>
        <w:keepLines w:val="0"/>
        <w:widowControl w:val="0"/>
        <w:shd w:val="clear" w:color="auto" w:fill="auto"/>
        <w:tabs>
          <w:tab w:pos="1752" w:val="left"/>
        </w:tabs>
        <w:bidi w:val="0"/>
        <w:spacing w:before="0" w:after="300" w:line="240" w:lineRule="auto"/>
        <w:ind w:left="0" w:right="260" w:firstLine="0"/>
        <w:jc w:val="right"/>
        <w:rPr>
          <w:sz w:val="22"/>
          <w:szCs w:val="22"/>
        </w:rPr>
      </w:pP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tab/>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89"/>
        <w:keepNext w:val="0"/>
        <w:keepLines w:val="0"/>
        <w:widowControl w:val="0"/>
        <w:shd w:val="clear" w:color="auto" w:fill="auto"/>
        <w:tabs>
          <w:tab w:pos="7090" w:val="left"/>
          <w:tab w:pos="8669" w:val="left"/>
        </w:tabs>
        <w:bidi w:val="0"/>
        <w:spacing w:before="0" w:after="260" w:line="240" w:lineRule="auto"/>
        <w:ind w:left="0" w:right="0" w:firstLine="720"/>
        <w:jc w:val="both"/>
      </w:pPr>
      <w:r>
        <w:rPr>
          <w:rFonts w:ascii="SimSun" w:eastAsia="SimSun" w:hAnsi="SimSun" w:cs="SimSun"/>
          <w:color w:val="000000"/>
          <w:spacing w:val="0"/>
          <w:w w:val="100"/>
          <w:position w:val="0"/>
          <w:sz w:val="22"/>
          <w:szCs w:val="22"/>
          <w:u w:val="none"/>
        </w:rPr>
        <w:t>委托贷款</w:t>
        <w:tab/>
      </w:r>
      <w:r>
        <w:rPr>
          <w:color w:val="000000"/>
          <w:spacing w:val="0"/>
          <w:w w:val="100"/>
          <w:position w:val="0"/>
          <w:sz w:val="24"/>
          <w:szCs w:val="24"/>
        </w:rPr>
        <w:t>743,091,713</w:t>
        <w:tab/>
        <w:t>3,046,096,088</w:t>
      </w:r>
    </w:p>
    <w:p>
      <w:pPr>
        <w:pStyle w:val="Style97"/>
        <w:keepNext/>
        <w:keepLines/>
        <w:widowControl w:val="0"/>
        <w:shd w:val="clear" w:color="auto" w:fill="auto"/>
        <w:bidi w:val="0"/>
        <w:spacing w:before="0" w:after="40" w:line="240" w:lineRule="auto"/>
        <w:ind w:left="0" w:right="0" w:firstLine="0"/>
        <w:jc w:val="left"/>
      </w:pPr>
      <w:bookmarkStart w:id="1637" w:name="bookmark1637"/>
      <w:bookmarkStart w:id="1638" w:name="bookmark1638"/>
      <w:bookmarkStart w:id="1639" w:name="bookmark1639"/>
      <w:r>
        <w:rPr>
          <w:color w:val="000000"/>
          <w:spacing w:val="0"/>
          <w:w w:val="100"/>
          <w:position w:val="0"/>
        </w:rPr>
        <w:t>财务报表附注</w:t>
      </w:r>
      <w:bookmarkEnd w:id="1637"/>
      <w:bookmarkEnd w:id="1638"/>
      <w:bookmarkEnd w:id="1639"/>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97"/>
        <w:keepNext/>
        <w:keepLines/>
        <w:widowControl w:val="0"/>
        <w:shd w:val="clear" w:color="auto" w:fill="auto"/>
        <w:bidi w:val="0"/>
        <w:spacing w:before="0" w:after="580" w:line="240" w:lineRule="auto"/>
        <w:ind w:left="0" w:right="0" w:firstLine="0"/>
        <w:jc w:val="left"/>
        <w:rPr>
          <w:sz w:val="24"/>
          <w:szCs w:val="24"/>
        </w:rPr>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bookmarkEnd w:id="1640"/>
      <w:bookmarkEnd w:id="1641"/>
      <w:bookmarkEnd w:id="1642"/>
    </w:p>
    <w:p>
      <w:pPr>
        <w:pStyle w:val="Style97"/>
        <w:keepNext/>
        <w:keepLines/>
        <w:widowControl w:val="0"/>
        <w:shd w:val="clear" w:color="auto" w:fill="auto"/>
        <w:bidi w:val="0"/>
        <w:spacing w:before="0" w:after="260" w:line="240" w:lineRule="auto"/>
        <w:ind w:left="0" w:right="0" w:firstLine="0"/>
        <w:jc w:val="left"/>
      </w:pPr>
      <w:bookmarkStart w:id="1643" w:name="bookmark1643"/>
      <w:bookmarkStart w:id="1644" w:name="bookmark1644"/>
      <w:bookmarkStart w:id="1645" w:name="bookmark1645"/>
      <w:r>
        <w:rPr>
          <w:color w:val="000000"/>
          <w:spacing w:val="0"/>
          <w:w w:val="100"/>
          <w:position w:val="0"/>
        </w:rPr>
        <w:t>十五、公司财务报表主要项目注释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643"/>
      <w:bookmarkEnd w:id="1644"/>
      <w:bookmarkEnd w:id="1645"/>
    </w:p>
    <w:p>
      <w:pPr>
        <w:pStyle w:val="Style97"/>
        <w:keepNext/>
        <w:keepLines/>
        <w:widowControl w:val="0"/>
        <w:shd w:val="clear" w:color="auto" w:fill="auto"/>
        <w:tabs>
          <w:tab w:pos="718" w:val="left"/>
        </w:tabs>
        <w:bidi w:val="0"/>
        <w:spacing w:before="0" w:after="260" w:line="317" w:lineRule="exact"/>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sz w:val="24"/>
          <w:szCs w:val="24"/>
        </w:rPr>
        <w:t>3</w:t>
      </w:r>
      <w:bookmarkEnd w:id="1648"/>
      <w:r>
        <w:rPr>
          <w:color w:val="000000"/>
          <w:spacing w:val="0"/>
          <w:w w:val="100"/>
          <w:position w:val="0"/>
        </w:rPr>
        <w:t>、</w:t>
        <w:tab/>
        <w:t>债权投资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续</w:t>
      </w:r>
      <w:bookmarkEnd w:id="1646"/>
      <w:bookmarkEnd w:id="1647"/>
      <w:bookmarkEnd w:id="1649"/>
    </w:p>
    <w:p>
      <w:pPr>
        <w:pStyle w:val="Style97"/>
        <w:keepNext/>
        <w:keepLines/>
        <w:widowControl w:val="0"/>
        <w:shd w:val="clear" w:color="auto" w:fill="auto"/>
        <w:bidi w:val="0"/>
        <w:spacing w:before="0" w:after="260" w:line="317" w:lineRule="exact"/>
        <w:ind w:left="720" w:right="0" w:firstLine="2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月，本公司通过财务公司与联通运营公司签订了委托贷款合同，贷款额度为人 民币</w:t>
      </w:r>
      <w:r>
        <w:rPr>
          <w:rFonts w:ascii="Times New Roman" w:eastAsia="Times New Roman" w:hAnsi="Times New Roman" w:cs="Times New Roman"/>
          <w:color w:val="000000"/>
          <w:spacing w:val="0"/>
          <w:w w:val="100"/>
          <w:position w:val="0"/>
          <w:sz w:val="24"/>
          <w:szCs w:val="24"/>
        </w:rPr>
        <w:t>35.00</w:t>
      </w:r>
      <w:r>
        <w:rPr>
          <w:color w:val="000000"/>
          <w:spacing w:val="0"/>
          <w:w w:val="100"/>
          <w:position w:val="0"/>
        </w:rPr>
        <w:t>亿元，借款期限为五年，借款利率为固定利率</w:t>
      </w:r>
      <w:r>
        <w:rPr>
          <w:rFonts w:ascii="Times New Roman" w:eastAsia="Times New Roman" w:hAnsi="Times New Roman" w:cs="Times New Roman"/>
          <w:color w:val="000000"/>
          <w:spacing w:val="0"/>
          <w:w w:val="100"/>
          <w:position w:val="0"/>
          <w:sz w:val="24"/>
          <w:szCs w:val="24"/>
        </w:rPr>
        <w:t>4.275%</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 联通运营公司共借入委托贷款约人民币</w:t>
      </w:r>
      <w:r>
        <w:rPr>
          <w:rFonts w:ascii="Times New Roman" w:eastAsia="Times New Roman" w:hAnsi="Times New Roman" w:cs="Times New Roman"/>
          <w:color w:val="000000"/>
          <w:spacing w:val="0"/>
          <w:w w:val="100"/>
          <w:position w:val="0"/>
          <w:sz w:val="24"/>
          <w:szCs w:val="24"/>
        </w:rPr>
        <w:t>7.43</w:t>
      </w:r>
      <w:r>
        <w:rPr>
          <w:color w:val="000000"/>
          <w:spacing w:val="0"/>
          <w:w w:val="100"/>
          <w:position w:val="0"/>
        </w:rPr>
        <w:t>亿元。</w:t>
      </w:r>
      <w:bookmarkEnd w:id="1650"/>
      <w:bookmarkEnd w:id="1651"/>
      <w:bookmarkEnd w:id="1652"/>
    </w:p>
    <w:p>
      <w:pPr>
        <w:pStyle w:val="Style97"/>
        <w:keepNext/>
        <w:keepLines/>
        <w:widowControl w:val="0"/>
        <w:shd w:val="clear" w:color="auto" w:fill="auto"/>
        <w:tabs>
          <w:tab w:pos="718" w:val="left"/>
        </w:tabs>
        <w:bidi w:val="0"/>
        <w:spacing w:before="0" w:after="320" w:line="317" w:lineRule="exact"/>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sz w:val="24"/>
          <w:szCs w:val="24"/>
        </w:rPr>
        <w:t>4</w:t>
      </w:r>
      <w:bookmarkEnd w:id="1655"/>
      <w:r>
        <w:rPr>
          <w:color w:val="000000"/>
          <w:spacing w:val="0"/>
          <w:w w:val="100"/>
          <w:position w:val="0"/>
        </w:rPr>
        <w:t>、</w:t>
        <w:tab/>
        <w:t>股本</w:t>
      </w:r>
      <w:bookmarkEnd w:id="1653"/>
      <w:bookmarkEnd w:id="1654"/>
      <w:bookmarkEnd w:id="1656"/>
    </w:p>
    <w:tbl>
      <w:tblPr>
        <w:tblOverlap w:val="never"/>
        <w:jc w:val="center"/>
        <w:tblLayout w:type="fixed"/>
      </w:tblPr>
      <w:tblGrid>
        <w:gridCol w:w="1642"/>
        <w:gridCol w:w="2443"/>
        <w:gridCol w:w="3590"/>
        <w:gridCol w:w="1699"/>
      </w:tblGrid>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本年增减变动</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tabs>
                <w:tab w:pos="2338" w:val="left"/>
              </w:tabs>
              <w:bidi w:val="0"/>
              <w:spacing w:before="0" w:after="0" w:line="240" w:lineRule="auto"/>
              <w:ind w:left="0" w:right="0" w:firstLine="260"/>
              <w:jc w:val="left"/>
              <w:rPr>
                <w:sz w:val="22"/>
                <w:szCs w:val="22"/>
              </w:rPr>
            </w:pPr>
            <w:r>
              <w:rPr>
                <w:color w:val="000000"/>
                <w:spacing w:val="0"/>
                <w:w w:val="100"/>
                <w:position w:val="0"/>
                <w:sz w:val="22"/>
                <w:szCs w:val="22"/>
                <w:u w:val="single"/>
              </w:rPr>
              <w:t>发行新股</w:t>
              <w:tab/>
              <w:t>其他</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6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股份总数</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31,015,595,487</w:t>
            </w:r>
          </w:p>
        </w:tc>
        <w:tc>
          <w:tcPr>
            <w:tcBorders>
              <w:bottom w:val="single" w:sz="4"/>
            </w:tcBorders>
            <w:shd w:val="clear" w:color="auto" w:fill="FFFFFF"/>
            <w:vAlign w:val="bottom"/>
          </w:tcPr>
          <w:p>
            <w:pPr>
              <w:pStyle w:val="Style22"/>
              <w:keepNext w:val="0"/>
              <w:keepLines w:val="0"/>
              <w:widowControl w:val="0"/>
              <w:shd w:val="clear" w:color="auto" w:fill="auto"/>
              <w:tabs>
                <w:tab w:pos="682" w:val="left"/>
              </w:tabs>
              <w:bidi w:val="0"/>
              <w:spacing w:before="0" w:after="0" w:line="240" w:lineRule="auto"/>
              <w:ind w:left="0" w:right="160" w:firstLine="0"/>
              <w:jc w:val="right"/>
              <w:rPr>
                <w:sz w:val="24"/>
                <w:szCs w:val="24"/>
              </w:rPr>
            </w:pPr>
            <w:r>
              <w:rPr>
                <w:rFonts w:ascii="Times New Roman" w:eastAsia="Times New Roman" w:hAnsi="Times New Roman" w:cs="Times New Roman"/>
                <w:color w:val="000000"/>
                <w:spacing w:val="0"/>
                <w:w w:val="100"/>
                <w:position w:val="0"/>
                <w:sz w:val="24"/>
                <w:szCs w:val="24"/>
              </w:rPr>
              <w:t>-</w:t>
              <w:tab/>
              <w:t>(24,202,275)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30,991,393,212</w:t>
            </w:r>
          </w:p>
        </w:tc>
      </w:tr>
    </w:tbl>
    <w:p>
      <w:pPr>
        <w:widowControl w:val="0"/>
        <w:spacing w:after="259" w:line="1" w:lineRule="exact"/>
      </w:pPr>
    </w:p>
    <w:p>
      <w:pPr>
        <w:pStyle w:val="Style97"/>
        <w:keepNext/>
        <w:keepLines/>
        <w:widowControl w:val="0"/>
        <w:shd w:val="clear" w:color="auto" w:fill="auto"/>
        <w:bidi w:val="0"/>
        <w:spacing w:before="0" w:after="320" w:line="307" w:lineRule="exact"/>
        <w:ind w:left="720" w:right="0" w:firstLine="20"/>
        <w:jc w:val="both"/>
      </w:pPr>
      <w:bookmarkStart w:id="1657" w:name="bookmark1657"/>
      <w:bookmarkStart w:id="1658" w:name="bookmark1658"/>
      <w:bookmarkStart w:id="1659" w:name="bookmark1659"/>
      <w:r>
        <w:rPr>
          <w:color w:val="000000"/>
          <w:spacing w:val="0"/>
          <w:w w:val="100"/>
          <w:position w:val="0"/>
        </w:rPr>
        <w:t>如附注五</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及附注十二所述，本公司分别于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月和</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 xml:space="preserve">月注销回购的限制性股票 </w:t>
      </w:r>
      <w:r>
        <w:rPr>
          <w:rFonts w:ascii="Times New Roman" w:eastAsia="Times New Roman" w:hAnsi="Times New Roman" w:cs="Times New Roman"/>
          <w:color w:val="000000"/>
          <w:spacing w:val="0"/>
          <w:w w:val="100"/>
          <w:position w:val="0"/>
          <w:sz w:val="24"/>
          <w:szCs w:val="24"/>
        </w:rPr>
        <w:t xml:space="preserve">3,742,200 </w:t>
      </w:r>
      <w:r>
        <w:rPr>
          <w:color w:val="000000"/>
          <w:spacing w:val="0"/>
          <w:w w:val="100"/>
          <w:position w:val="0"/>
        </w:rPr>
        <w:t xml:space="preserve">股和 </w:t>
      </w:r>
      <w:r>
        <w:rPr>
          <w:rFonts w:ascii="Times New Roman" w:eastAsia="Times New Roman" w:hAnsi="Times New Roman" w:cs="Times New Roman"/>
          <w:color w:val="000000"/>
          <w:spacing w:val="0"/>
          <w:w w:val="100"/>
          <w:position w:val="0"/>
          <w:sz w:val="24"/>
          <w:szCs w:val="24"/>
        </w:rPr>
        <w:t xml:space="preserve">20,460,075 </w:t>
      </w:r>
      <w:r>
        <w:rPr>
          <w:color w:val="000000"/>
          <w:spacing w:val="0"/>
          <w:w w:val="100"/>
          <w:position w:val="0"/>
        </w:rPr>
        <w:t>股。</w:t>
      </w:r>
      <w:bookmarkEnd w:id="1657"/>
      <w:bookmarkEnd w:id="1658"/>
      <w:bookmarkEnd w:id="1659"/>
    </w:p>
    <w:p>
      <w:pPr>
        <w:pStyle w:val="Style97"/>
        <w:keepNext/>
        <w:keepLines/>
        <w:widowControl w:val="0"/>
        <w:shd w:val="clear" w:color="auto" w:fill="auto"/>
        <w:tabs>
          <w:tab w:pos="718" w:val="left"/>
        </w:tabs>
        <w:bidi w:val="0"/>
        <w:spacing w:before="0" w:after="26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sz w:val="24"/>
          <w:szCs w:val="24"/>
        </w:rPr>
        <w:t>5</w:t>
      </w:r>
      <w:bookmarkEnd w:id="1662"/>
      <w:r>
        <w:rPr>
          <w:color w:val="000000"/>
          <w:spacing w:val="0"/>
          <w:w w:val="100"/>
          <w:position w:val="0"/>
        </w:rPr>
        <w:t>、</w:t>
        <w:tab/>
        <w:t>资本公积</w:t>
      </w:r>
      <w:bookmarkEnd w:id="1660"/>
      <w:bookmarkEnd w:id="1661"/>
      <w:bookmarkEnd w:id="1663"/>
    </w:p>
    <w:tbl>
      <w:tblPr>
        <w:tblOverlap w:val="never"/>
        <w:jc w:val="center"/>
        <w:tblLayout w:type="fixed"/>
      </w:tblPr>
      <w:tblGrid>
        <w:gridCol w:w="2136"/>
        <w:gridCol w:w="1320"/>
        <w:gridCol w:w="1694"/>
        <w:gridCol w:w="1483"/>
        <w:gridCol w:w="1416"/>
        <w:gridCol w:w="1363"/>
      </w:tblGrid>
      <w:tr>
        <w:trPr>
          <w:trHeight w:val="57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项目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注释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sz w:val="18"/>
                <w:szCs w:val="18"/>
                <w:u w:val="single"/>
              </w:rPr>
              <w:t>月</w:t>
            </w: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sz w:val="18"/>
                <w:szCs w:val="18"/>
                <w:u w:val="single"/>
              </w:rPr>
              <w:t>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u w:val="single"/>
              </w:rPr>
              <w:t>本年增加</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u w:val="single"/>
              </w:rPr>
              <w:t>本年减少</w:t>
            </w:r>
          </w:p>
        </w:tc>
        <w:tc>
          <w:tcPr>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sz w:val="18"/>
                <w:szCs w:val="18"/>
                <w:u w:val="single"/>
              </w:rPr>
              <w:t>月</w:t>
            </w: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sz w:val="18"/>
                <w:szCs w:val="18"/>
                <w:u w:val="single"/>
              </w:rPr>
              <w:t>日</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发起人出资溢价</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(31)(a)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7,913,551,905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7,913,551,905</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人民币普通股发行溢价</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(31)(a)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63,887,055,590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67,524,347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63,819,531,243</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(31)(J)</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1,559,320,000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136,080,000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1,695,400,000</w:t>
            </w:r>
          </w:p>
        </w:tc>
      </w:tr>
      <w:tr>
        <w:trPr>
          <w:trHeight w:val="29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73,359,927,495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136,080,000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67,524,347</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73,428,483,148</w:t>
            </w:r>
          </w:p>
        </w:tc>
      </w:tr>
    </w:tbl>
    <w:p>
      <w:pPr>
        <w:widowControl w:val="0"/>
        <w:spacing w:after="259" w:line="1" w:lineRule="exact"/>
      </w:pPr>
    </w:p>
    <w:p>
      <w:pPr>
        <w:pStyle w:val="Style97"/>
        <w:keepNext/>
        <w:keepLines/>
        <w:widowControl w:val="0"/>
        <w:shd w:val="clear" w:color="auto" w:fill="auto"/>
        <w:bidi w:val="0"/>
        <w:spacing w:before="0" w:after="320" w:line="298" w:lineRule="exact"/>
        <w:ind w:left="720" w:right="0" w:firstLine="20"/>
        <w:jc w:val="both"/>
      </w:pPr>
      <w:bookmarkStart w:id="1664" w:name="bookmark1664"/>
      <w:bookmarkStart w:id="1665" w:name="bookmark1665"/>
      <w:bookmarkStart w:id="1666" w:name="bookmark1666"/>
      <w:r>
        <w:rPr>
          <w:color w:val="000000"/>
          <w:spacing w:val="0"/>
          <w:w w:val="100"/>
          <w:position w:val="0"/>
        </w:rPr>
        <w:t>本年本公司按照授予日权益工具的公允价值确认为对联通运营公司及国际公司的长期股权 投资，同时确认资本公积，金额约为人民币</w:t>
      </w:r>
      <w:r>
        <w:rPr>
          <w:rFonts w:ascii="Times New Roman" w:eastAsia="Times New Roman" w:hAnsi="Times New Roman" w:cs="Times New Roman"/>
          <w:color w:val="000000"/>
          <w:spacing w:val="0"/>
          <w:w w:val="100"/>
          <w:position w:val="0"/>
          <w:sz w:val="24"/>
          <w:szCs w:val="24"/>
        </w:rPr>
        <w:t>1.36</w:t>
      </w:r>
      <w:r>
        <w:rPr>
          <w:color w:val="000000"/>
          <w:spacing w:val="0"/>
          <w:w w:val="100"/>
          <w:position w:val="0"/>
        </w:rPr>
        <w:t>亿元。</w:t>
      </w:r>
      <w:bookmarkEnd w:id="1664"/>
      <w:bookmarkEnd w:id="1665"/>
      <w:bookmarkEnd w:id="1666"/>
    </w:p>
    <w:p>
      <w:pPr>
        <w:pStyle w:val="Style97"/>
        <w:keepNext/>
        <w:keepLines/>
        <w:widowControl w:val="0"/>
        <w:shd w:val="clear" w:color="auto" w:fill="auto"/>
        <w:tabs>
          <w:tab w:pos="718" w:val="left"/>
        </w:tabs>
        <w:bidi w:val="0"/>
        <w:spacing w:before="0" w:after="26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sz w:val="24"/>
          <w:szCs w:val="24"/>
        </w:rPr>
        <w:t>6</w:t>
      </w:r>
      <w:bookmarkEnd w:id="1669"/>
      <w:r>
        <w:rPr>
          <w:color w:val="000000"/>
          <w:spacing w:val="0"/>
          <w:w w:val="100"/>
          <w:position w:val="0"/>
        </w:rPr>
        <w:t>、</w:t>
        <w:tab/>
        <w:t>库存股</w:t>
      </w:r>
      <w:bookmarkEnd w:id="1667"/>
      <w:bookmarkEnd w:id="1668"/>
      <w:bookmarkEnd w:id="1670"/>
    </w:p>
    <w:tbl>
      <w:tblPr>
        <w:tblOverlap w:val="never"/>
        <w:jc w:val="center"/>
        <w:tblLayout w:type="fixed"/>
      </w:tblPr>
      <w:tblGrid>
        <w:gridCol w:w="1594"/>
        <w:gridCol w:w="2448"/>
        <w:gridCol w:w="1882"/>
        <w:gridCol w:w="1814"/>
        <w:gridCol w:w="1632"/>
      </w:tblGrid>
      <w:tr>
        <w:trPr>
          <w:trHeight w:val="293"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2"/>
                <w:szCs w:val="22"/>
              </w:rPr>
              <w:t>年</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222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sz w:val="22"/>
                <w:szCs w:val="22"/>
              </w:rPr>
              <w:t>年</w:t>
            </w:r>
          </w:p>
        </w:tc>
      </w:tr>
      <w:tr>
        <w:trPr>
          <w:trHeight w:val="46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60" w:right="0" w:firstLine="0"/>
              <w:jc w:val="center"/>
              <w:rPr>
                <w:sz w:val="22"/>
                <w:szCs w:val="22"/>
              </w:rPr>
            </w:pPr>
            <w:r>
              <w:rPr>
                <w:color w:val="000000"/>
                <w:spacing w:val="0"/>
                <w:w w:val="100"/>
                <w:position w:val="0"/>
                <w:sz w:val="22"/>
                <w:szCs w:val="22"/>
                <w:u w:val="single"/>
              </w:rPr>
              <w:t>本年增加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60" w:right="0" w:firstLine="0"/>
              <w:jc w:val="center"/>
              <w:rPr>
                <w:sz w:val="22"/>
                <w:szCs w:val="22"/>
              </w:rPr>
            </w:pPr>
            <w:r>
              <w:rPr>
                <w:color w:val="000000"/>
                <w:spacing w:val="0"/>
                <w:w w:val="100"/>
                <w:position w:val="0"/>
                <w:sz w:val="22"/>
                <w:szCs w:val="22"/>
                <w:u w:val="single"/>
              </w:rPr>
              <w:t>本年减少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4"/>
                <w:szCs w:val="24"/>
                <w:u w:val="single"/>
              </w:rPr>
              <w:t>12</w:t>
            </w:r>
            <w:r>
              <w:rPr>
                <w:color w:val="000000"/>
                <w:spacing w:val="0"/>
                <w:w w:val="100"/>
                <w:position w:val="0"/>
                <w:sz w:val="22"/>
                <w:szCs w:val="22"/>
                <w:u w:val="single"/>
              </w:rPr>
              <w:t>月</w:t>
            </w:r>
            <w:r>
              <w:rPr>
                <w:rFonts w:ascii="Times New Roman" w:eastAsia="Times New Roman" w:hAnsi="Times New Roman" w:cs="Times New Roman"/>
                <w:color w:val="000000"/>
                <w:spacing w:val="0"/>
                <w:w w:val="100"/>
                <w:position w:val="0"/>
                <w:sz w:val="24"/>
                <w:szCs w:val="24"/>
                <w:u w:val="single"/>
              </w:rPr>
              <w:t>31</w:t>
            </w:r>
            <w:r>
              <w:rPr>
                <w:color w:val="000000"/>
                <w:spacing w:val="0"/>
                <w:w w:val="100"/>
                <w:position w:val="0"/>
                <w:sz w:val="22"/>
                <w:szCs w:val="22"/>
                <w:u w:val="single"/>
              </w:rPr>
              <w:t>日</w:t>
            </w:r>
          </w:p>
        </w:tc>
      </w:tr>
      <w:tr>
        <w:trPr>
          <w:trHeight w:val="48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库存股</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1,797,153,768</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2,204,755,281</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919,383,506</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3,082,525,543</w:t>
            </w:r>
          </w:p>
        </w:tc>
      </w:tr>
    </w:tbl>
    <w:p>
      <w:pPr>
        <w:pStyle w:val="Style5"/>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财务报表附注</w:t>
      </w:r>
    </w:p>
    <w:p>
      <w:pPr>
        <w:pStyle w:val="Style89"/>
        <w:keepNext w:val="0"/>
        <w:keepLines w:val="0"/>
        <w:widowControl w:val="0"/>
        <w:pBdr>
          <w:bottom w:val="single" w:sz="4" w:space="0" w:color="auto"/>
        </w:pBdr>
        <w:shd w:val="clear" w:color="auto" w:fill="auto"/>
        <w:bidi w:val="0"/>
        <w:spacing w:before="0" w:line="240" w:lineRule="auto"/>
        <w:ind w:left="0" w:right="0" w:firstLine="0"/>
        <w:jc w:val="lef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300" w:line="240" w:lineRule="auto"/>
        <w:ind w:left="0" w:right="0" w:firstLine="0"/>
        <w:jc w:val="left"/>
        <w:rPr>
          <w:sz w:val="22"/>
          <w:szCs w:val="22"/>
        </w:rPr>
      </w:pPr>
      <w:r>
        <w:rPr>
          <w:color w:val="000000"/>
          <w:spacing w:val="0"/>
          <w:w w:val="100"/>
          <w:position w:val="0"/>
          <w:sz w:val="22"/>
          <w:szCs w:val="22"/>
        </w:rPr>
        <w:t>十五、公司财务报表主要项目注释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tabs>
          <w:tab w:pos="720" w:val="left"/>
        </w:tabs>
        <w:bidi w:val="0"/>
        <w:spacing w:before="0" w:after="300" w:line="240" w:lineRule="auto"/>
        <w:ind w:left="0" w:right="0" w:firstLine="0"/>
        <w:jc w:val="left"/>
        <w:rPr>
          <w:sz w:val="22"/>
          <w:szCs w:val="22"/>
        </w:rPr>
      </w:pPr>
      <w:bookmarkStart w:id="1671" w:name="bookmark1671"/>
      <w:r>
        <w:rPr>
          <w:rFonts w:ascii="Times New Roman" w:eastAsia="Times New Roman" w:hAnsi="Times New Roman" w:cs="Times New Roman"/>
          <w:color w:val="000000"/>
          <w:spacing w:val="0"/>
          <w:w w:val="100"/>
          <w:position w:val="0"/>
          <w:sz w:val="24"/>
          <w:szCs w:val="24"/>
        </w:rPr>
        <w:t>7</w:t>
      </w:r>
      <w:bookmarkEnd w:id="1671"/>
      <w:r>
        <w:rPr>
          <w:color w:val="000000"/>
          <w:spacing w:val="0"/>
          <w:w w:val="100"/>
          <w:position w:val="0"/>
          <w:sz w:val="22"/>
          <w:szCs w:val="22"/>
        </w:rPr>
        <w:t>、</w:t>
        <w:tab/>
        <w:t>投资收益</w:t>
      </w:r>
    </w:p>
    <w:tbl>
      <w:tblPr>
        <w:tblOverlap w:val="never"/>
        <w:jc w:val="right"/>
        <w:tblLayout w:type="fixed"/>
      </w:tblPr>
      <w:tblGrid>
        <w:gridCol w:w="4747"/>
        <w:gridCol w:w="2990"/>
        <w:gridCol w:w="1675"/>
      </w:tblGrid>
      <w:tr>
        <w:trPr>
          <w:trHeight w:val="43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u w:val="single"/>
              </w:rPr>
              <w:t>2021</w:t>
            </w:r>
            <w:r>
              <w:rPr>
                <w:color w:val="000000"/>
                <w:spacing w:val="0"/>
                <w:w w:val="100"/>
                <w:position w:val="0"/>
                <w:sz w:val="22"/>
                <w:szCs w:val="22"/>
                <w:u w:val="single"/>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成本法核算的长期股权投资收益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3,818,047,532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1,989,721,584</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债权投资的利息收入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57,266,027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124,734,190</w:t>
            </w:r>
          </w:p>
        </w:tc>
      </w:tr>
      <w:tr>
        <w:trPr>
          <w:trHeight w:val="35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3,875,313,559</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2,114,455,774</w:t>
            </w:r>
          </w:p>
        </w:tc>
      </w:tr>
    </w:tbl>
    <w:p>
      <w:pPr>
        <w:widowControl w:val="0"/>
        <w:spacing w:after="219" w:line="1" w:lineRule="exact"/>
      </w:pPr>
    </w:p>
    <w:p>
      <w:pPr>
        <w:pStyle w:val="Style5"/>
        <w:keepNext w:val="0"/>
        <w:keepLines w:val="0"/>
        <w:widowControl w:val="0"/>
        <w:shd w:val="clear" w:color="auto" w:fill="auto"/>
        <w:bidi w:val="0"/>
        <w:spacing w:before="0" w:after="300" w:line="307" w:lineRule="exact"/>
        <w:ind w:left="720" w:right="0" w:firstLine="20"/>
        <w:jc w:val="left"/>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年度，予公司子公司联通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公司派发</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年度现金股利中归属于本公司的约人民 币</w:t>
      </w:r>
      <w:r>
        <w:rPr>
          <w:rFonts w:ascii="Times New Roman" w:eastAsia="Times New Roman" w:hAnsi="Times New Roman" w:cs="Times New Roman"/>
          <w:color w:val="000000"/>
          <w:spacing w:val="0"/>
          <w:w w:val="100"/>
          <w:position w:val="0"/>
          <w:sz w:val="24"/>
          <w:szCs w:val="24"/>
        </w:rPr>
        <w:t>38.18</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年：约人民币</w:t>
      </w:r>
      <w:r>
        <w:rPr>
          <w:rFonts w:ascii="Times New Roman" w:eastAsia="Times New Roman" w:hAnsi="Times New Roman" w:cs="Times New Roman"/>
          <w:color w:val="000000"/>
          <w:spacing w:val="0"/>
          <w:w w:val="100"/>
          <w:position w:val="0"/>
          <w:sz w:val="24"/>
          <w:szCs w:val="24"/>
        </w:rPr>
        <w:t>19.9</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p>
      <w:pPr>
        <w:pStyle w:val="Style5"/>
        <w:keepNext w:val="0"/>
        <w:keepLines w:val="0"/>
        <w:widowControl w:val="0"/>
        <w:shd w:val="clear" w:color="auto" w:fill="auto"/>
        <w:bidi w:val="0"/>
        <w:spacing w:before="0" w:after="300" w:line="240" w:lineRule="auto"/>
        <w:ind w:left="720" w:right="0" w:firstLine="20"/>
        <w:jc w:val="left"/>
        <w:rPr>
          <w:sz w:val="22"/>
          <w:szCs w:val="22"/>
        </w:rPr>
        <w:sectPr>
          <w:footnotePr>
            <w:pos w:val="pageBottom"/>
            <w:numFmt w:val="decimal"/>
            <w:numRestart w:val="continuous"/>
          </w:footnotePr>
          <w:type w:val="continuous"/>
          <w:pgSz w:w="11900" w:h="16840"/>
          <w:pgMar w:top="1599" w:right="565" w:bottom="1532" w:left="867" w:header="0" w:footer="3" w:gutter="0"/>
          <w:cols w:space="720"/>
          <w:noEndnote/>
          <w:rtlGutter w:val="0"/>
          <w:docGrid w:linePitch="360"/>
        </w:sectPr>
      </w:pPr>
      <w:r>
        <w:rPr>
          <w:color w:val="000000"/>
          <w:spacing w:val="0"/>
          <w:w w:val="100"/>
          <w:position w:val="0"/>
          <w:sz w:val="22"/>
          <w:szCs w:val="22"/>
        </w:rPr>
        <w:t>本公司不存在投资收益汇回的重大限制。</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财务报表补充资料</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6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60" w:line="240" w:lineRule="auto"/>
        <w:ind w:left="0" w:right="0" w:firstLine="660"/>
        <w:jc w:val="both"/>
        <w:rPr>
          <w:sz w:val="22"/>
          <w:szCs w:val="22"/>
        </w:rPr>
      </w:pPr>
      <w:r>
        <w:rPr>
          <w:color w:val="000000"/>
          <w:spacing w:val="0"/>
          <w:w w:val="100"/>
          <w:position w:val="0"/>
          <w:sz w:val="22"/>
          <w:szCs w:val="22"/>
        </w:rPr>
        <w:t>非经常性损益明细表</w:t>
      </w:r>
    </w:p>
    <w:p>
      <w:pPr>
        <w:pStyle w:val="Style25"/>
        <w:keepNext w:val="0"/>
        <w:keepLines w:val="0"/>
        <w:widowControl w:val="0"/>
        <w:shd w:val="clear" w:color="auto" w:fill="auto"/>
        <w:tabs>
          <w:tab w:pos="6859" w:val="lef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u w:val="single"/>
        </w:rPr>
        <w:t>(</w:t>
      </w:r>
      <w:r>
        <w:rPr>
          <w:color w:val="000000"/>
          <w:spacing w:val="0"/>
          <w:w w:val="100"/>
          <w:position w:val="0"/>
          <w:sz w:val="22"/>
          <w:szCs w:val="22"/>
          <w:u w:val="single"/>
        </w:rPr>
        <w:t>单位：人民币百万元</w:t>
      </w:r>
      <w:r>
        <w:rPr>
          <w:rFonts w:ascii="Times New Roman" w:eastAsia="Times New Roman" w:hAnsi="Times New Roman" w:cs="Times New Roman"/>
          <w:color w:val="000000"/>
          <w:spacing w:val="0"/>
          <w:w w:val="100"/>
          <w:position w:val="0"/>
          <w:sz w:val="24"/>
          <w:szCs w:val="24"/>
          <w:u w:val="single"/>
        </w:rPr>
        <w:t>)</w:t>
        <w:tab/>
        <w:t>2021</w:t>
      </w:r>
      <w:r>
        <w:rPr>
          <w:color w:val="000000"/>
          <w:spacing w:val="0"/>
          <w:w w:val="100"/>
          <w:position w:val="0"/>
          <w:sz w:val="22"/>
          <w:szCs w:val="22"/>
          <w:u w:val="single"/>
        </w:rPr>
        <w:t xml:space="preserve">年度 </w:t>
      </w:r>
      <w:r>
        <w:rPr>
          <w:rFonts w:ascii="Times New Roman" w:eastAsia="Times New Roman" w:hAnsi="Times New Roman" w:cs="Times New Roman"/>
          <w:color w:val="000000"/>
          <w:spacing w:val="0"/>
          <w:w w:val="100"/>
          <w:position w:val="0"/>
          <w:sz w:val="24"/>
          <w:szCs w:val="24"/>
          <w:u w:val="single"/>
        </w:rPr>
        <w:t>2020</w:t>
      </w:r>
      <w:r>
        <w:rPr>
          <w:color w:val="000000"/>
          <w:spacing w:val="0"/>
          <w:w w:val="100"/>
          <w:position w:val="0"/>
          <w:sz w:val="22"/>
          <w:szCs w:val="22"/>
          <w:u w:val="single"/>
        </w:rPr>
        <w:t>年度</w:t>
      </w:r>
    </w:p>
    <w:tbl>
      <w:tblPr>
        <w:tblOverlap w:val="never"/>
        <w:jc w:val="center"/>
        <w:tblLayout w:type="fixed"/>
      </w:tblPr>
      <w:tblGrid>
        <w:gridCol w:w="5698"/>
        <w:gridCol w:w="2654"/>
        <w:gridCol w:w="1094"/>
      </w:tblGrid>
      <w:tr>
        <w:trPr>
          <w:trHeight w:val="60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一营业外收入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color w:val="000000"/>
                <w:spacing w:val="0"/>
                <w:w w:val="100"/>
                <w:position w:val="0"/>
                <w:sz w:val="24"/>
                <w:szCs w:val="24"/>
              </w:rPr>
              <w:t>638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863</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其中：计入当期损益的政府补助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24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53</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22"/>
                <w:szCs w:val="22"/>
              </w:rPr>
            </w:pPr>
            <w:r>
              <w:rPr>
                <w:color w:val="000000"/>
                <w:spacing w:val="0"/>
                <w:w w:val="100"/>
                <w:position w:val="0"/>
                <w:sz w:val="22"/>
                <w:szCs w:val="22"/>
              </w:rPr>
              <w:t>其他营业外收入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color w:val="000000"/>
                <w:spacing w:val="0"/>
                <w:w w:val="100"/>
                <w:position w:val="0"/>
                <w:sz w:val="24"/>
                <w:szCs w:val="24"/>
              </w:rPr>
              <w:t>614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810</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一营业外支出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40" w:right="0" w:firstLine="0"/>
              <w:jc w:val="both"/>
              <w:rPr>
                <w:sz w:val="24"/>
                <w:szCs w:val="24"/>
              </w:rPr>
            </w:pPr>
            <w:r>
              <w:rPr>
                <w:rFonts w:ascii="Times New Roman" w:eastAsia="Times New Roman" w:hAnsi="Times New Roman" w:cs="Times New Roman"/>
                <w:color w:val="000000"/>
                <w:spacing w:val="0"/>
                <w:w w:val="100"/>
                <w:position w:val="0"/>
                <w:sz w:val="24"/>
                <w:szCs w:val="24"/>
              </w:rPr>
              <w:t>(526)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(494)</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一公允价值变动损益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154</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一资产处置损失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(3,523)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(2,258)</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40" w:right="0" w:firstLine="0"/>
              <w:jc w:val="both"/>
              <w:rPr>
                <w:sz w:val="24"/>
                <w:szCs w:val="24"/>
              </w:rPr>
            </w:pPr>
            <w:r>
              <w:rPr>
                <w:rFonts w:ascii="Times New Roman" w:eastAsia="Times New Roman" w:hAnsi="Times New Roman" w:cs="Times New Roman"/>
                <w:color w:val="000000"/>
                <w:spacing w:val="0"/>
                <w:w w:val="100"/>
                <w:position w:val="0"/>
                <w:sz w:val="24"/>
                <w:szCs w:val="24"/>
              </w:rPr>
              <w:t>2,997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1,909</w:t>
            </w: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一处置交易性金融资产取得的投资收益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14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62</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40" w:right="0" w:firstLine="0"/>
              <w:jc w:val="both"/>
              <w:rPr>
                <w:sz w:val="24"/>
                <w:szCs w:val="24"/>
              </w:rPr>
            </w:pPr>
            <w:r>
              <w:rPr>
                <w:rFonts w:ascii="Times New Roman" w:eastAsia="Times New Roman" w:hAnsi="Times New Roman" w:cs="Times New Roman"/>
                <w:color w:val="000000"/>
                <w:spacing w:val="0"/>
                <w:w w:val="100"/>
                <w:position w:val="0"/>
                <w:sz w:val="24"/>
                <w:szCs w:val="24"/>
              </w:rPr>
              <w:t>(439)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236</w:t>
            </w:r>
          </w:p>
        </w:tc>
      </w:tr>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一所得税影响数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color w:val="000000"/>
                <w:spacing w:val="0"/>
                <w:w w:val="100"/>
                <w:position w:val="0"/>
                <w:sz w:val="24"/>
                <w:szCs w:val="24"/>
              </w:rPr>
              <w:t>107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(74)</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40" w:right="0" w:firstLine="0"/>
              <w:jc w:val="both"/>
              <w:rPr>
                <w:sz w:val="24"/>
                <w:szCs w:val="24"/>
              </w:rPr>
            </w:pPr>
            <w:r>
              <w:rPr>
                <w:rFonts w:ascii="Times New Roman" w:eastAsia="Times New Roman" w:hAnsi="Times New Roman" w:cs="Times New Roman"/>
                <w:color w:val="000000"/>
                <w:spacing w:val="0"/>
                <w:w w:val="100"/>
                <w:position w:val="0"/>
                <w:sz w:val="24"/>
                <w:szCs w:val="24"/>
              </w:rPr>
              <w:t>(332)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162</w:t>
            </w:r>
          </w:p>
        </w:tc>
      </w:tr>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一少数股东损益的影响</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880" w:right="0" w:firstLine="0"/>
              <w:jc w:val="both"/>
              <w:rPr>
                <w:sz w:val="24"/>
                <w:szCs w:val="24"/>
              </w:rPr>
            </w:pPr>
            <w:r>
              <w:rPr>
                <w:rFonts w:ascii="Times New Roman" w:eastAsia="Times New Roman" w:hAnsi="Times New Roman" w:cs="Times New Roman"/>
                <w:color w:val="000000"/>
                <w:spacing w:val="0"/>
                <w:w w:val="100"/>
                <w:position w:val="0"/>
                <w:sz w:val="24"/>
                <w:szCs w:val="24"/>
              </w:rPr>
              <w:t>186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(91)</w:t>
            </w:r>
          </w:p>
        </w:tc>
      </w:tr>
      <w:tr>
        <w:trPr>
          <w:trHeight w:val="35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40" w:right="0" w:firstLine="0"/>
              <w:jc w:val="both"/>
              <w:rPr>
                <w:sz w:val="24"/>
                <w:szCs w:val="24"/>
              </w:rPr>
            </w:pPr>
            <w:r>
              <w:rPr>
                <w:rFonts w:ascii="Times New Roman" w:eastAsia="Times New Roman" w:hAnsi="Times New Roman" w:cs="Times New Roman"/>
                <w:color w:val="000000"/>
                <w:spacing w:val="0"/>
                <w:w w:val="100"/>
                <w:position w:val="0"/>
                <w:sz w:val="24"/>
                <w:szCs w:val="24"/>
                <w:u w:val="single"/>
              </w:rPr>
              <w:t>(146)</w:t>
            </w:r>
            <w:r>
              <w:rPr>
                <w:rFonts w:ascii="Times New Roman" w:eastAsia="Times New Roman" w:hAnsi="Times New Roman" w:cs="Times New Roman"/>
                <w:color w:val="000000"/>
                <w:spacing w:val="0"/>
                <w:w w:val="100"/>
                <w:position w:val="0"/>
                <w:sz w:val="24"/>
                <w:szCs w:val="24"/>
                <w:vertAlign w:val="subscript"/>
              </w:rPr>
              <w:t>=</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71</w:t>
            </w:r>
          </w:p>
        </w:tc>
      </w:tr>
    </w:tbl>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非经常性损益明细表编制基础</w:t>
      </w:r>
    </w:p>
    <w:p>
      <w:pPr>
        <w:widowControl w:val="0"/>
        <w:spacing w:after="259" w:line="1" w:lineRule="exact"/>
      </w:pPr>
    </w:p>
    <w:p>
      <w:pPr>
        <w:pStyle w:val="Style5"/>
        <w:keepNext w:val="0"/>
        <w:keepLines w:val="0"/>
        <w:widowControl w:val="0"/>
        <w:shd w:val="clear" w:color="auto" w:fill="auto"/>
        <w:bidi w:val="0"/>
        <w:spacing w:before="0" w:after="560" w:line="304" w:lineRule="exact"/>
        <w:ind w:left="660" w:right="0" w:firstLine="40"/>
        <w:jc w:val="left"/>
        <w:rPr>
          <w:sz w:val="22"/>
          <w:szCs w:val="22"/>
        </w:rPr>
      </w:pPr>
      <w:r>
        <w:rPr>
          <w:color w:val="000000"/>
          <w:spacing w:val="0"/>
          <w:w w:val="100"/>
          <w:position w:val="0"/>
          <w:sz w:val="22"/>
          <w:szCs w:val="22"/>
        </w:rPr>
        <w:t>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号</w:t>
      </w:r>
      <w:r>
        <w:rPr>
          <w:color w:val="000000"/>
          <w:spacing w:val="0"/>
          <w:w w:val="100"/>
          <w:position w:val="0"/>
          <w:sz w:val="24"/>
          <w:szCs w:val="24"/>
        </w:rPr>
        <w:t>一</w:t>
      </w:r>
      <w:r>
        <w:rPr>
          <w:color w:val="000000"/>
          <w:spacing w:val="0"/>
          <w:w w:val="100"/>
          <w:position w:val="0"/>
          <w:sz w:val="22"/>
          <w:szCs w:val="22"/>
        </w:rPr>
        <w:t>非经常性损益</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》的规定， 非经常性损益是指与公司正常经营业务无直接关系，以及虽与正常经营业务相关，但由于 其性质特殊和偶发性，影响报表使用人对公司经营业绩和盈利作出正确判断的各项交易和 事项产生的损益。</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净资产收益率及每股收益</w:t>
      </w:r>
    </w:p>
    <w:tbl>
      <w:tblPr>
        <w:tblOverlap w:val="never"/>
        <w:jc w:val="right"/>
        <w:tblLayout w:type="fixed"/>
      </w:tblPr>
      <w:tblGrid>
        <w:gridCol w:w="1474"/>
        <w:gridCol w:w="1339"/>
        <w:gridCol w:w="1339"/>
        <w:gridCol w:w="1334"/>
        <w:gridCol w:w="1339"/>
        <w:gridCol w:w="1339"/>
        <w:gridCol w:w="1277"/>
      </w:tblGrid>
      <w:tr>
        <w:trPr>
          <w:trHeight w:val="22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报告期利润</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加权平均净资产收益率</w:t>
            </w:r>
            <w:r>
              <w:rPr>
                <w:rFonts w:ascii="Times New Roman" w:eastAsia="Times New Roman" w:hAnsi="Times New Roman" w:cs="Times New Roman"/>
                <w:color w:val="000000"/>
                <w:spacing w:val="0"/>
                <w:w w:val="100"/>
                <w:position w:val="0"/>
                <w:sz w:val="16"/>
                <w:szCs w:val="16"/>
              </w:rPr>
              <w:t>(%)</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每股收益</w:t>
            </w:r>
          </w:p>
        </w:tc>
      </w:tr>
      <w:tr>
        <w:trPr>
          <w:trHeight w:val="216"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基本每股收益</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稀释每股收益</w:t>
            </w:r>
          </w:p>
        </w:tc>
      </w:tr>
      <w:tr>
        <w:trPr>
          <w:trHeight w:val="2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5"/>
                <w:szCs w:val="15"/>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5"/>
                <w:szCs w:val="15"/>
              </w:rPr>
              <w:t>年</w:t>
            </w:r>
          </w:p>
        </w:tc>
      </w:tr>
      <w:tr>
        <w:trPr>
          <w:trHeight w:val="61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归属于母公司</w:t>
            </w:r>
          </w:p>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普通股股东</w:t>
            </w:r>
          </w:p>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0.178</w:t>
            </w:r>
          </w:p>
        </w:tc>
      </w:tr>
      <w:tr>
        <w:trPr>
          <w:trHeight w:val="83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扣除非经常性</w:t>
            </w:r>
          </w:p>
          <w:p>
            <w:pPr>
              <w:pStyle w:val="Style22"/>
              <w:keepNext w:val="0"/>
              <w:keepLines w:val="0"/>
              <w:widowControl w:val="0"/>
              <w:shd w:val="clear" w:color="auto" w:fill="auto"/>
              <w:bidi w:val="0"/>
              <w:spacing w:before="0" w:after="0" w:line="202" w:lineRule="exact"/>
              <w:ind w:left="280" w:right="0" w:firstLine="0"/>
              <w:jc w:val="left"/>
              <w:rPr>
                <w:sz w:val="15"/>
                <w:szCs w:val="15"/>
              </w:rPr>
            </w:pPr>
            <w:r>
              <w:rPr>
                <w:color w:val="000000"/>
                <w:spacing w:val="0"/>
                <w:w w:val="100"/>
                <w:position w:val="0"/>
                <w:sz w:val="15"/>
                <w:szCs w:val="15"/>
              </w:rPr>
              <w:t>损益后归属于 母公司普通股 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4.27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3.68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0.176</w:t>
            </w:r>
          </w:p>
        </w:tc>
      </w:tr>
    </w:tbl>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上述财务指标的计算方法:</w:t>
      </w:r>
    </w:p>
    <w:p>
      <w:pPr>
        <w:widowControl w:val="0"/>
        <w:spacing w:after="259" w:line="1" w:lineRule="exact"/>
      </w:pPr>
    </w:p>
    <w:p>
      <w:pPr>
        <w:pStyle w:val="Style5"/>
        <w:keepNext w:val="0"/>
        <w:keepLines w:val="0"/>
        <w:widowControl w:val="0"/>
        <w:shd w:val="clear" w:color="auto" w:fill="auto"/>
        <w:bidi w:val="0"/>
        <w:spacing w:before="0" w:after="260" w:line="240" w:lineRule="auto"/>
        <w:ind w:left="0" w:right="0" w:firstLine="660"/>
        <w:jc w:val="both"/>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加权平均净资产收益率</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ROE)</w:t>
      </w:r>
      <w:r>
        <w:rPr>
          <w:color w:val="000000"/>
          <w:spacing w:val="0"/>
          <w:w w:val="100"/>
          <w:position w:val="0"/>
          <w:sz w:val="22"/>
          <w:szCs w:val="22"/>
        </w:rPr>
        <w:t>的计算公式如下：</w:t>
      </w:r>
    </w:p>
    <w:p>
      <w:pPr>
        <w:pStyle w:val="Style89"/>
        <w:keepNext w:val="0"/>
        <w:keepLines w:val="0"/>
        <w:widowControl w:val="0"/>
        <w:shd w:val="clear" w:color="auto" w:fill="auto"/>
        <w:bidi w:val="0"/>
        <w:spacing w:before="0" w:after="0" w:line="240" w:lineRule="auto"/>
        <w:ind w:left="4440" w:right="0" w:firstLine="0"/>
        <w:jc w:val="left"/>
      </w:pPr>
      <w:r>
        <w:rPr>
          <w:color w:val="000000"/>
          <w:spacing w:val="0"/>
          <w:w w:val="100"/>
          <w:position w:val="0"/>
          <w:sz w:val="24"/>
          <w:szCs w:val="24"/>
          <w:u w:val="none"/>
        </w:rPr>
        <w:t>P</w:t>
      </w:r>
    </w:p>
    <w:p>
      <w:pPr>
        <w:pStyle w:val="Style89"/>
        <w:keepNext w:val="0"/>
        <w:keepLines w:val="0"/>
        <w:widowControl w:val="0"/>
        <w:shd w:val="clear" w:color="auto" w:fill="auto"/>
        <w:tabs>
          <w:tab w:leader="hyphen" w:pos="7337" w:val="left"/>
        </w:tabs>
        <w:bidi w:val="0"/>
        <w:spacing w:before="0" w:after="0" w:line="228" w:lineRule="auto"/>
        <w:ind w:left="0" w:right="0" w:firstLine="660"/>
        <w:jc w:val="both"/>
      </w:pPr>
      <w:r>
        <w:rPr>
          <w:color w:val="000000"/>
          <w:spacing w:val="0"/>
          <w:w w:val="100"/>
          <w:position w:val="0"/>
          <w:sz w:val="24"/>
          <w:szCs w:val="24"/>
          <w:u w:val="none"/>
        </w:rPr>
        <w:t>ROE=</w:t>
      </w:r>
      <w:r>
        <w:rPr>
          <w:color w:val="000000"/>
          <w:spacing w:val="0"/>
          <w:w w:val="100"/>
          <w:position w:val="0"/>
          <w:sz w:val="24"/>
          <w:szCs w:val="24"/>
          <w:u w:val="none"/>
        </w:rPr>
        <w:tab/>
      </w:r>
    </w:p>
    <w:p>
      <w:pPr>
        <w:pStyle w:val="Style89"/>
        <w:keepNext w:val="0"/>
        <w:keepLines w:val="0"/>
        <w:widowControl w:val="0"/>
        <w:shd w:val="clear" w:color="auto" w:fill="auto"/>
        <w:bidi w:val="0"/>
        <w:spacing w:before="0" w:after="260" w:line="233" w:lineRule="auto"/>
        <w:ind w:left="0" w:right="0" w:firstLine="0"/>
        <w:jc w:val="center"/>
      </w:pPr>
      <w:r>
        <w:rPr>
          <w:color w:val="000000"/>
          <w:spacing w:val="0"/>
          <w:w w:val="100"/>
          <w:position w:val="0"/>
          <w:sz w:val="24"/>
          <w:szCs w:val="24"/>
          <w:u w:val="none"/>
        </w:rPr>
        <w:t>E0+NP-2+EixMi-M0-EjxMj-M0±EkxMk-M0</w:t>
      </w:r>
    </w:p>
    <w:p>
      <w:pPr>
        <w:pStyle w:val="Style5"/>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财务报表补充资料</w:t>
      </w:r>
    </w:p>
    <w:p>
      <w:pPr>
        <w:pStyle w:val="Style89"/>
        <w:keepNext w:val="0"/>
        <w:keepLines w:val="0"/>
        <w:widowControl w:val="0"/>
        <w:pBdr>
          <w:bottom w:val="single" w:sz="4" w:space="0" w:color="auto"/>
        </w:pBdr>
        <w:shd w:val="clear" w:color="auto" w:fill="auto"/>
        <w:bidi w:val="0"/>
        <w:spacing w:before="0" w:after="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60" w:line="312" w:lineRule="exact"/>
        <w:ind w:left="660" w:right="0" w:firstLine="0"/>
        <w:jc w:val="both"/>
        <w:rPr>
          <w:sz w:val="22"/>
          <w:szCs w:val="22"/>
        </w:rPr>
      </w:pPr>
      <w:r>
        <w:rPr>
          <w:color w:val="000000"/>
          <w:spacing w:val="0"/>
          <w:w w:val="100"/>
          <w:position w:val="0"/>
          <w:sz w:val="22"/>
          <w:szCs w:val="22"/>
        </w:rPr>
        <w:t>净资产收益率及每股收益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2" w:lineRule="exact"/>
        <w:ind w:left="660" w:right="0" w:firstLine="0"/>
        <w:jc w:val="both"/>
        <w:rPr>
          <w:sz w:val="22"/>
          <w:szCs w:val="22"/>
        </w:rPr>
      </w:pPr>
      <w:r>
        <w:rPr>
          <w:color w:val="000000"/>
          <w:spacing w:val="0"/>
          <w:w w:val="100"/>
          <w:position w:val="0"/>
          <w:sz w:val="22"/>
          <w:szCs w:val="22"/>
        </w:rPr>
        <w:t>上述财务指标的计算方法：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numPr>
          <w:ilvl w:val="0"/>
          <w:numId w:val="151"/>
        </w:numPr>
        <w:shd w:val="clear" w:color="auto" w:fill="auto"/>
        <w:tabs>
          <w:tab w:pos="1110" w:val="left"/>
        </w:tabs>
        <w:bidi w:val="0"/>
        <w:spacing w:before="0" w:after="260" w:line="312" w:lineRule="exact"/>
        <w:ind w:left="660" w:right="0" w:firstLine="0"/>
        <w:jc w:val="both"/>
        <w:rPr>
          <w:sz w:val="22"/>
          <w:szCs w:val="22"/>
        </w:rPr>
      </w:pPr>
      <w:bookmarkStart w:id="1672" w:name="bookmark1672"/>
      <w:bookmarkEnd w:id="1672"/>
      <w:r>
        <w:rPr>
          <w:color w:val="000000"/>
          <w:spacing w:val="0"/>
          <w:w w:val="100"/>
          <w:position w:val="0"/>
          <w:sz w:val="22"/>
          <w:szCs w:val="22"/>
        </w:rPr>
        <w:t>加权平均净资产收益率</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ROE)</w:t>
      </w:r>
      <w:r>
        <w:rPr>
          <w:color w:val="000000"/>
          <w:spacing w:val="0"/>
          <w:w w:val="100"/>
          <w:position w:val="0"/>
          <w:sz w:val="22"/>
          <w:szCs w:val="22"/>
        </w:rPr>
        <w:t>的计算公式如下：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300" w:line="310" w:lineRule="exact"/>
        <w:ind w:left="660" w:right="0" w:firstLine="0"/>
        <w:jc w:val="both"/>
        <w:rPr>
          <w:sz w:val="22"/>
          <w:szCs w:val="22"/>
        </w:rPr>
      </w:pPr>
      <w:r>
        <w:rPr>
          <w:color w:val="000000"/>
          <w:spacing w:val="0"/>
          <w:w w:val="100"/>
          <w:position w:val="0"/>
          <w:sz w:val="22"/>
          <w:szCs w:val="22"/>
        </w:rPr>
        <w:t>其中：</w:t>
      </w:r>
      <w:r>
        <w:rPr>
          <w:rFonts w:ascii="Times New Roman" w:eastAsia="Times New Roman" w:hAnsi="Times New Roman" w:cs="Times New Roman"/>
          <w:color w:val="000000"/>
          <w:spacing w:val="0"/>
          <w:w w:val="100"/>
          <w:position w:val="0"/>
          <w:sz w:val="24"/>
          <w:szCs w:val="24"/>
        </w:rPr>
        <w:t>P</w:t>
      </w:r>
      <w:r>
        <w:rPr>
          <w:color w:val="000000"/>
          <w:spacing w:val="0"/>
          <w:w w:val="100"/>
          <w:position w:val="0"/>
          <w:sz w:val="22"/>
          <w:szCs w:val="22"/>
        </w:rPr>
        <w:t>分别对应于归属于母公司普通股股东的净利润、扣除非经常性损益后归属于母公 司普通股股东的净利润；</w:t>
      </w:r>
      <w:r>
        <w:rPr>
          <w:rFonts w:ascii="Times New Roman" w:eastAsia="Times New Roman" w:hAnsi="Times New Roman" w:cs="Times New Roman"/>
          <w:color w:val="000000"/>
          <w:spacing w:val="0"/>
          <w:w w:val="100"/>
          <w:position w:val="0"/>
          <w:sz w:val="24"/>
          <w:szCs w:val="24"/>
        </w:rPr>
        <w:t>NP</w:t>
      </w:r>
      <w:r>
        <w:rPr>
          <w:color w:val="000000"/>
          <w:spacing w:val="0"/>
          <w:w w:val="100"/>
          <w:position w:val="0"/>
          <w:sz w:val="22"/>
          <w:szCs w:val="22"/>
        </w:rPr>
        <w:t>为归属于母公司普通股股东的净利润；</w:t>
      </w:r>
      <w:r>
        <w:rPr>
          <w:rFonts w:ascii="Times New Roman" w:eastAsia="Times New Roman" w:hAnsi="Times New Roman" w:cs="Times New Roman"/>
          <w:color w:val="000000"/>
          <w:spacing w:val="0"/>
          <w:w w:val="100"/>
          <w:position w:val="0"/>
          <w:sz w:val="24"/>
          <w:szCs w:val="24"/>
        </w:rPr>
        <w:t>E0</w:t>
      </w:r>
      <w:r>
        <w:rPr>
          <w:color w:val="000000"/>
          <w:spacing w:val="0"/>
          <w:w w:val="100"/>
          <w:position w:val="0"/>
          <w:sz w:val="22"/>
          <w:szCs w:val="22"/>
        </w:rPr>
        <w:t>为归属于母公司普 通股股东的年初净资产；</w:t>
      </w:r>
      <w:r>
        <w:rPr>
          <w:rFonts w:ascii="Times New Roman" w:eastAsia="Times New Roman" w:hAnsi="Times New Roman" w:cs="Times New Roman"/>
          <w:color w:val="000000"/>
          <w:spacing w:val="0"/>
          <w:w w:val="100"/>
          <w:position w:val="0"/>
          <w:sz w:val="24"/>
          <w:szCs w:val="24"/>
        </w:rPr>
        <w:t>Ei</w:t>
      </w:r>
      <w:r>
        <w:rPr>
          <w:color w:val="000000"/>
          <w:spacing w:val="0"/>
          <w:w w:val="100"/>
          <w:position w:val="0"/>
          <w:sz w:val="22"/>
          <w:szCs w:val="22"/>
        </w:rPr>
        <w:t>为报告期发行新股或债转股等新增的、归属于母公司普通股股 东的净资产；</w:t>
      </w:r>
      <w:r>
        <w:rPr>
          <w:rFonts w:ascii="Times New Roman" w:eastAsia="Times New Roman" w:hAnsi="Times New Roman" w:cs="Times New Roman"/>
          <w:color w:val="000000"/>
          <w:spacing w:val="0"/>
          <w:w w:val="100"/>
          <w:position w:val="0"/>
          <w:sz w:val="24"/>
          <w:szCs w:val="24"/>
        </w:rPr>
        <w:t>Ej</w:t>
      </w:r>
      <w:r>
        <w:rPr>
          <w:color w:val="000000"/>
          <w:spacing w:val="0"/>
          <w:w w:val="100"/>
          <w:position w:val="0"/>
          <w:sz w:val="22"/>
          <w:szCs w:val="22"/>
        </w:rPr>
        <w:t xml:space="preserve">为报告期回购或现金分红等减少的、归属于母公司普通股股东的净资产； </w:t>
      </w:r>
      <w:r>
        <w:rPr>
          <w:rFonts w:ascii="Times New Roman" w:eastAsia="Times New Roman" w:hAnsi="Times New Roman" w:cs="Times New Roman"/>
          <w:color w:val="000000"/>
          <w:spacing w:val="0"/>
          <w:w w:val="100"/>
          <w:position w:val="0"/>
          <w:sz w:val="24"/>
          <w:szCs w:val="24"/>
        </w:rPr>
        <w:t>M0</w:t>
      </w:r>
      <w:r>
        <w:rPr>
          <w:color w:val="000000"/>
          <w:spacing w:val="0"/>
          <w:w w:val="100"/>
          <w:position w:val="0"/>
          <w:sz w:val="22"/>
          <w:szCs w:val="22"/>
        </w:rPr>
        <w:t>为报告期月份数；</w:t>
      </w:r>
      <w:r>
        <w:rPr>
          <w:rFonts w:ascii="Times New Roman" w:eastAsia="Times New Roman" w:hAnsi="Times New Roman" w:cs="Times New Roman"/>
          <w:color w:val="000000"/>
          <w:spacing w:val="0"/>
          <w:w w:val="100"/>
          <w:position w:val="0"/>
          <w:sz w:val="24"/>
          <w:szCs w:val="24"/>
        </w:rPr>
        <w:t>Mi</w:t>
      </w:r>
      <w:r>
        <w:rPr>
          <w:color w:val="000000"/>
          <w:spacing w:val="0"/>
          <w:w w:val="100"/>
          <w:position w:val="0"/>
          <w:sz w:val="22"/>
          <w:szCs w:val="22"/>
        </w:rPr>
        <w:t>为新增净资产下一月份起至报告期年末的月份数；</w:t>
      </w:r>
      <w:r>
        <w:rPr>
          <w:rFonts w:ascii="Times New Roman" w:eastAsia="Times New Roman" w:hAnsi="Times New Roman" w:cs="Times New Roman"/>
          <w:color w:val="000000"/>
          <w:spacing w:val="0"/>
          <w:w w:val="100"/>
          <w:position w:val="0"/>
          <w:sz w:val="24"/>
          <w:szCs w:val="24"/>
        </w:rPr>
        <w:t>Mj</w:t>
      </w:r>
      <w:r>
        <w:rPr>
          <w:color w:val="000000"/>
          <w:spacing w:val="0"/>
          <w:w w:val="100"/>
          <w:position w:val="0"/>
          <w:sz w:val="22"/>
          <w:szCs w:val="22"/>
        </w:rPr>
        <w:t>为减少净资 产下一月份起至报告期年末的月份数；</w:t>
      </w:r>
      <w:r>
        <w:rPr>
          <w:rFonts w:ascii="Times New Roman" w:eastAsia="Times New Roman" w:hAnsi="Times New Roman" w:cs="Times New Roman"/>
          <w:color w:val="000000"/>
          <w:spacing w:val="0"/>
          <w:w w:val="100"/>
          <w:position w:val="0"/>
          <w:sz w:val="24"/>
          <w:szCs w:val="24"/>
        </w:rPr>
        <w:t>Ek</w:t>
      </w:r>
      <w:r>
        <w:rPr>
          <w:color w:val="000000"/>
          <w:spacing w:val="0"/>
          <w:w w:val="100"/>
          <w:position w:val="0"/>
          <w:sz w:val="22"/>
          <w:szCs w:val="22"/>
        </w:rPr>
        <w:t xml:space="preserve">为因其他交易或事项引起的净资产增减变动； </w:t>
      </w:r>
      <w:r>
        <w:rPr>
          <w:rFonts w:ascii="Times New Roman" w:eastAsia="Times New Roman" w:hAnsi="Times New Roman" w:cs="Times New Roman"/>
          <w:color w:val="000000"/>
          <w:spacing w:val="0"/>
          <w:w w:val="100"/>
          <w:position w:val="0"/>
          <w:sz w:val="24"/>
          <w:szCs w:val="24"/>
        </w:rPr>
        <w:t>Mk</w:t>
      </w:r>
      <w:r>
        <w:rPr>
          <w:color w:val="000000"/>
          <w:spacing w:val="0"/>
          <w:w w:val="100"/>
          <w:position w:val="0"/>
          <w:sz w:val="22"/>
          <w:szCs w:val="22"/>
        </w:rPr>
        <w:t>为发生其他净资产增减变动下一月份起至报告期年末的月份数。</w:t>
      </w:r>
    </w:p>
    <w:p>
      <w:pPr>
        <w:pStyle w:val="Style5"/>
        <w:keepNext w:val="0"/>
        <w:keepLines w:val="0"/>
        <w:widowControl w:val="0"/>
        <w:numPr>
          <w:ilvl w:val="0"/>
          <w:numId w:val="151"/>
        </w:numPr>
        <w:shd w:val="clear" w:color="auto" w:fill="auto"/>
        <w:tabs>
          <w:tab w:pos="1119" w:val="left"/>
        </w:tabs>
        <w:bidi w:val="0"/>
        <w:spacing w:before="0" w:after="260" w:line="271" w:lineRule="auto"/>
        <w:ind w:left="660" w:right="0" w:firstLine="0"/>
        <w:jc w:val="both"/>
        <w:rPr>
          <w:sz w:val="22"/>
          <w:szCs w:val="22"/>
        </w:rPr>
      </w:pPr>
      <w:bookmarkStart w:id="1673" w:name="bookmark1673"/>
      <w:bookmarkEnd w:id="1673"/>
      <w:r>
        <w:rPr>
          <w:color w:val="000000"/>
          <w:spacing w:val="0"/>
          <w:w w:val="100"/>
          <w:position w:val="0"/>
          <w:sz w:val="22"/>
          <w:szCs w:val="22"/>
        </w:rPr>
        <w:t>基本每股收益</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EPS)</w:t>
      </w:r>
      <w:r>
        <w:rPr>
          <w:color w:val="000000"/>
          <w:spacing w:val="0"/>
          <w:w w:val="100"/>
          <w:position w:val="0"/>
          <w:sz w:val="22"/>
          <w:szCs w:val="22"/>
        </w:rPr>
        <w:t>可参照如下公式计算：</w:t>
      </w:r>
    </w:p>
    <w:p>
      <w:pPr>
        <w:pStyle w:val="Style89"/>
        <w:keepNext w:val="0"/>
        <w:keepLines w:val="0"/>
        <w:widowControl w:val="0"/>
        <w:shd w:val="clear" w:color="auto" w:fill="auto"/>
        <w:bidi w:val="0"/>
        <w:spacing w:before="0" w:after="0" w:line="240" w:lineRule="auto"/>
        <w:ind w:left="4420" w:right="0" w:firstLine="0"/>
        <w:jc w:val="left"/>
      </w:pPr>
      <w:r>
        <w:rPr>
          <w:color w:val="000000"/>
          <w:spacing w:val="0"/>
          <w:w w:val="100"/>
          <w:position w:val="0"/>
          <w:sz w:val="24"/>
          <w:szCs w:val="24"/>
          <w:u w:val="none"/>
        </w:rPr>
        <w:t>P</w:t>
      </w:r>
    </w:p>
    <w:p>
      <w:pPr>
        <w:pStyle w:val="Style89"/>
        <w:keepNext w:val="0"/>
        <w:keepLines w:val="0"/>
        <w:widowControl w:val="0"/>
        <w:shd w:val="clear" w:color="auto" w:fill="auto"/>
        <w:tabs>
          <w:tab w:leader="hyphen" w:pos="7270" w:val="left"/>
        </w:tabs>
        <w:bidi w:val="0"/>
        <w:spacing w:before="0" w:after="0" w:line="240" w:lineRule="auto"/>
        <w:ind w:left="0" w:right="0" w:firstLine="660"/>
        <w:jc w:val="left"/>
      </w:pPr>
      <w:r>
        <w:rPr>
          <w:color w:val="000000"/>
          <w:spacing w:val="0"/>
          <w:w w:val="100"/>
          <w:position w:val="0"/>
          <w:sz w:val="24"/>
          <w:szCs w:val="24"/>
          <w:u w:val="none"/>
        </w:rPr>
        <w:t>EPS=</w:t>
      </w:r>
      <w:r>
        <w:rPr>
          <w:color w:val="000000"/>
          <w:spacing w:val="0"/>
          <w:w w:val="100"/>
          <w:position w:val="0"/>
          <w:sz w:val="24"/>
          <w:szCs w:val="24"/>
          <w:u w:val="none"/>
        </w:rPr>
        <w:tab/>
      </w:r>
    </w:p>
    <w:p>
      <w:pPr>
        <w:pStyle w:val="Style89"/>
        <w:keepNext w:val="0"/>
        <w:keepLines w:val="0"/>
        <w:widowControl w:val="0"/>
        <w:shd w:val="clear" w:color="auto" w:fill="auto"/>
        <w:bidi w:val="0"/>
        <w:spacing w:before="0" w:after="260" w:line="233" w:lineRule="auto"/>
        <w:ind w:left="2280" w:right="0" w:firstLine="0"/>
        <w:jc w:val="left"/>
      </w:pPr>
      <w:r>
        <w:rPr>
          <w:color w:val="000000"/>
          <w:spacing w:val="0"/>
          <w:w w:val="100"/>
          <w:position w:val="0"/>
          <w:sz w:val="24"/>
          <w:szCs w:val="24"/>
          <w:u w:val="none"/>
        </w:rPr>
        <w:t>S0+S1+SixMi+M0-SjxMj+M0-Sk</w:t>
      </w:r>
    </w:p>
    <w:p>
      <w:pPr>
        <w:pStyle w:val="Style5"/>
        <w:keepNext w:val="0"/>
        <w:keepLines w:val="0"/>
        <w:widowControl w:val="0"/>
        <w:shd w:val="clear" w:color="auto" w:fill="auto"/>
        <w:bidi w:val="0"/>
        <w:spacing w:before="0" w:after="260" w:line="312" w:lineRule="exact"/>
        <w:ind w:left="660" w:right="0" w:firstLine="0"/>
        <w:jc w:val="both"/>
        <w:rPr>
          <w:sz w:val="22"/>
          <w:szCs w:val="22"/>
        </w:rPr>
      </w:pPr>
      <w:r>
        <w:rPr>
          <w:color w:val="000000"/>
          <w:spacing w:val="0"/>
          <w:w w:val="100"/>
          <w:position w:val="0"/>
          <w:sz w:val="22"/>
          <w:szCs w:val="22"/>
        </w:rPr>
        <w:t>其中：</w:t>
      </w:r>
      <w:r>
        <w:rPr>
          <w:rFonts w:ascii="Times New Roman" w:eastAsia="Times New Roman" w:hAnsi="Times New Roman" w:cs="Times New Roman"/>
          <w:color w:val="000000"/>
          <w:spacing w:val="0"/>
          <w:w w:val="100"/>
          <w:position w:val="0"/>
          <w:sz w:val="24"/>
          <w:szCs w:val="24"/>
        </w:rPr>
        <w:t>P</w:t>
      </w:r>
      <w:r>
        <w:rPr>
          <w:color w:val="000000"/>
          <w:spacing w:val="0"/>
          <w:w w:val="100"/>
          <w:position w:val="0"/>
          <w:sz w:val="22"/>
          <w:szCs w:val="22"/>
        </w:rPr>
        <w:t>为归属于母公司普通股股东的净利润或扣除非经常性损益后归属于母公司普通股 股东的净利润；</w:t>
      </w:r>
      <w:r>
        <w:rPr>
          <w:rFonts w:ascii="Times New Roman" w:eastAsia="Times New Roman" w:hAnsi="Times New Roman" w:cs="Times New Roman"/>
          <w:color w:val="000000"/>
          <w:spacing w:val="0"/>
          <w:w w:val="100"/>
          <w:position w:val="0"/>
          <w:sz w:val="24"/>
          <w:szCs w:val="24"/>
        </w:rPr>
        <w:t>S</w:t>
      </w:r>
      <w:r>
        <w:rPr>
          <w:color w:val="000000"/>
          <w:spacing w:val="0"/>
          <w:w w:val="100"/>
          <w:position w:val="0"/>
          <w:sz w:val="22"/>
          <w:szCs w:val="22"/>
        </w:rPr>
        <w:t>为发行在外的普通股加权平均数；</w:t>
      </w:r>
      <w:r>
        <w:rPr>
          <w:rFonts w:ascii="Times New Roman" w:eastAsia="Times New Roman" w:hAnsi="Times New Roman" w:cs="Times New Roman"/>
          <w:color w:val="000000"/>
          <w:spacing w:val="0"/>
          <w:w w:val="100"/>
          <w:position w:val="0"/>
          <w:sz w:val="24"/>
          <w:szCs w:val="24"/>
        </w:rPr>
        <w:t>S0</w:t>
      </w:r>
      <w:r>
        <w:rPr>
          <w:color w:val="000000"/>
          <w:spacing w:val="0"/>
          <w:w w:val="100"/>
          <w:position w:val="0"/>
          <w:sz w:val="22"/>
          <w:szCs w:val="22"/>
        </w:rPr>
        <w:t>为年初股份总数；</w:t>
      </w:r>
      <w:r>
        <w:rPr>
          <w:rFonts w:ascii="Times New Roman" w:eastAsia="Times New Roman" w:hAnsi="Times New Roman" w:cs="Times New Roman"/>
          <w:color w:val="000000"/>
          <w:spacing w:val="0"/>
          <w:w w:val="100"/>
          <w:position w:val="0"/>
          <w:sz w:val="24"/>
          <w:szCs w:val="24"/>
        </w:rPr>
        <w:t>S1</w:t>
      </w:r>
      <w:r>
        <w:rPr>
          <w:color w:val="000000"/>
          <w:spacing w:val="0"/>
          <w:w w:val="100"/>
          <w:position w:val="0"/>
          <w:sz w:val="22"/>
          <w:szCs w:val="22"/>
        </w:rPr>
        <w:t>为报告期因公 积金转增股本或股票股利分配等增加股份数；</w:t>
      </w:r>
      <w:r>
        <w:rPr>
          <w:rFonts w:ascii="Times New Roman" w:eastAsia="Times New Roman" w:hAnsi="Times New Roman" w:cs="Times New Roman"/>
          <w:color w:val="000000"/>
          <w:spacing w:val="0"/>
          <w:w w:val="100"/>
          <w:position w:val="0"/>
          <w:sz w:val="24"/>
          <w:szCs w:val="24"/>
        </w:rPr>
        <w:t>Si</w:t>
      </w:r>
      <w:r>
        <w:rPr>
          <w:color w:val="000000"/>
          <w:spacing w:val="0"/>
          <w:w w:val="100"/>
          <w:position w:val="0"/>
          <w:sz w:val="22"/>
          <w:szCs w:val="22"/>
        </w:rPr>
        <w:t>为报告期因发行新股或债转股等增加股份 数；</w:t>
      </w:r>
      <w:r>
        <w:rPr>
          <w:rFonts w:ascii="Times New Roman" w:eastAsia="Times New Roman" w:hAnsi="Times New Roman" w:cs="Times New Roman"/>
          <w:color w:val="000000"/>
          <w:spacing w:val="0"/>
          <w:w w:val="100"/>
          <w:position w:val="0"/>
          <w:sz w:val="24"/>
          <w:szCs w:val="24"/>
        </w:rPr>
        <w:t>Sj</w:t>
      </w:r>
      <w:r>
        <w:rPr>
          <w:color w:val="000000"/>
          <w:spacing w:val="0"/>
          <w:w w:val="100"/>
          <w:position w:val="0"/>
          <w:sz w:val="22"/>
          <w:szCs w:val="22"/>
        </w:rPr>
        <w:t>为报告期因回购等减少股份数；</w:t>
      </w:r>
      <w:r>
        <w:rPr>
          <w:rFonts w:ascii="Times New Roman" w:eastAsia="Times New Roman" w:hAnsi="Times New Roman" w:cs="Times New Roman"/>
          <w:color w:val="000000"/>
          <w:spacing w:val="0"/>
          <w:w w:val="100"/>
          <w:position w:val="0"/>
          <w:sz w:val="24"/>
          <w:szCs w:val="24"/>
        </w:rPr>
        <w:t>Sk</w:t>
      </w:r>
      <w:r>
        <w:rPr>
          <w:color w:val="000000"/>
          <w:spacing w:val="0"/>
          <w:w w:val="100"/>
          <w:position w:val="0"/>
          <w:sz w:val="22"/>
          <w:szCs w:val="22"/>
        </w:rPr>
        <w:t>为报告期缩股数；</w:t>
      </w:r>
      <w:r>
        <w:rPr>
          <w:rFonts w:ascii="Times New Roman" w:eastAsia="Times New Roman" w:hAnsi="Times New Roman" w:cs="Times New Roman"/>
          <w:color w:val="000000"/>
          <w:spacing w:val="0"/>
          <w:w w:val="100"/>
          <w:position w:val="0"/>
          <w:sz w:val="24"/>
          <w:szCs w:val="24"/>
        </w:rPr>
        <w:t>M0</w:t>
      </w:r>
      <w:r>
        <w:rPr>
          <w:color w:val="000000"/>
          <w:spacing w:val="0"/>
          <w:w w:val="100"/>
          <w:position w:val="0"/>
          <w:sz w:val="22"/>
          <w:szCs w:val="22"/>
        </w:rPr>
        <w:t>为报告期月份数；</w:t>
      </w:r>
      <w:r>
        <w:rPr>
          <w:rFonts w:ascii="Times New Roman" w:eastAsia="Times New Roman" w:hAnsi="Times New Roman" w:cs="Times New Roman"/>
          <w:color w:val="000000"/>
          <w:spacing w:val="0"/>
          <w:w w:val="100"/>
          <w:position w:val="0"/>
          <w:sz w:val="24"/>
          <w:szCs w:val="24"/>
        </w:rPr>
        <w:t>Mi</w:t>
      </w:r>
      <w:r>
        <w:rPr>
          <w:color w:val="000000"/>
          <w:spacing w:val="0"/>
          <w:w w:val="100"/>
          <w:position w:val="0"/>
          <w:sz w:val="22"/>
          <w:szCs w:val="22"/>
        </w:rPr>
        <w:t>为增 加股份下一月份起至报告期年末的月份数；</w:t>
      </w:r>
      <w:r>
        <w:rPr>
          <w:rFonts w:ascii="Times New Roman" w:eastAsia="Times New Roman" w:hAnsi="Times New Roman" w:cs="Times New Roman"/>
          <w:color w:val="000000"/>
          <w:spacing w:val="0"/>
          <w:w w:val="100"/>
          <w:position w:val="0"/>
          <w:sz w:val="24"/>
          <w:szCs w:val="24"/>
        </w:rPr>
        <w:t>Mj</w:t>
      </w:r>
      <w:r>
        <w:rPr>
          <w:color w:val="000000"/>
          <w:spacing w:val="0"/>
          <w:w w:val="100"/>
          <w:position w:val="0"/>
          <w:sz w:val="22"/>
          <w:szCs w:val="22"/>
        </w:rPr>
        <w:t>为减少股份下一月份起至报告期年末的月份 数。</w:t>
      </w:r>
    </w:p>
    <w:p>
      <w:pPr>
        <w:pStyle w:val="Style5"/>
        <w:keepNext w:val="0"/>
        <w:keepLines w:val="0"/>
        <w:widowControl w:val="0"/>
        <w:numPr>
          <w:ilvl w:val="0"/>
          <w:numId w:val="151"/>
        </w:numPr>
        <w:shd w:val="clear" w:color="auto" w:fill="auto"/>
        <w:tabs>
          <w:tab w:pos="1119" w:val="left"/>
        </w:tabs>
        <w:bidi w:val="0"/>
        <w:spacing w:before="0" w:after="260" w:line="312" w:lineRule="exact"/>
        <w:ind w:left="660" w:right="0" w:firstLine="0"/>
        <w:jc w:val="both"/>
        <w:rPr>
          <w:sz w:val="22"/>
          <w:szCs w:val="22"/>
        </w:rPr>
      </w:pPr>
      <w:bookmarkStart w:id="1674" w:name="bookmark1674"/>
      <w:bookmarkEnd w:id="1674"/>
      <w:r>
        <w:rPr>
          <w:color w:val="000000"/>
          <w:spacing w:val="0"/>
          <w:w w:val="100"/>
          <w:position w:val="0"/>
          <w:sz w:val="22"/>
          <w:szCs w:val="22"/>
        </w:rPr>
        <w:t>稀释每股收益的计算公式参照如下如下公式计算：</w:t>
      </w:r>
    </w:p>
    <w:p>
      <w:pPr>
        <w:pStyle w:val="Style5"/>
        <w:keepNext w:val="0"/>
        <w:keepLines w:val="0"/>
        <w:widowControl w:val="0"/>
        <w:shd w:val="clear" w:color="auto" w:fill="auto"/>
        <w:bidi w:val="0"/>
        <w:spacing w:before="0" w:after="260" w:line="312" w:lineRule="exact"/>
        <w:ind w:left="660" w:right="0" w:firstLine="0"/>
        <w:jc w:val="both"/>
        <w:rPr>
          <w:sz w:val="22"/>
          <w:szCs w:val="22"/>
        </w:rPr>
      </w:pPr>
      <w:r>
        <w:rPr>
          <w:color w:val="000000"/>
          <w:spacing w:val="0"/>
          <w:w w:val="100"/>
          <w:position w:val="0"/>
          <w:sz w:val="22"/>
          <w:szCs w:val="22"/>
        </w:rPr>
        <w:t>母公司存在稀释性潜在普通股的，应当分别调整归属于普通股股东的报告期净利润和发行 在外普通股加权平均数，并据以计算稀释每股收益。在发行可转换债券、股份期权、认证 股权等稀释性潜在普通股情况下，稀释每股收益可参照如下公式计算：</w:t>
      </w:r>
    </w:p>
    <w:p>
      <w:pPr>
        <w:pStyle w:val="Style5"/>
        <w:keepNext w:val="0"/>
        <w:keepLines w:val="0"/>
        <w:widowControl w:val="0"/>
        <w:shd w:val="clear" w:color="auto" w:fill="auto"/>
        <w:bidi w:val="0"/>
        <w:spacing w:before="0" w:after="0" w:line="312" w:lineRule="exact"/>
        <w:ind w:left="660" w:right="0" w:firstLine="0"/>
        <w:jc w:val="both"/>
        <w:rPr>
          <w:sz w:val="22"/>
          <w:szCs w:val="22"/>
        </w:rPr>
      </w:pPr>
      <w:r>
        <w:rPr>
          <w:color w:val="000000"/>
          <w:spacing w:val="0"/>
          <w:w w:val="100"/>
          <w:position w:val="0"/>
          <w:sz w:val="22"/>
          <w:szCs w:val="22"/>
        </w:rPr>
        <w:t>稀释每股收益</w:t>
      </w:r>
      <w:r>
        <w:rPr>
          <w:rFonts w:ascii="Times New Roman" w:eastAsia="Times New Roman" w:hAnsi="Times New Roman" w:cs="Times New Roman"/>
          <w:color w:val="000000"/>
          <w:spacing w:val="0"/>
          <w:w w:val="100"/>
          <w:position w:val="0"/>
          <w:sz w:val="24"/>
          <w:szCs w:val="24"/>
        </w:rPr>
        <w:t>=P+</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已确认为费用的稀释性潜在普通股利息转换费用</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x(1</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所得税</w:t>
      </w:r>
    </w:p>
    <w:p>
      <w:pPr>
        <w:pStyle w:val="Style89"/>
        <w:keepNext w:val="0"/>
        <w:keepLines w:val="0"/>
        <w:widowControl w:val="0"/>
        <w:shd w:val="clear" w:color="auto" w:fill="auto"/>
        <w:bidi w:val="0"/>
        <w:spacing w:before="0" w:after="260" w:line="312" w:lineRule="exact"/>
        <w:ind w:left="660" w:right="0" w:firstLine="0"/>
        <w:jc w:val="both"/>
      </w:pPr>
      <w:r>
        <w:rPr>
          <w:rFonts w:ascii="SimSun" w:eastAsia="SimSun" w:hAnsi="SimSun" w:cs="SimSun"/>
          <w:color w:val="000000"/>
          <w:spacing w:val="0"/>
          <w:w w:val="100"/>
          <w:position w:val="0"/>
          <w:sz w:val="22"/>
          <w:szCs w:val="22"/>
          <w:u w:val="none"/>
        </w:rPr>
        <w:t>率</w:t>
      </w:r>
      <w:r>
        <w:rPr>
          <w:color w:val="000000"/>
          <w:spacing w:val="0"/>
          <w:w w:val="100"/>
          <w:position w:val="0"/>
          <w:sz w:val="24"/>
          <w:szCs w:val="24"/>
          <w:u w:val="none"/>
        </w:rPr>
        <w:t>)]</w:t>
      </w:r>
      <w:r>
        <w:rPr>
          <w:color w:val="000000"/>
          <w:spacing w:val="0"/>
          <w:w w:val="100"/>
          <w:position w:val="0"/>
          <w:sz w:val="24"/>
          <w:szCs w:val="24"/>
          <w:u w:val="none"/>
        </w:rPr>
        <w:t>/(S0+S1+SixMi+M0-SjxMj-M0-Sk+</w:t>
      </w:r>
      <w:r>
        <w:rPr>
          <w:rFonts w:ascii="SimSun" w:eastAsia="SimSun" w:hAnsi="SimSun" w:cs="SimSun"/>
          <w:color w:val="000000"/>
          <w:spacing w:val="0"/>
          <w:w w:val="100"/>
          <w:position w:val="0"/>
          <w:sz w:val="22"/>
          <w:szCs w:val="22"/>
          <w:u w:val="none"/>
        </w:rPr>
        <w:t>认股权证、股份期权、可转换债券等增加的普通股 加权平均数</w:t>
      </w:r>
      <w:r>
        <w:rPr>
          <w:color w:val="000000"/>
          <w:spacing w:val="0"/>
          <w:w w:val="100"/>
          <w:position w:val="0"/>
          <w:sz w:val="24"/>
          <w:szCs w:val="24"/>
          <w:u w:val="none"/>
        </w:rPr>
        <w:t>)</w:t>
      </w:r>
    </w:p>
    <w:p>
      <w:pPr>
        <w:pStyle w:val="Style5"/>
        <w:keepNext w:val="0"/>
        <w:keepLines w:val="0"/>
        <w:widowControl w:val="0"/>
        <w:shd w:val="clear" w:color="auto" w:fill="auto"/>
        <w:bidi w:val="0"/>
        <w:spacing w:before="0" w:after="260" w:line="312" w:lineRule="exact"/>
        <w:ind w:left="660" w:right="0" w:firstLine="0"/>
        <w:jc w:val="both"/>
        <w:rPr>
          <w:sz w:val="22"/>
          <w:szCs w:val="22"/>
        </w:rPr>
      </w:pPr>
      <w:r>
        <w:rPr>
          <w:color w:val="000000"/>
          <w:spacing w:val="0"/>
          <w:w w:val="100"/>
          <w:position w:val="0"/>
          <w:sz w:val="22"/>
          <w:szCs w:val="22"/>
        </w:rPr>
        <w:t>其中，</w:t>
      </w:r>
      <w:r>
        <w:rPr>
          <w:rFonts w:ascii="Times New Roman" w:eastAsia="Times New Roman" w:hAnsi="Times New Roman" w:cs="Times New Roman"/>
          <w:color w:val="000000"/>
          <w:spacing w:val="0"/>
          <w:w w:val="100"/>
          <w:position w:val="0"/>
          <w:sz w:val="24"/>
          <w:szCs w:val="24"/>
        </w:rPr>
        <w:t>P</w:t>
      </w:r>
      <w:r>
        <w:rPr>
          <w:color w:val="000000"/>
          <w:spacing w:val="0"/>
          <w:w w:val="100"/>
          <w:position w:val="0"/>
          <w:sz w:val="22"/>
          <w:szCs w:val="22"/>
        </w:rPr>
        <w:t>为归属于母公司普通股股东的净利润或扣除非经常性损益后归属于母公司普通股 股东的净利润。母公司在计算稀释每股收益时，应考虑所有稀释性潜在普通股的影响，直 至稀释每股收益达到最小。对于子公司发行能够转换成其普通股的稀释性潜在普通股，不 仅应当包括在其稀释每股收益的计算中，而且还应当包括在合并稀释每股收益的计算中。</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财务报表补充资料</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8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bidi w:val="0"/>
        <w:spacing w:before="0" w:after="260" w:line="240" w:lineRule="auto"/>
        <w:ind w:left="0" w:right="0" w:firstLine="0"/>
        <w:jc w:val="both"/>
        <w:rPr>
          <w:sz w:val="22"/>
          <w:szCs w:val="22"/>
        </w:rPr>
      </w:pPr>
      <w:r>
        <w:rPr>
          <w:color w:val="000000"/>
          <w:spacing w:val="0"/>
          <w:w w:val="100"/>
          <w:position w:val="0"/>
          <w:sz w:val="22"/>
          <w:szCs w:val="22"/>
        </w:rPr>
        <w:t>三、财务报表差异调节表</w:t>
      </w:r>
    </w:p>
    <w:p>
      <w:pPr>
        <w:pStyle w:val="Style5"/>
        <w:keepNext w:val="0"/>
        <w:keepLines w:val="0"/>
        <w:widowControl w:val="0"/>
        <w:shd w:val="clear" w:color="auto" w:fill="auto"/>
        <w:bidi w:val="0"/>
        <w:spacing w:before="0" w:after="260" w:line="314" w:lineRule="exact"/>
        <w:ind w:left="720" w:right="0" w:firstLine="0"/>
        <w:jc w:val="both"/>
        <w:rPr>
          <w:sz w:val="22"/>
          <w:szCs w:val="22"/>
        </w:rPr>
      </w:pPr>
      <w:r>
        <w:rPr>
          <w:color w:val="000000"/>
          <w:spacing w:val="0"/>
          <w:w w:val="100"/>
          <w:position w:val="0"/>
          <w:sz w:val="22"/>
          <w:szCs w:val="22"/>
        </w:rPr>
        <w:t>鉴于公司的特殊架构，即通过中国联通</w:t>
      </w:r>
      <w:r>
        <w:rPr>
          <w:rFonts w:ascii="Times New Roman" w:eastAsia="Times New Roman" w:hAnsi="Times New Roman" w:cs="Times New Roman"/>
          <w:color w:val="000000"/>
          <w:spacing w:val="0"/>
          <w:w w:val="100"/>
          <w:position w:val="0"/>
          <w:sz w:val="24"/>
          <w:szCs w:val="24"/>
        </w:rPr>
        <w:t>（BVI</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联通</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间接持有中国联合 网络通信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联通红筹公司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的股权，联通红筹公司为在香港注册的有限 公司。联通红筹公司按照香港财务报告准则编制了截至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日止年度财务报 告，并已经德勤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关黄陈方会计师行审计，本集团按照中华人民共和国财政部颁布的企业会 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的规定编制合并财务报表，在适用中国会计准则前境内外会计准 则仍存在差异。自</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2"/>
          <w:szCs w:val="22"/>
        </w:rPr>
        <w:t>年采用中国会计准则后，无新增重大会计准则差异。该等准则差 异对本集团净利润和净资产的影响列示如下：</w:t>
      </w:r>
    </w:p>
    <w:p>
      <w:pPr>
        <w:pStyle w:val="Style25"/>
        <w:keepNext w:val="0"/>
        <w:keepLines w:val="0"/>
        <w:widowControl w:val="0"/>
        <w:shd w:val="clear" w:color="auto" w:fill="auto"/>
        <w:tabs>
          <w:tab w:pos="6250" w:val="left"/>
          <w:tab w:leader="underscore" w:pos="8198"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8"/>
          <w:szCs w:val="18"/>
          <w:u w:val="single"/>
        </w:rPr>
        <w:t>单位：人民币百万元</w:t>
      </w:r>
      <w:r>
        <w:rPr>
          <w:rFonts w:ascii="Times New Roman" w:eastAsia="Times New Roman" w:hAnsi="Times New Roman" w:cs="Times New Roman"/>
          <w:color w:val="000000"/>
          <w:spacing w:val="0"/>
          <w:w w:val="100"/>
          <w:position w:val="0"/>
          <w:sz w:val="18"/>
          <w:szCs w:val="18"/>
          <w:u w:val="single"/>
        </w:rPr>
        <w:t>）</w:t>
        <w:tab/>
      </w:r>
      <w:r>
        <w:rPr>
          <w:color w:val="000000"/>
          <w:spacing w:val="0"/>
          <w:w w:val="100"/>
          <w:position w:val="0"/>
          <w:sz w:val="18"/>
          <w:szCs w:val="18"/>
          <w:u w:val="single"/>
        </w:rPr>
        <w:t>净利润</w:t>
      </w:r>
      <w:r>
        <w:rPr>
          <w:color w:val="000000"/>
          <w:spacing w:val="0"/>
          <w:w w:val="100"/>
          <w:position w:val="0"/>
          <w:sz w:val="18"/>
          <w:szCs w:val="18"/>
        </w:rPr>
        <w:tab/>
      </w:r>
      <w:r>
        <w:rPr>
          <w:color w:val="000000"/>
          <w:spacing w:val="0"/>
          <w:w w:val="100"/>
          <w:position w:val="0"/>
          <w:sz w:val="18"/>
          <w:szCs w:val="18"/>
          <w:u w:val="single"/>
        </w:rPr>
        <w:t>净资产</w:t>
      </w:r>
    </w:p>
    <w:tbl>
      <w:tblPr>
        <w:tblOverlap w:val="never"/>
        <w:jc w:val="right"/>
        <w:tblLayout w:type="fixed"/>
      </w:tblPr>
      <w:tblGrid>
        <w:gridCol w:w="4949"/>
        <w:gridCol w:w="662"/>
        <w:gridCol w:w="989"/>
        <w:gridCol w:w="893"/>
        <w:gridCol w:w="974"/>
        <w:gridCol w:w="946"/>
      </w:tblGrid>
      <w:tr>
        <w:trPr>
          <w:trHeight w:val="59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项目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注释</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u w:val="single"/>
              </w:rPr>
              <w:t xml:space="preserve">2021 </w:t>
            </w:r>
            <w:r>
              <w:rPr>
                <w:color w:val="000000"/>
                <w:spacing w:val="0"/>
                <w:w w:val="100"/>
                <w:position w:val="0"/>
                <w:sz w:val="18"/>
                <w:szCs w:val="18"/>
                <w:u w:val="single"/>
              </w:rPr>
              <w:t>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u w:val="single"/>
              </w:rPr>
              <w:t xml:space="preserve">2020 </w:t>
            </w:r>
            <w:r>
              <w:rPr>
                <w:color w:val="000000"/>
                <w:spacing w:val="0"/>
                <w:w w:val="100"/>
                <w:position w:val="0"/>
                <w:sz w:val="18"/>
                <w:szCs w:val="18"/>
                <w:u w:val="single"/>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sz w:val="18"/>
                <w:szCs w:val="18"/>
                <w:u w:val="single"/>
              </w:rPr>
              <w:t>月</w:t>
            </w: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sz w:val="18"/>
                <w:szCs w:val="18"/>
                <w:u w:val="single"/>
              </w:rPr>
              <w:t>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sz w:val="18"/>
                <w:szCs w:val="18"/>
                <w:u w:val="single"/>
              </w:rPr>
              <w:t>月</w:t>
            </w: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sz w:val="18"/>
                <w:szCs w:val="18"/>
                <w:u w:val="single"/>
              </w:rPr>
              <w:t>日</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本集团中国会计准则下的净利润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14,416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336,210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331,474</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：本公司及联通</w:t>
            </w:r>
            <w:r>
              <w:rPr>
                <w:rFonts w:ascii="Times New Roman" w:eastAsia="Times New Roman" w:hAnsi="Times New Roman" w:cs="Times New Roman"/>
                <w:color w:val="000000"/>
                <w:spacing w:val="0"/>
                <w:w w:val="100"/>
                <w:position w:val="0"/>
                <w:sz w:val="18"/>
                <w:szCs w:val="18"/>
              </w:rPr>
              <w:t>BVI</w:t>
            </w:r>
            <w:r>
              <w:rPr>
                <w:color w:val="000000"/>
                <w:spacing w:val="0"/>
                <w:w w:val="100"/>
                <w:position w:val="0"/>
                <w:sz w:val="18"/>
                <w:szCs w:val="18"/>
              </w:rPr>
              <w:t>公司发生的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累计发生的</w:t>
            </w:r>
            <w:r>
              <w:rPr>
                <w:color w:val="000000"/>
                <w:spacing w:val="0"/>
                <w:w w:val="100"/>
                <w:position w:val="0"/>
                <w:sz w:val="18"/>
                <w:szCs w:val="18"/>
              </w:rPr>
              <w:t>）</w:t>
            </w:r>
          </w:p>
        </w:tc>
        <w:tc>
          <w:tcPr>
            <w:gridSpan w:val="5"/>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本公司累计宣派股利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18,389</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减：本公司其他四家发起单位注资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申购资金于冻结期间的利息收入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联通</w:t>
            </w:r>
            <w:r>
              <w:rPr>
                <w:rFonts w:ascii="Times New Roman" w:eastAsia="Times New Roman" w:hAnsi="Times New Roman" w:cs="Times New Roman"/>
                <w:color w:val="000000"/>
                <w:spacing w:val="0"/>
                <w:w w:val="100"/>
                <w:position w:val="0"/>
                <w:sz w:val="18"/>
                <w:szCs w:val="18"/>
              </w:rPr>
              <w:t>BVI</w:t>
            </w:r>
            <w:r>
              <w:rPr>
                <w:color w:val="000000"/>
                <w:spacing w:val="0"/>
                <w:w w:val="100"/>
                <w:position w:val="0"/>
                <w:sz w:val="18"/>
                <w:szCs w:val="18"/>
              </w:rPr>
              <w:t>公司宣派股利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(20,039)</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联通</w:t>
            </w:r>
            <w:r>
              <w:rPr>
                <w:rFonts w:ascii="Times New Roman" w:eastAsia="Times New Roman" w:hAnsi="Times New Roman" w:cs="Times New Roman"/>
                <w:color w:val="000000"/>
                <w:spacing w:val="0"/>
                <w:w w:val="100"/>
                <w:position w:val="0"/>
                <w:sz w:val="18"/>
                <w:szCs w:val="18"/>
              </w:rPr>
              <w:t>BVI</w:t>
            </w:r>
            <w:r>
              <w:rPr>
                <w:color w:val="000000"/>
                <w:spacing w:val="0"/>
                <w:w w:val="100"/>
                <w:position w:val="0"/>
                <w:sz w:val="18"/>
                <w:szCs w:val="18"/>
              </w:rPr>
              <w:t>公司留存的联通红筹公司宣派的股利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股东投入资本差异、回购股份及注销回购的限制性股票</w:t>
            </w:r>
          </w:p>
        </w:tc>
        <w:tc>
          <w:tcPr>
            <w:gridSpan w:val="5"/>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联通红筹公司中国会计准则下的净利润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14,358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334,380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328,616</w:t>
            </w:r>
          </w:p>
        </w:tc>
      </w:tr>
      <w:tr>
        <w:trPr>
          <w:trHeight w:val="46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香港财务报告准则调整增加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调整以前年度中国会计准则下因土地的评估对折旧</w:t>
            </w:r>
          </w:p>
        </w:tc>
        <w:tc>
          <w:tcPr>
            <w:gridSpan w:val="5"/>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及摊销的税后影响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w:t>
            </w:r>
          </w:p>
        </w:tc>
      </w:tr>
      <w:tr>
        <w:trPr>
          <w:trHeight w:val="456" w:hRule="exact"/>
        </w:trPr>
        <w:tc>
          <w:tcPr>
            <w:tcBorders/>
            <w:shd w:val="clear" w:color="auto" w:fill="FFFFFF"/>
            <w:vAlign w:val="top"/>
          </w:tcPr>
          <w:p>
            <w:pPr>
              <w:pStyle w:val="Style22"/>
              <w:keepNext w:val="0"/>
              <w:keepLines w:val="0"/>
              <w:widowControl w:val="0"/>
              <w:shd w:val="clear" w:color="auto" w:fill="auto"/>
              <w:bidi w:val="0"/>
              <w:spacing w:before="0" w:after="0" w:line="240" w:lineRule="exact"/>
              <w:ind w:left="600" w:right="0" w:hanging="40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因以前年度收购联通新世纪</w:t>
            </w:r>
            <w:r>
              <w:rPr>
                <w:rFonts w:ascii="Times New Roman" w:eastAsia="Times New Roman" w:hAnsi="Times New Roman" w:cs="Times New Roman"/>
                <w:color w:val="000000"/>
                <w:spacing w:val="0"/>
                <w:w w:val="100"/>
                <w:position w:val="0"/>
                <w:sz w:val="18"/>
                <w:szCs w:val="18"/>
              </w:rPr>
              <w:t>BVI</w:t>
            </w:r>
            <w:r>
              <w:rPr>
                <w:color w:val="000000"/>
                <w:spacing w:val="0"/>
                <w:w w:val="100"/>
                <w:position w:val="0"/>
                <w:sz w:val="18"/>
                <w:szCs w:val="18"/>
              </w:rPr>
              <w:t>和联通新世界</w:t>
            </w:r>
            <w:r>
              <w:rPr>
                <w:rFonts w:ascii="Times New Roman" w:eastAsia="Times New Roman" w:hAnsi="Times New Roman" w:cs="Times New Roman"/>
                <w:color w:val="000000"/>
                <w:spacing w:val="0"/>
                <w:w w:val="100"/>
                <w:position w:val="0"/>
                <w:sz w:val="18"/>
                <w:szCs w:val="18"/>
              </w:rPr>
              <w:t>BVI</w:t>
            </w:r>
            <w:r>
              <w:rPr>
                <w:color w:val="000000"/>
                <w:spacing w:val="0"/>
                <w:w w:val="100"/>
                <w:position w:val="0"/>
                <w:sz w:val="18"/>
                <w:szCs w:val="18"/>
              </w:rPr>
              <w:t>产生 的股权投资差额、商誉及收购费用在中国会计准则</w:t>
            </w:r>
          </w:p>
        </w:tc>
        <w:tc>
          <w:tcPr>
            <w:gridSpan w:val="5"/>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与香港财务报告准则下存在差异</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w:t>
            </w:r>
          </w:p>
        </w:tc>
      </w:tr>
      <w:tr>
        <w:trPr>
          <w:trHeight w:val="23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调整小计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联通红筹公司香港财务报告准则下净利润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14,507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333,433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327,520</w:t>
            </w:r>
          </w:p>
        </w:tc>
      </w:tr>
    </w:tbl>
    <w:p>
      <w:pPr>
        <w:widowControl w:val="0"/>
        <w:spacing w:after="259" w:line="1" w:lineRule="exact"/>
      </w:pPr>
    </w:p>
    <w:p>
      <w:pPr>
        <w:pStyle w:val="Style5"/>
        <w:keepNext w:val="0"/>
        <w:keepLines w:val="0"/>
        <w:widowControl w:val="0"/>
        <w:shd w:val="clear" w:color="auto" w:fill="auto"/>
        <w:bidi w:val="0"/>
        <w:spacing w:before="0" w:after="260" w:line="310" w:lineRule="exact"/>
        <w:ind w:left="0" w:right="0" w:firstLine="720"/>
        <w:jc w:val="both"/>
        <w:rPr>
          <w:sz w:val="22"/>
          <w:szCs w:val="22"/>
        </w:rPr>
      </w:pPr>
      <w:r>
        <w:rPr>
          <w:color w:val="000000"/>
          <w:spacing w:val="0"/>
          <w:w w:val="100"/>
          <w:position w:val="0"/>
          <w:sz w:val="22"/>
          <w:szCs w:val="22"/>
        </w:rPr>
        <w:t>财务报表差异调节表项目注释说明：</w:t>
      </w:r>
    </w:p>
    <w:p>
      <w:pPr>
        <w:pStyle w:val="Style5"/>
        <w:keepNext w:val="0"/>
        <w:keepLines w:val="0"/>
        <w:widowControl w:val="0"/>
        <w:shd w:val="clear" w:color="auto" w:fill="auto"/>
        <w:bidi w:val="0"/>
        <w:spacing w:before="0" w:after="260" w:line="310" w:lineRule="exact"/>
        <w:ind w:left="0" w:right="0" w:firstLine="72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：因土地的评估对折旧及摊销的影响</w:t>
      </w:r>
    </w:p>
    <w:p>
      <w:pPr>
        <w:pStyle w:val="Style5"/>
        <w:keepNext w:val="0"/>
        <w:keepLines w:val="0"/>
        <w:widowControl w:val="0"/>
        <w:shd w:val="clear" w:color="auto" w:fill="auto"/>
        <w:bidi w:val="0"/>
        <w:spacing w:before="0" w:after="260" w:line="310" w:lineRule="exact"/>
        <w:ind w:left="1440" w:right="0" w:firstLine="0"/>
        <w:jc w:val="both"/>
        <w:rPr>
          <w:sz w:val="22"/>
          <w:szCs w:val="22"/>
        </w:rPr>
      </w:pPr>
      <w:r>
        <w:rPr>
          <w:color w:val="000000"/>
          <w:spacing w:val="0"/>
          <w:w w:val="100"/>
          <w:position w:val="0"/>
          <w:sz w:val="22"/>
          <w:szCs w:val="22"/>
        </w:rPr>
        <w:t>在中国会计准则下，本集团所持有的土地在本集团改制重组上市以及后续同一控制 下的企业合并收购过程中以评估后价值入账并计提折旧及摊销。在香港财务报告准 则下，对于土地一直以历史成本确认并计提折旧，由此产生准则差异。该准则差异 亦考虑递延所得税的影响。</w:t>
      </w:r>
    </w:p>
    <w:p>
      <w:pPr>
        <w:pStyle w:val="Style5"/>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财务报表补充资料</w:t>
      </w:r>
    </w:p>
    <w:p>
      <w:pPr>
        <w:pStyle w:val="Style89"/>
        <w:keepNext w:val="0"/>
        <w:keepLines w:val="0"/>
        <w:widowControl w:val="0"/>
        <w:pBdr>
          <w:bottom w:val="single" w:sz="4" w:space="0" w:color="auto"/>
        </w:pBdr>
        <w:shd w:val="clear" w:color="auto" w:fill="auto"/>
        <w:bidi w:val="0"/>
        <w:spacing w:before="0" w:line="240" w:lineRule="auto"/>
        <w:ind w:left="0" w:right="0" w:firstLine="0"/>
        <w:jc w:val="both"/>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日止年度</w:t>
      </w:r>
    </w:p>
    <w:p>
      <w:pPr>
        <w:pStyle w:val="Style5"/>
        <w:keepNext w:val="0"/>
        <w:keepLines w:val="0"/>
        <w:widowControl w:val="0"/>
        <w:shd w:val="clear" w:color="auto" w:fill="auto"/>
        <w:bidi w:val="0"/>
        <w:spacing w:before="0" w:after="54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除特别注明外，金额单位为人民币元</w:t>
      </w:r>
      <w:r>
        <w:rPr>
          <w:rFonts w:ascii="Times New Roman" w:eastAsia="Times New Roman" w:hAnsi="Times New Roman" w:cs="Times New Roman"/>
          <w:color w:val="000000"/>
          <w:spacing w:val="0"/>
          <w:w w:val="100"/>
          <w:position w:val="0"/>
          <w:sz w:val="24"/>
          <w:szCs w:val="24"/>
        </w:rPr>
        <w:t>）</w:t>
      </w:r>
    </w:p>
    <w:p>
      <w:pPr>
        <w:pStyle w:val="Style5"/>
        <w:keepNext w:val="0"/>
        <w:keepLines w:val="0"/>
        <w:widowControl w:val="0"/>
        <w:shd w:val="clear" w:color="auto" w:fill="auto"/>
        <w:tabs>
          <w:tab w:pos="667" w:val="left"/>
        </w:tabs>
        <w:bidi w:val="0"/>
        <w:spacing w:before="0" w:after="260" w:line="315" w:lineRule="exact"/>
        <w:ind w:left="0" w:right="0" w:firstLine="0"/>
        <w:jc w:val="both"/>
        <w:rPr>
          <w:sz w:val="22"/>
          <w:szCs w:val="22"/>
        </w:rPr>
      </w:pPr>
      <w:r>
        <w:rPr>
          <w:color w:val="000000"/>
          <w:spacing w:val="0"/>
          <w:w w:val="100"/>
          <w:position w:val="0"/>
          <w:sz w:val="22"/>
          <w:szCs w:val="22"/>
        </w:rPr>
        <w:t>三、</w:t>
        <w:tab/>
        <w:t>财务报表差异调节表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15" w:lineRule="exact"/>
        <w:ind w:left="0" w:right="0" w:firstLine="740"/>
        <w:jc w:val="both"/>
        <w:rPr>
          <w:sz w:val="22"/>
          <w:szCs w:val="22"/>
        </w:rPr>
      </w:pPr>
      <w:r>
        <w:rPr>
          <w:color w:val="000000"/>
          <w:spacing w:val="0"/>
          <w:w w:val="100"/>
          <w:position w:val="0"/>
          <w:sz w:val="22"/>
          <w:szCs w:val="22"/>
        </w:rPr>
        <w:t>财务报表差异调节表项目注释说明：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p>
    <w:p>
      <w:pPr>
        <w:pStyle w:val="Style5"/>
        <w:keepNext w:val="0"/>
        <w:keepLines w:val="0"/>
        <w:widowControl w:val="0"/>
        <w:shd w:val="clear" w:color="auto" w:fill="auto"/>
        <w:bidi w:val="0"/>
        <w:spacing w:before="0" w:after="260" w:line="326" w:lineRule="exact"/>
        <w:ind w:left="1460" w:right="0" w:hanging="720"/>
        <w:jc w:val="both"/>
        <w:rPr>
          <w:sz w:val="22"/>
          <w:szCs w:val="22"/>
        </w:rPr>
      </w:pP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：因以前年度收购联通新世纪</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和联通新世界</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产生的股权投资差额、商誉及收 购费用在不同准则下的差异</w:t>
      </w:r>
    </w:p>
    <w:p>
      <w:pPr>
        <w:pStyle w:val="Style5"/>
        <w:keepNext w:val="0"/>
        <w:keepLines w:val="0"/>
        <w:widowControl w:val="0"/>
        <w:shd w:val="clear" w:color="auto" w:fill="auto"/>
        <w:bidi w:val="0"/>
        <w:spacing w:before="0" w:after="260" w:line="314" w:lineRule="exact"/>
        <w:ind w:left="1460" w:right="0" w:firstLine="0"/>
        <w:jc w:val="both"/>
        <w:rPr>
          <w:sz w:val="22"/>
          <w:szCs w:val="22"/>
        </w:rPr>
      </w:pPr>
      <w:r>
        <w:rPr>
          <w:color w:val="000000"/>
          <w:spacing w:val="0"/>
          <w:w w:val="100"/>
          <w:position w:val="0"/>
          <w:sz w:val="22"/>
          <w:szCs w:val="22"/>
        </w:rPr>
        <w:t>本公司分别于</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日和</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日间接通过联通红筹公司收购 了联通新世纪</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和联通新世界</w:t>
      </w:r>
      <w:r>
        <w:rPr>
          <w:rFonts w:ascii="Times New Roman" w:eastAsia="Times New Roman" w:hAnsi="Times New Roman" w:cs="Times New Roman"/>
          <w:color w:val="000000"/>
          <w:spacing w:val="0"/>
          <w:w w:val="100"/>
          <w:position w:val="0"/>
          <w:sz w:val="24"/>
          <w:szCs w:val="24"/>
        </w:rPr>
        <w:t>BVI</w:t>
      </w:r>
      <w:r>
        <w:rPr>
          <w:color w:val="000000"/>
          <w:spacing w:val="0"/>
          <w:w w:val="100"/>
          <w:position w:val="0"/>
          <w:sz w:val="22"/>
          <w:szCs w:val="22"/>
        </w:rPr>
        <w:t>的全部股权。在中国会计准则下，收购价与收 购生效日被收购公司账面净资产值之间的差额确认为长期股权投资差额，并于</w:t>
      </w:r>
      <w:r>
        <w:rPr>
          <w:rFonts w:ascii="Times New Roman" w:eastAsia="Times New Roman" w:hAnsi="Times New Roman" w:cs="Times New Roman"/>
          <w:color w:val="000000"/>
          <w:spacing w:val="0"/>
          <w:w w:val="100"/>
          <w:position w:val="0"/>
          <w:sz w:val="24"/>
          <w:szCs w:val="24"/>
        </w:rPr>
        <w:t xml:space="preserve">2007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日将尚未摊销的长期股权投资差额调整留存收益，减少本集团的净资产。 而在香港财务报告准则下，收购价与收购生效日被收购公司资产及负债的公允价值 之间的差额确认为商誉记入资产且不进行摊销，而是每年或当有减值迹象时进行减 值测试。</w:t>
      </w:r>
    </w:p>
    <w:p>
      <w:pPr>
        <w:pStyle w:val="Style5"/>
        <w:keepNext w:val="0"/>
        <w:keepLines w:val="0"/>
        <w:widowControl w:val="0"/>
        <w:shd w:val="clear" w:color="auto" w:fill="auto"/>
        <w:bidi w:val="0"/>
        <w:spacing w:before="0" w:after="260" w:line="317" w:lineRule="exact"/>
        <w:ind w:left="1460" w:right="0" w:firstLine="0"/>
        <w:jc w:val="both"/>
        <w:rPr>
          <w:sz w:val="22"/>
          <w:szCs w:val="22"/>
        </w:rPr>
        <w:sectPr>
          <w:footnotePr>
            <w:pos w:val="pageBottom"/>
            <w:numFmt w:val="decimal"/>
            <w:numRestart w:val="continuous"/>
          </w:footnotePr>
          <w:pgSz w:w="11900" w:h="16840"/>
          <w:pgMar w:top="1599" w:right="703" w:bottom="1205" w:left="988" w:header="0" w:footer="3" w:gutter="0"/>
          <w:cols w:space="720"/>
          <w:noEndnote/>
          <w:rtlGutter w:val="0"/>
          <w:docGrid w:linePitch="360"/>
        </w:sectPr>
      </w:pPr>
      <w:r>
        <w:rPr>
          <w:color w:val="000000"/>
          <w:spacing w:val="0"/>
          <w:w w:val="100"/>
          <w:position w:val="0"/>
          <w:sz w:val="22"/>
          <w:szCs w:val="22"/>
        </w:rPr>
        <w:t>除收购价外，本集团支付与上述收购直接相关的其他费用分别约人民币</w:t>
      </w:r>
      <w:r>
        <w:rPr>
          <w:rFonts w:ascii="Times New Roman" w:eastAsia="Times New Roman" w:hAnsi="Times New Roman" w:cs="Times New Roman"/>
          <w:color w:val="000000"/>
          <w:spacing w:val="0"/>
          <w:w w:val="100"/>
          <w:position w:val="0"/>
          <w:sz w:val="24"/>
          <w:szCs w:val="24"/>
        </w:rPr>
        <w:t>1.09</w:t>
      </w:r>
      <w:r>
        <w:rPr>
          <w:color w:val="000000"/>
          <w:spacing w:val="0"/>
          <w:w w:val="100"/>
          <w:position w:val="0"/>
          <w:sz w:val="22"/>
          <w:szCs w:val="22"/>
        </w:rPr>
        <w:t xml:space="preserve">亿元和 </w:t>
      </w:r>
      <w:r>
        <w:rPr>
          <w:rFonts w:ascii="Times New Roman" w:eastAsia="Times New Roman" w:hAnsi="Times New Roman" w:cs="Times New Roman"/>
          <w:color w:val="000000"/>
          <w:spacing w:val="0"/>
          <w:w w:val="100"/>
          <w:position w:val="0"/>
          <w:sz w:val="24"/>
          <w:szCs w:val="24"/>
        </w:rPr>
        <w:t>4,938</w:t>
      </w:r>
      <w:r>
        <w:rPr>
          <w:color w:val="000000"/>
          <w:spacing w:val="0"/>
          <w:w w:val="100"/>
          <w:position w:val="0"/>
          <w:sz w:val="22"/>
          <w:szCs w:val="22"/>
        </w:rPr>
        <w:t>万元。在中国会计准则下，发生的交易费用作为期间费用，于发生之时计入 损益。于香港财务报告准则下，该等费用作为收购成本的一部分，随同收购成本一 并予以资本化并于合并时计入商誉。</w:t>
      </w:r>
    </w:p>
    <w:p>
      <w:pPr>
        <w:pStyle w:val="Style39"/>
        <w:keepNext w:val="0"/>
        <w:keepLines w:val="0"/>
        <w:widowControl w:val="0"/>
        <w:pBdr>
          <w:bottom w:val="single" w:sz="4" w:space="0" w:color="auto"/>
        </w:pBdr>
        <w:shd w:val="clear" w:color="auto" w:fill="auto"/>
        <w:bidi w:val="0"/>
        <w:spacing w:before="0" w:after="120" w:line="240" w:lineRule="auto"/>
        <w:ind w:left="1100" w:right="0" w:firstLine="0"/>
        <w:jc w:val="left"/>
      </w:pPr>
      <w:r>
        <w:rPr>
          <w:color w:val="000000"/>
          <w:spacing w:val="0"/>
          <w:w w:val="100"/>
          <w:position w:val="0"/>
          <w:u w:val="single"/>
        </w:rPr>
        <w:t>中国联合网络通信股份有限公司</w:t>
      </w:r>
    </w:p>
    <w:p>
      <w:pPr>
        <w:pStyle w:val="Style22"/>
        <w:keepNext w:val="0"/>
        <w:keepLines w:val="0"/>
        <w:widowControl w:val="0"/>
        <w:shd w:val="clear" w:color="auto" w:fill="auto"/>
        <w:bidi w:val="0"/>
        <w:spacing w:before="0" w:after="0" w:line="240" w:lineRule="auto"/>
        <w:ind w:left="0" w:right="0" w:firstLine="700"/>
        <w:jc w:val="left"/>
        <w:rPr>
          <w:sz w:val="30"/>
          <w:szCs w:val="30"/>
        </w:rPr>
        <w:sectPr>
          <w:footnotePr>
            <w:pos w:val="pageBottom"/>
            <w:numFmt w:val="decimal"/>
            <w:numRestart w:val="continuous"/>
          </w:footnotePr>
          <w:pgSz w:w="11900" w:h="16840"/>
          <w:pgMar w:top="996" w:right="733" w:bottom="9520" w:left="957" w:header="0" w:footer="3" w:gutter="0"/>
          <w:cols w:space="720"/>
          <w:noEndnote/>
          <w:rtlGutter w:val="0"/>
          <w:docGrid w:linePitch="360"/>
        </w:sectPr>
      </w:pPr>
      <w:r>
        <w:rPr>
          <w:color w:val="000000"/>
          <w:spacing w:val="0"/>
          <w:w w:val="100"/>
          <w:position w:val="0"/>
          <w:sz w:val="30"/>
          <w:szCs w:val="30"/>
        </w:rPr>
        <w:t>（本页无正文，为</w:t>
      </w:r>
      <w:r>
        <w:rPr>
          <w:rFonts w:ascii="Times New Roman" w:eastAsia="Times New Roman" w:hAnsi="Times New Roman" w:cs="Times New Roman"/>
          <w:color w:val="000000"/>
          <w:spacing w:val="0"/>
          <w:w w:val="100"/>
          <w:position w:val="0"/>
          <w:sz w:val="32"/>
          <w:szCs w:val="32"/>
        </w:rPr>
        <w:t>2021</w:t>
      </w:r>
      <w:r>
        <w:rPr>
          <w:color w:val="000000"/>
          <w:spacing w:val="0"/>
          <w:w w:val="100"/>
          <w:position w:val="0"/>
          <w:sz w:val="30"/>
          <w:szCs w:val="30"/>
        </w:rPr>
        <w:t>年年度报告的签署页）</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47" w:right="0" w:bottom="9519" w:left="0" w:header="0" w:footer="3" w:gutter="0"/>
          <w:cols w:space="720"/>
          <w:noEndnote/>
          <w:rtlGutter w:val="0"/>
          <w:docGrid w:linePitch="360"/>
        </w:sectPr>
      </w:pPr>
    </w:p>
    <w:p>
      <w:pPr>
        <w:pStyle w:val="Style73"/>
        <w:keepNext w:val="0"/>
        <w:keepLines w:val="0"/>
        <w:framePr w:w="5611" w:h="480" w:wrap="none" w:vAnchor="text" w:hAnchor="page" w:x="5115" w:y="1706"/>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rPr>
        <w:t>中国联合网络通信股份有限公司（盖章）</w:t>
      </w:r>
    </w:p>
    <w:p>
      <w:pPr>
        <w:widowControl w:val="0"/>
        <w:spacing w:line="360" w:lineRule="exact"/>
      </w:pPr>
      <w:r>
        <w:drawing>
          <wp:anchor distT="0" distB="338455" distL="0" distR="591185" simplePos="0" relativeHeight="62914703" behindDoc="1" locked="0" layoutInCell="1" allowOverlap="1">
            <wp:simplePos x="0" y="0"/>
            <wp:positionH relativeFrom="page">
              <wp:posOffset>3208020</wp:posOffset>
            </wp:positionH>
            <wp:positionV relativeFrom="paragraph">
              <wp:posOffset>12700</wp:posOffset>
            </wp:positionV>
            <wp:extent cx="3011170" cy="1036320"/>
            <wp:wrapNone/>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11"/>
                    <a:stretch/>
                  </pic:blipFill>
                  <pic:spPr>
                    <a:xfrm>
                      <a:ext cx="3011170" cy="1036320"/>
                    </a:xfrm>
                    <a:prstGeom prst="rect"/>
                  </pic:spPr>
                </pic:pic>
              </a:graphicData>
            </a:graphic>
          </wp:anchor>
        </w:drawing>
      </w:r>
      <w:r>
        <w:drawing>
          <wp:anchor distT="0" distB="0" distL="0" distR="0" simplePos="0" relativeHeight="62914704" behindDoc="1" locked="0" layoutInCell="1" allowOverlap="1">
            <wp:simplePos x="0" y="0"/>
            <wp:positionH relativeFrom="page">
              <wp:posOffset>4835525</wp:posOffset>
            </wp:positionH>
            <wp:positionV relativeFrom="paragraph">
              <wp:posOffset>1368425</wp:posOffset>
            </wp:positionV>
            <wp:extent cx="1200785" cy="347345"/>
            <wp:wrapNone/>
            <wp:docPr id="144" name="Shape 144"/>
            <a:graphic xmlns:a="http://schemas.openxmlformats.org/drawingml/2006/main">
              <a:graphicData uri="http://schemas.openxmlformats.org/drawingml/2006/picture">
                <pic:pic xmlns:pic="http://schemas.openxmlformats.org/drawingml/2006/picture">
                  <pic:nvPicPr>
                    <pic:cNvPr id="145" name="Picture box 145"/>
                    <pic:cNvPicPr/>
                  </pic:nvPicPr>
                  <pic:blipFill>
                    <a:blip r:embed="rId13"/>
                    <a:stretch/>
                  </pic:blipFill>
                  <pic:spPr>
                    <a:xfrm>
                      <a:ext cx="1200785" cy="3473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type w:val="continuous"/>
          <w:pgSz w:w="11900" w:h="16840"/>
          <w:pgMar w:top="847" w:right="733" w:bottom="9519" w:left="957" w:header="0" w:footer="3" w:gutter="0"/>
          <w:cols w:space="720"/>
          <w:noEndnote/>
          <w:rtlGutter w:val="0"/>
          <w:docGrid w:linePitch="360"/>
        </w:sectPr>
      </w:pPr>
    </w:p>
    <w:p>
      <w:pPr>
        <w:widowControl w:val="0"/>
        <w:spacing w:line="240" w:lineRule="exact"/>
        <w:rPr>
          <w:sz w:val="19"/>
          <w:szCs w:val="19"/>
        </w:rPr>
      </w:pP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996" w:right="0" w:bottom="996" w:left="0" w:header="0" w:footer="3" w:gutter="0"/>
          <w:cols w:space="720"/>
          <w:noEndnote/>
          <w:rtlGutter w:val="0"/>
          <w:docGrid w:linePitch="360"/>
        </w:sectPr>
      </w:pPr>
    </w:p>
    <w:p>
      <w:pPr>
        <w:pStyle w:val="Style22"/>
        <w:keepNext w:val="0"/>
        <w:keepLines w:val="0"/>
        <w:widowControl w:val="0"/>
        <w:shd w:val="clear" w:color="auto" w:fill="auto"/>
        <w:bidi w:val="0"/>
        <w:spacing w:before="0" w:after="0" w:line="240" w:lineRule="auto"/>
        <w:ind w:left="0" w:right="0" w:firstLine="0"/>
        <w:jc w:val="right"/>
        <w:rPr>
          <w:sz w:val="30"/>
          <w:szCs w:val="30"/>
        </w:rPr>
      </w:pPr>
      <w:r>
        <w:rPr>
          <w:rFonts w:ascii="Times New Roman" w:eastAsia="Times New Roman" w:hAnsi="Times New Roman" w:cs="Times New Roman"/>
          <w:color w:val="000000"/>
          <w:spacing w:val="0"/>
          <w:w w:val="100"/>
          <w:position w:val="0"/>
          <w:sz w:val="32"/>
          <w:szCs w:val="32"/>
        </w:rPr>
        <w:t>2022</w:t>
      </w:r>
      <w:r>
        <w:rPr>
          <w:color w:val="000000"/>
          <w:spacing w:val="0"/>
          <w:w w:val="100"/>
          <w:position w:val="0"/>
          <w:sz w:val="30"/>
          <w:szCs w:val="30"/>
        </w:rPr>
        <w:t>年</w:t>
      </w:r>
      <w:r>
        <w:rPr>
          <w:rFonts w:ascii="Times New Roman" w:eastAsia="Times New Roman" w:hAnsi="Times New Roman" w:cs="Times New Roman"/>
          <w:color w:val="000000"/>
          <w:spacing w:val="0"/>
          <w:w w:val="100"/>
          <w:position w:val="0"/>
          <w:sz w:val="32"/>
          <w:szCs w:val="32"/>
        </w:rPr>
        <w:t>3</w:t>
      </w:r>
      <w:r>
        <w:rPr>
          <w:color w:val="000000"/>
          <w:spacing w:val="0"/>
          <w:w w:val="100"/>
          <w:position w:val="0"/>
          <w:sz w:val="30"/>
          <w:szCs w:val="30"/>
        </w:rPr>
        <w:t>月</w:t>
      </w:r>
      <w:r>
        <w:rPr>
          <w:rFonts w:ascii="Times New Roman" w:eastAsia="Times New Roman" w:hAnsi="Times New Roman" w:cs="Times New Roman"/>
          <w:color w:val="000000"/>
          <w:spacing w:val="0"/>
          <w:w w:val="100"/>
          <w:position w:val="0"/>
          <w:sz w:val="32"/>
          <w:szCs w:val="32"/>
        </w:rPr>
        <w:t>11</w:t>
      </w:r>
      <w:r>
        <w:rPr>
          <w:color w:val="000000"/>
          <w:spacing w:val="0"/>
          <w:w w:val="100"/>
          <w:position w:val="0"/>
          <w:sz w:val="30"/>
          <w:szCs w:val="30"/>
        </w:rPr>
        <w:t>日</w:t>
      </w:r>
    </w:p>
    <w:sectPr>
      <w:footnotePr>
        <w:pos w:val="pageBottom"/>
        <w:numFmt w:val="decimal"/>
        <w:numRestart w:val="continuous"/>
      </w:footnotePr>
      <w:type w:val="continuous"/>
      <w:pgSz w:w="11900" w:h="16840"/>
      <w:pgMar w:top="996" w:right="2336" w:bottom="996" w:left="16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3"/>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30">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34">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36">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38">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40">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42">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4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48">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5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Body text (3)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1_"/>
    <w:basedOn w:val="DefaultParagraphFont"/>
    <w:link w:val="Style10"/>
    <w:rPr>
      <w:rFonts w:ascii="Arial" w:eastAsia="Arial" w:hAnsi="Arial" w:cs="Arial"/>
      <w:b/>
      <w:bCs/>
      <w:i w:val="0"/>
      <w:iCs w:val="0"/>
      <w:smallCaps w:val="0"/>
      <w:strike w:val="0"/>
      <w:sz w:val="60"/>
      <w:szCs w:val="60"/>
      <w:u w:val="none"/>
      <w:shd w:val="clear" w:color="auto" w:fill="auto"/>
    </w:rPr>
  </w:style>
  <w:style w:type="character" w:customStyle="1" w:styleId="CharStyle14">
    <w:name w:val="Heading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7">
    <w:name w:val="Heading #4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Body text (2)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74">
    <w:name w:val="Picture caption_"/>
    <w:basedOn w:val="DefaultParagraphFont"/>
    <w:link w:val="Style73"/>
    <w:rPr>
      <w:rFonts w:ascii="SimHei" w:eastAsia="SimHei" w:hAnsi="SimHei" w:cs="SimHei"/>
      <w:b w:val="0"/>
      <w:bCs w:val="0"/>
      <w:i w:val="0"/>
      <w:iCs w:val="0"/>
      <w:smallCaps w:val="0"/>
      <w:strike w:val="0"/>
      <w:color w:val="EBEBEB"/>
      <w:sz w:val="20"/>
      <w:szCs w:val="20"/>
      <w:u w:val="none"/>
      <w:shd w:val="clear" w:color="auto" w:fill="auto"/>
    </w:rPr>
  </w:style>
  <w:style w:type="character" w:customStyle="1" w:styleId="CharStyle77">
    <w:name w:val="Body text (7)_"/>
    <w:basedOn w:val="DefaultParagraphFont"/>
    <w:link w:val="Style76"/>
    <w:rPr>
      <w:rFonts w:ascii="Times New Roman" w:eastAsia="Times New Roman" w:hAnsi="Times New Roman" w:cs="Times New Roman"/>
      <w:b w:val="0"/>
      <w:bCs w:val="0"/>
      <w:i w:val="0"/>
      <w:iCs w:val="0"/>
      <w:smallCaps w:val="0"/>
      <w:strike w:val="0"/>
      <w:color w:val="222222"/>
      <w:sz w:val="18"/>
      <w:szCs w:val="18"/>
      <w:u w:val="none"/>
      <w:shd w:val="clear" w:color="auto" w:fill="auto"/>
    </w:rPr>
  </w:style>
  <w:style w:type="character" w:customStyle="1" w:styleId="CharStyle82">
    <w:name w:val="Body text (8)_"/>
    <w:basedOn w:val="DefaultParagraphFont"/>
    <w:link w:val="Style81"/>
    <w:rPr>
      <w:rFonts w:ascii="SimHei" w:eastAsia="SimHei" w:hAnsi="SimHei" w:cs="SimHei"/>
      <w:b w:val="0"/>
      <w:bCs w:val="0"/>
      <w:i w:val="0"/>
      <w:iCs w:val="0"/>
      <w:smallCaps w:val="0"/>
      <w:strike w:val="0"/>
      <w:color w:val="EBEBEB"/>
      <w:sz w:val="20"/>
      <w:szCs w:val="20"/>
      <w:u w:val="none"/>
      <w:shd w:val="clear" w:color="auto" w:fill="auto"/>
    </w:rPr>
  </w:style>
  <w:style w:type="character" w:customStyle="1" w:styleId="CharStyle90">
    <w:name w:val="Body text (9)_"/>
    <w:basedOn w:val="DefaultParagraphFont"/>
    <w:link w:val="Style89"/>
    <w:rPr>
      <w:rFonts w:ascii="Times New Roman" w:eastAsia="Times New Roman" w:hAnsi="Times New Roman" w:cs="Times New Roman"/>
      <w:b w:val="0"/>
      <w:bCs w:val="0"/>
      <w:i w:val="0"/>
      <w:iCs w:val="0"/>
      <w:smallCaps w:val="0"/>
      <w:strike w:val="0"/>
      <w:u w:val="single"/>
      <w:shd w:val="clear" w:color="auto" w:fill="auto"/>
    </w:rPr>
  </w:style>
  <w:style w:type="character" w:customStyle="1" w:styleId="CharStyle98">
    <w:name w:val="Heading #3_"/>
    <w:basedOn w:val="DefaultParagraphFont"/>
    <w:link w:val="Style97"/>
    <w:rPr>
      <w:rFonts w:ascii="SimSun" w:eastAsia="SimSun" w:hAnsi="SimSun" w:cs="SimSun"/>
      <w:b w:val="0"/>
      <w:bCs w:val="0"/>
      <w:i w:val="0"/>
      <w:iCs w:val="0"/>
      <w:smallCaps w:val="0"/>
      <w:strike w:val="0"/>
      <w:sz w:val="22"/>
      <w:szCs w:val="22"/>
      <w:u w:val="none"/>
      <w:shd w:val="clear" w:color="auto" w:fill="auto"/>
    </w:rPr>
  </w:style>
  <w:style w:type="paragraph" w:customStyle="1" w:styleId="Style2">
    <w:name w:val="Body text (4)"/>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styleId="Style5">
    <w:name w:val="Body text"/>
    <w:basedOn w:val="Normal"/>
    <w:link w:val="CharStyle6"/>
    <w:qFormat/>
    <w:pPr>
      <w:widowControl w:val="0"/>
      <w:shd w:val="clear" w:color="auto" w:fill="auto"/>
      <w:spacing w:after="100" w:line="374"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Body text (3)"/>
    <w:basedOn w:val="Normal"/>
    <w:link w:val="CharStyle8"/>
    <w:pPr>
      <w:widowControl w:val="0"/>
      <w:shd w:val="clear" w:color="auto" w:fill="auto"/>
      <w:spacing w:after="14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1"/>
    <w:basedOn w:val="Normal"/>
    <w:link w:val="CharStyle11"/>
    <w:pPr>
      <w:widowControl w:val="0"/>
      <w:shd w:val="clear" w:color="auto" w:fill="auto"/>
      <w:jc w:val="center"/>
      <w:outlineLvl w:val="0"/>
    </w:pPr>
    <w:rPr>
      <w:rFonts w:ascii="Arial" w:eastAsia="Arial" w:hAnsi="Arial" w:cs="Arial"/>
      <w:b/>
      <w:bCs/>
      <w:i w:val="0"/>
      <w:iCs w:val="0"/>
      <w:smallCaps w:val="0"/>
      <w:strike w:val="0"/>
      <w:sz w:val="60"/>
      <w:szCs w:val="60"/>
      <w:u w:val="none"/>
      <w:shd w:val="clear" w:color="auto" w:fill="auto"/>
    </w:rPr>
  </w:style>
  <w:style w:type="paragraph" w:customStyle="1" w:styleId="Style13">
    <w:name w:val="Heading #2"/>
    <w:basedOn w:val="Normal"/>
    <w:link w:val="CharStyle14"/>
    <w:pPr>
      <w:widowControl w:val="0"/>
      <w:shd w:val="clear" w:color="auto" w:fill="auto"/>
      <w:spacing w:after="22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6">
    <w:name w:val="Heading #4"/>
    <w:basedOn w:val="Normal"/>
    <w:link w:val="CharStyle17"/>
    <w:pPr>
      <w:widowControl w:val="0"/>
      <w:shd w:val="clear" w:color="auto" w:fill="auto"/>
      <w:spacing w:after="100" w:line="360" w:lineRule="exact"/>
      <w:ind w:firstLine="4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9">
    <w:name w:val="Table of contents"/>
    <w:basedOn w:val="Normal"/>
    <w:link w:val="CharStyle20"/>
    <w:pPr>
      <w:widowControl w:val="0"/>
      <w:shd w:val="clear" w:color="auto" w:fill="auto"/>
      <w:spacing w:after="280"/>
    </w:pPr>
    <w:rPr>
      <w:rFonts w:ascii="SimSun" w:eastAsia="SimSun" w:hAnsi="SimSun" w:cs="SimSun"/>
      <w:b/>
      <w:bCs/>
      <w:i w:val="0"/>
      <w:iCs w:val="0"/>
      <w:smallCaps w:val="0"/>
      <w:strike w:val="0"/>
      <w:sz w:val="20"/>
      <w:szCs w:val="20"/>
      <w:u w:val="none"/>
      <w:shd w:val="clear" w:color="auto" w:fill="auto"/>
    </w:rPr>
  </w:style>
  <w:style w:type="paragraph" w:customStyle="1" w:styleId="Style22">
    <w:name w:val="Other"/>
    <w:basedOn w:val="Normal"/>
    <w:link w:val="CharStyle23"/>
    <w:pPr>
      <w:widowControl w:val="0"/>
      <w:shd w:val="clear" w:color="auto" w:fill="auto"/>
      <w:spacing w:after="100" w:line="374"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Body text (2)"/>
    <w:basedOn w:val="Normal"/>
    <w:link w:val="CharStyle40"/>
    <w:pPr>
      <w:widowControl w:val="0"/>
      <w:shd w:val="clear" w:color="auto" w:fill="auto"/>
      <w:spacing w:after="80" w:line="323" w:lineRule="exact"/>
      <w:ind w:left="420" w:firstLine="420"/>
    </w:pPr>
    <w:rPr>
      <w:rFonts w:ascii="SimSun" w:eastAsia="SimSun" w:hAnsi="SimSun" w:cs="SimSun"/>
      <w:b w:val="0"/>
      <w:bCs w:val="0"/>
      <w:i w:val="0"/>
      <w:iCs w:val="0"/>
      <w:smallCaps w:val="0"/>
      <w:strike w:val="0"/>
      <w:sz w:val="17"/>
      <w:szCs w:val="17"/>
      <w:u w:val="none"/>
      <w:shd w:val="clear" w:color="auto" w:fill="auto"/>
    </w:rPr>
  </w:style>
  <w:style w:type="paragraph" w:customStyle="1" w:styleId="Style73">
    <w:name w:val="Picture caption"/>
    <w:basedOn w:val="Normal"/>
    <w:link w:val="CharStyle74"/>
    <w:pPr>
      <w:widowControl w:val="0"/>
      <w:shd w:val="clear" w:color="auto" w:fill="auto"/>
      <w:spacing w:line="250" w:lineRule="exact"/>
      <w:jc w:val="center"/>
    </w:pPr>
    <w:rPr>
      <w:rFonts w:ascii="SimHei" w:eastAsia="SimHei" w:hAnsi="SimHei" w:cs="SimHei"/>
      <w:b w:val="0"/>
      <w:bCs w:val="0"/>
      <w:i w:val="0"/>
      <w:iCs w:val="0"/>
      <w:smallCaps w:val="0"/>
      <w:strike w:val="0"/>
      <w:color w:val="EBEBEB"/>
      <w:sz w:val="20"/>
      <w:szCs w:val="20"/>
      <w:u w:val="none"/>
      <w:shd w:val="clear" w:color="auto" w:fill="auto"/>
    </w:rPr>
  </w:style>
  <w:style w:type="paragraph" w:customStyle="1" w:styleId="Style76">
    <w:name w:val="Body text (7)"/>
    <w:basedOn w:val="Normal"/>
    <w:link w:val="CharStyle77"/>
    <w:pPr>
      <w:widowControl w:val="0"/>
      <w:shd w:val="clear" w:color="auto" w:fill="auto"/>
      <w:spacing w:after="180"/>
      <w:ind w:left="590"/>
      <w:jc w:val="center"/>
    </w:pPr>
    <w:rPr>
      <w:rFonts w:ascii="Times New Roman" w:eastAsia="Times New Roman" w:hAnsi="Times New Roman" w:cs="Times New Roman"/>
      <w:b w:val="0"/>
      <w:bCs w:val="0"/>
      <w:i w:val="0"/>
      <w:iCs w:val="0"/>
      <w:smallCaps w:val="0"/>
      <w:strike w:val="0"/>
      <w:color w:val="222222"/>
      <w:sz w:val="18"/>
      <w:szCs w:val="18"/>
      <w:u w:val="none"/>
      <w:shd w:val="clear" w:color="auto" w:fill="auto"/>
    </w:rPr>
  </w:style>
  <w:style w:type="paragraph" w:customStyle="1" w:styleId="Style81">
    <w:name w:val="Body text (8)"/>
    <w:basedOn w:val="Normal"/>
    <w:link w:val="CharStyle82"/>
    <w:pPr>
      <w:widowControl w:val="0"/>
      <w:shd w:val="clear" w:color="auto" w:fill="auto"/>
      <w:spacing w:after="180" w:line="240" w:lineRule="exact"/>
      <w:jc w:val="center"/>
    </w:pPr>
    <w:rPr>
      <w:rFonts w:ascii="SimHei" w:eastAsia="SimHei" w:hAnsi="SimHei" w:cs="SimHei"/>
      <w:b w:val="0"/>
      <w:bCs w:val="0"/>
      <w:i w:val="0"/>
      <w:iCs w:val="0"/>
      <w:smallCaps w:val="0"/>
      <w:strike w:val="0"/>
      <w:color w:val="EBEBEB"/>
      <w:sz w:val="20"/>
      <w:szCs w:val="20"/>
      <w:u w:val="none"/>
      <w:shd w:val="clear" w:color="auto" w:fill="auto"/>
    </w:rPr>
  </w:style>
  <w:style w:type="paragraph" w:customStyle="1" w:styleId="Style89">
    <w:name w:val="Body text (9)"/>
    <w:basedOn w:val="Normal"/>
    <w:link w:val="CharStyle90"/>
    <w:pPr>
      <w:widowControl w:val="0"/>
      <w:shd w:val="clear" w:color="auto" w:fill="auto"/>
      <w:spacing w:after="40"/>
    </w:pPr>
    <w:rPr>
      <w:rFonts w:ascii="Times New Roman" w:eastAsia="Times New Roman" w:hAnsi="Times New Roman" w:cs="Times New Roman"/>
      <w:b w:val="0"/>
      <w:bCs w:val="0"/>
      <w:i w:val="0"/>
      <w:iCs w:val="0"/>
      <w:smallCaps w:val="0"/>
      <w:strike w:val="0"/>
      <w:u w:val="single"/>
      <w:shd w:val="clear" w:color="auto" w:fill="auto"/>
    </w:rPr>
  </w:style>
  <w:style w:type="paragraph" w:customStyle="1" w:styleId="Style97">
    <w:name w:val="Heading #3"/>
    <w:basedOn w:val="Normal"/>
    <w:link w:val="CharStyle98"/>
    <w:pPr>
      <w:widowControl w:val="0"/>
      <w:shd w:val="clear" w:color="auto" w:fill="auto"/>
      <w:outlineLvl w:val="2"/>
    </w:pPr>
    <w:rPr>
      <w:rFonts w:ascii="SimSun" w:eastAsia="SimSun" w:hAnsi="SimSun" w:cs="SimSu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