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804670" cy="8655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804670" cy="865505"/>
                    </a:xfrm>
                    <a:prstGeom prst="rect"/>
                  </pic:spPr>
                </pic:pic>
              </a:graphicData>
            </a:graphic>
          </wp:inline>
        </w:drawing>
      </w:r>
    </w:p>
    <w:p>
      <w:pPr>
        <w:widowControl w:val="0"/>
        <w:spacing w:after="2019" w:line="1" w:lineRule="exact"/>
      </w:pPr>
    </w:p>
    <w:p>
      <w:pPr>
        <w:pStyle w:val="Style6"/>
        <w:keepNext w:val="0"/>
        <w:keepLines w:val="0"/>
        <w:widowControl w:val="0"/>
        <w:shd w:val="clear" w:color="auto" w:fill="auto"/>
        <w:bidi w:val="0"/>
        <w:spacing w:before="0" w:after="200" w:line="240" w:lineRule="auto"/>
        <w:ind w:left="0" w:right="0" w:firstLine="0"/>
        <w:jc w:val="center"/>
      </w:pPr>
      <w:r>
        <w:rPr>
          <w:spacing w:val="0"/>
          <w:w w:val="100"/>
          <w:position w:val="0"/>
        </w:rPr>
        <w:t>浙江富润股份有限公司</w:t>
      </w:r>
    </w:p>
    <w:p>
      <w:pPr>
        <w:pStyle w:val="Style8"/>
        <w:keepNext w:val="0"/>
        <w:keepLines w:val="0"/>
        <w:widowControl w:val="0"/>
        <w:shd w:val="clear" w:color="auto" w:fill="auto"/>
        <w:bidi w:val="0"/>
        <w:spacing w:before="0" w:line="240" w:lineRule="auto"/>
        <w:ind w:left="0" w:right="0" w:firstLine="0"/>
        <w:jc w:val="center"/>
      </w:pPr>
      <w:r>
        <w:rPr>
          <w:spacing w:val="0"/>
          <w:w w:val="100"/>
          <w:position w:val="0"/>
        </w:rPr>
        <w:t>600070</w:t>
      </w:r>
    </w:p>
    <w:p>
      <w:pPr>
        <w:pStyle w:val="Style6"/>
        <w:keepNext w:val="0"/>
        <w:keepLines w:val="0"/>
        <w:widowControl w:val="0"/>
        <w:shd w:val="clear" w:color="auto" w:fill="auto"/>
        <w:bidi w:val="0"/>
        <w:spacing w:before="0" w:after="840" w:line="240" w:lineRule="auto"/>
        <w:ind w:left="0" w:right="0" w:firstLine="0"/>
        <w:jc w:val="center"/>
        <w:sectPr>
          <w:headerReference w:type="default" r:id="rId7"/>
          <w:footerReference w:type="default" r:id="rId8"/>
          <w:footnotePr>
            <w:pos w:val="pageBottom"/>
            <w:numFmt w:val="decimal"/>
            <w:numRestart w:val="continuous"/>
          </w:footnotePr>
          <w:pgSz w:w="12240" w:h="15840"/>
          <w:pgMar w:top="3885" w:right="1855" w:bottom="3885" w:left="1946" w:header="0" w:footer="3" w:gutter="0"/>
          <w:pgNumType w:start="1"/>
          <w:cols w:space="720"/>
          <w:noEndnote/>
          <w:rtlGutter w:val="0"/>
          <w:docGrid w:linePitch="360"/>
        </w:sectPr>
      </w:pPr>
      <w:r>
        <w:rPr>
          <w:rFonts w:ascii="Arial" w:eastAsia="Arial" w:hAnsi="Arial" w:cs="Arial"/>
          <w:spacing w:val="0"/>
          <w:w w:val="100"/>
          <w:position w:val="0"/>
          <w:sz w:val="38"/>
          <w:szCs w:val="38"/>
        </w:rPr>
        <w:t>2013</w:t>
      </w:r>
      <w:r>
        <w:rPr>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重要提示</w:t>
      </w:r>
    </w:p>
    <w:p>
      <w:pPr>
        <w:pStyle w:val="Style13"/>
        <w:keepNext w:val="0"/>
        <w:keepLines w:val="0"/>
        <w:widowControl w:val="0"/>
        <w:shd w:val="clear" w:color="auto" w:fill="auto"/>
        <w:tabs>
          <w:tab w:pos="634" w:val="left"/>
        </w:tabs>
        <w:bidi w:val="0"/>
        <w:spacing w:before="0" w:after="300" w:line="331" w:lineRule="exact"/>
        <w:ind w:left="0" w:right="0" w:firstLine="0"/>
        <w:jc w:val="both"/>
      </w:pPr>
      <w:bookmarkStart w:id="0" w:name="bookmark0"/>
      <w:r>
        <w:rPr>
          <w:color w:val="000000"/>
          <w:spacing w:val="0"/>
          <w:w w:val="100"/>
          <w:position w:val="0"/>
        </w:rPr>
        <w:t>一</w:t>
      </w:r>
      <w:bookmarkEnd w:id="0"/>
      <w:r>
        <w:rPr>
          <w:color w:val="000000"/>
          <w:spacing w:val="0"/>
          <w:w w:val="100"/>
          <w:position w:val="0"/>
        </w:rPr>
        <w:t>、</w:t>
        <w:tab/>
        <w:t>公司董事会、监事会及董事、监事、高级管理人员保证年度报告内容的真实、准确、 完整，不存在虚假记载、误导性陈述或重大遗漏，并承担个别和连带的法律责任。</w:t>
      </w:r>
    </w:p>
    <w:p>
      <w:pPr>
        <w:pStyle w:val="Style13"/>
        <w:keepNext w:val="0"/>
        <w:keepLines w:val="0"/>
        <w:widowControl w:val="0"/>
        <w:shd w:val="clear" w:color="auto" w:fill="auto"/>
        <w:tabs>
          <w:tab w:pos="634" w:val="left"/>
        </w:tabs>
        <w:bidi w:val="0"/>
        <w:spacing w:before="0" w:after="300" w:line="309" w:lineRule="exact"/>
        <w:ind w:left="0" w:right="0" w:firstLine="0"/>
        <w:jc w:val="both"/>
      </w:pPr>
      <w:bookmarkStart w:id="1" w:name="bookmark1"/>
      <w:r>
        <w:rPr>
          <w:color w:val="000000"/>
          <w:spacing w:val="0"/>
          <w:w w:val="100"/>
          <w:position w:val="0"/>
        </w:rPr>
        <w:t>二</w:t>
      </w:r>
      <w:bookmarkEnd w:id="1"/>
      <w:r>
        <w:rPr>
          <w:color w:val="000000"/>
          <w:spacing w:val="0"/>
          <w:w w:val="100"/>
          <w:position w:val="0"/>
        </w:rPr>
        <w:t>、</w:t>
        <w:tab/>
        <w:t>公司全体董事出席董事会会议。</w:t>
      </w:r>
    </w:p>
    <w:p>
      <w:pPr>
        <w:pStyle w:val="Style13"/>
        <w:keepNext w:val="0"/>
        <w:keepLines w:val="0"/>
        <w:widowControl w:val="0"/>
        <w:shd w:val="clear" w:color="auto" w:fill="auto"/>
        <w:tabs>
          <w:tab w:pos="634" w:val="left"/>
        </w:tabs>
        <w:bidi w:val="0"/>
        <w:spacing w:before="0" w:after="300" w:line="309" w:lineRule="exact"/>
        <w:ind w:left="0" w:right="0" w:firstLine="0"/>
        <w:jc w:val="both"/>
      </w:pPr>
      <w:bookmarkStart w:id="2" w:name="bookmark2"/>
      <w:r>
        <w:rPr>
          <w:color w:val="000000"/>
          <w:spacing w:val="0"/>
          <w:w w:val="100"/>
          <w:position w:val="0"/>
        </w:rPr>
        <w:t>三</w:t>
      </w:r>
      <w:bookmarkEnd w:id="2"/>
      <w:r>
        <w:rPr>
          <w:color w:val="000000"/>
          <w:spacing w:val="0"/>
          <w:w w:val="100"/>
          <w:position w:val="0"/>
        </w:rPr>
        <w:t>、</w:t>
        <w:tab/>
        <w:t>天健会计师事务所（特殊普通合伙）</w:t>
      </w:r>
      <w:r>
        <w:rPr>
          <w:b/>
          <w:bCs/>
          <w:color w:val="000000"/>
          <w:spacing w:val="0"/>
          <w:w w:val="100"/>
          <w:position w:val="0"/>
        </w:rPr>
        <w:t>为本公司出具了标准无保留意见的审计报告。</w:t>
      </w:r>
    </w:p>
    <w:p>
      <w:pPr>
        <w:pStyle w:val="Style13"/>
        <w:keepNext w:val="0"/>
        <w:keepLines w:val="0"/>
        <w:widowControl w:val="0"/>
        <w:shd w:val="clear" w:color="auto" w:fill="auto"/>
        <w:tabs>
          <w:tab w:pos="634" w:val="left"/>
        </w:tabs>
        <w:bidi w:val="0"/>
        <w:spacing w:before="0" w:after="300" w:line="317" w:lineRule="exact"/>
        <w:ind w:left="0" w:right="0" w:firstLine="0"/>
        <w:jc w:val="both"/>
      </w:pPr>
      <w:bookmarkStart w:id="3" w:name="bookmark3"/>
      <w:r>
        <w:rPr>
          <w:color w:val="000000"/>
          <w:spacing w:val="0"/>
          <w:w w:val="100"/>
          <w:position w:val="0"/>
        </w:rPr>
        <w:t>四</w:t>
      </w:r>
      <w:bookmarkEnd w:id="3"/>
      <w:r>
        <w:rPr>
          <w:color w:val="000000"/>
          <w:spacing w:val="0"/>
          <w:w w:val="100"/>
          <w:position w:val="0"/>
        </w:rPr>
        <w:t>、</w:t>
        <w:tab/>
        <w:t>公司负责人赵林中、主管会计工作负责人王坚及会计机构负责人（会计主管人员）王 坚声明：保证年度报告中财务报告的真实、准确、完整。</w:t>
      </w:r>
    </w:p>
    <w:p>
      <w:pPr>
        <w:pStyle w:val="Style13"/>
        <w:keepNext w:val="0"/>
        <w:keepLines w:val="0"/>
        <w:widowControl w:val="0"/>
        <w:shd w:val="clear" w:color="auto" w:fill="auto"/>
        <w:tabs>
          <w:tab w:pos="634" w:val="left"/>
        </w:tabs>
        <w:bidi w:val="0"/>
        <w:spacing w:before="0" w:after="300" w:line="309" w:lineRule="exact"/>
        <w:ind w:left="0" w:right="0" w:firstLine="0"/>
        <w:jc w:val="both"/>
      </w:pPr>
      <w:bookmarkStart w:id="4" w:name="bookmark4"/>
      <w:r>
        <w:rPr>
          <w:color w:val="000000"/>
          <w:spacing w:val="0"/>
          <w:w w:val="100"/>
          <w:position w:val="0"/>
        </w:rPr>
        <w:t>五</w:t>
      </w:r>
      <w:bookmarkEnd w:id="4"/>
      <w:r>
        <w:rPr>
          <w:color w:val="000000"/>
          <w:spacing w:val="0"/>
          <w:w w:val="100"/>
          <w:position w:val="0"/>
        </w:rPr>
        <w:t>、</w:t>
        <w:tab/>
        <w:t>经董事会审议的报告期利润分配预案或公积金转增股本预案：拟以公司</w:t>
      </w:r>
      <w:r>
        <w:rPr>
          <w:rFonts w:ascii="Times New Roman" w:eastAsia="Times New Roman" w:hAnsi="Times New Roman" w:cs="Times New Roman"/>
          <w:color w:val="000000"/>
          <w:spacing w:val="0"/>
          <w:w w:val="100"/>
          <w:position w:val="0"/>
        </w:rPr>
        <w:t>2013</w:t>
      </w:r>
      <w:r>
        <w:rPr>
          <w:color w:val="000000"/>
          <w:spacing w:val="0"/>
          <w:w w:val="100"/>
          <w:position w:val="0"/>
        </w:rPr>
        <w:t>年末的 总股本</w:t>
      </w:r>
      <w:r>
        <w:rPr>
          <w:rFonts w:ascii="Times New Roman" w:eastAsia="Times New Roman" w:hAnsi="Times New Roman" w:cs="Times New Roman"/>
          <w:color w:val="000000"/>
          <w:spacing w:val="0"/>
          <w:w w:val="100"/>
          <w:position w:val="0"/>
        </w:rPr>
        <w:t>182,878,488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3.00</w:t>
      </w:r>
      <w:r>
        <w:rPr>
          <w:color w:val="000000"/>
          <w:spacing w:val="0"/>
          <w:w w:val="100"/>
          <w:position w:val="0"/>
        </w:rPr>
        <w:t>元（含税），共 计</w:t>
      </w:r>
      <w:r>
        <w:rPr>
          <w:rFonts w:ascii="Times New Roman" w:eastAsia="Times New Roman" w:hAnsi="Times New Roman" w:cs="Times New Roman"/>
          <w:color w:val="000000"/>
          <w:spacing w:val="0"/>
          <w:w w:val="100"/>
          <w:position w:val="0"/>
        </w:rPr>
        <w:t>54,863,546.40</w:t>
      </w:r>
      <w:r>
        <w:rPr>
          <w:color w:val="000000"/>
          <w:spacing w:val="0"/>
          <w:w w:val="100"/>
          <w:position w:val="0"/>
        </w:rPr>
        <w:t>元。同时进行资本公积金转增股本，向全体股东每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股，共计 转增</w:t>
      </w:r>
      <w:r>
        <w:rPr>
          <w:rFonts w:ascii="Times New Roman" w:eastAsia="Times New Roman" w:hAnsi="Times New Roman" w:cs="Times New Roman"/>
          <w:color w:val="000000"/>
          <w:spacing w:val="0"/>
          <w:w w:val="100"/>
          <w:position w:val="0"/>
        </w:rPr>
        <w:t>91,439,244.00</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rPr>
        <w:t>274,317,732.00</w:t>
      </w:r>
      <w:r>
        <w:rPr>
          <w:color w:val="000000"/>
          <w:spacing w:val="0"/>
          <w:w w:val="100"/>
          <w:position w:val="0"/>
        </w:rPr>
        <w:t>股。</w:t>
      </w:r>
    </w:p>
    <w:p>
      <w:pPr>
        <w:pStyle w:val="Style13"/>
        <w:keepNext w:val="0"/>
        <w:keepLines w:val="0"/>
        <w:widowControl w:val="0"/>
        <w:shd w:val="clear" w:color="auto" w:fill="auto"/>
        <w:tabs>
          <w:tab w:pos="634" w:val="left"/>
        </w:tabs>
        <w:bidi w:val="0"/>
        <w:spacing w:before="0" w:after="0" w:line="307" w:lineRule="exact"/>
        <w:ind w:left="0" w:right="0" w:firstLine="0"/>
        <w:jc w:val="both"/>
      </w:pPr>
      <w:bookmarkStart w:id="5" w:name="bookmark5"/>
      <w:r>
        <w:rPr>
          <w:color w:val="000000"/>
          <w:spacing w:val="0"/>
          <w:w w:val="100"/>
          <w:position w:val="0"/>
        </w:rPr>
        <w:t>六</w:t>
      </w:r>
      <w:bookmarkEnd w:id="5"/>
      <w:r>
        <w:rPr>
          <w:color w:val="000000"/>
          <w:spacing w:val="0"/>
          <w:w w:val="100"/>
          <w:position w:val="0"/>
        </w:rPr>
        <w:t>、</w:t>
        <w:tab/>
        <w:t>前瞻性陈述的风险声明</w:t>
      </w:r>
    </w:p>
    <w:p>
      <w:pPr>
        <w:pStyle w:val="Style13"/>
        <w:keepNext w:val="0"/>
        <w:keepLines w:val="0"/>
        <w:widowControl w:val="0"/>
        <w:shd w:val="clear" w:color="auto" w:fill="auto"/>
        <w:bidi w:val="0"/>
        <w:spacing w:before="0" w:after="300" w:line="307" w:lineRule="exact"/>
        <w:ind w:left="0" w:right="0" w:firstLine="0"/>
        <w:jc w:val="both"/>
      </w:pPr>
      <w:r>
        <w:rPr>
          <w:color w:val="000000"/>
          <w:spacing w:val="0"/>
          <w:w w:val="100"/>
          <w:position w:val="0"/>
        </w:rPr>
        <w:t>本报告涉及未来计划等前瞻性陈述，不构成公司对投资者的实质承诺，请投资者注意投资风 险。</w:t>
      </w:r>
    </w:p>
    <w:p>
      <w:pPr>
        <w:pStyle w:val="Style13"/>
        <w:keepNext w:val="0"/>
        <w:keepLines w:val="0"/>
        <w:widowControl w:val="0"/>
        <w:shd w:val="clear" w:color="auto" w:fill="auto"/>
        <w:tabs>
          <w:tab w:pos="634" w:val="left"/>
        </w:tabs>
        <w:bidi w:val="0"/>
        <w:spacing w:before="0" w:after="0" w:line="309" w:lineRule="exact"/>
        <w:ind w:left="0" w:right="0" w:firstLine="0"/>
        <w:jc w:val="both"/>
      </w:pPr>
      <w:bookmarkStart w:id="6" w:name="bookmark6"/>
      <w:r>
        <w:rPr>
          <w:color w:val="000000"/>
          <w:spacing w:val="0"/>
          <w:w w:val="100"/>
          <w:position w:val="0"/>
        </w:rPr>
        <w:t>七</w:t>
      </w:r>
      <w:bookmarkEnd w:id="6"/>
      <w:r>
        <w:rPr>
          <w:color w:val="000000"/>
          <w:spacing w:val="0"/>
          <w:w w:val="100"/>
          <w:position w:val="0"/>
        </w:rPr>
        <w:t>、</w:t>
        <w:tab/>
        <w:t>是否存在被控股股东及其关联方非经营性占用资金情况？</w:t>
      </w:r>
    </w:p>
    <w:p>
      <w:pPr>
        <w:pStyle w:val="Style13"/>
        <w:keepNext w:val="0"/>
        <w:keepLines w:val="0"/>
        <w:widowControl w:val="0"/>
        <w:shd w:val="clear" w:color="auto" w:fill="auto"/>
        <w:bidi w:val="0"/>
        <w:spacing w:before="0" w:after="300" w:line="309" w:lineRule="exact"/>
        <w:ind w:left="0" w:right="0" w:firstLine="0"/>
        <w:jc w:val="both"/>
      </w:pPr>
      <w:r>
        <w:rPr>
          <w:color w:val="000000"/>
          <w:spacing w:val="0"/>
          <w:w w:val="100"/>
          <w:position w:val="0"/>
        </w:rPr>
        <w:t>否</w:t>
      </w:r>
    </w:p>
    <w:p>
      <w:pPr>
        <w:pStyle w:val="Style13"/>
        <w:keepNext w:val="0"/>
        <w:keepLines w:val="0"/>
        <w:widowControl w:val="0"/>
        <w:shd w:val="clear" w:color="auto" w:fill="auto"/>
        <w:tabs>
          <w:tab w:pos="634" w:val="left"/>
        </w:tabs>
        <w:bidi w:val="0"/>
        <w:spacing w:before="0" w:after="0" w:line="309" w:lineRule="exact"/>
        <w:ind w:left="0" w:right="0" w:firstLine="0"/>
        <w:jc w:val="both"/>
      </w:pPr>
      <w:bookmarkStart w:id="7" w:name="bookmark7"/>
      <w:r>
        <w:rPr>
          <w:color w:val="000000"/>
          <w:spacing w:val="0"/>
          <w:w w:val="100"/>
          <w:position w:val="0"/>
        </w:rPr>
        <w:t>八</w:t>
      </w:r>
      <w:bookmarkEnd w:id="7"/>
      <w:r>
        <w:rPr>
          <w:color w:val="000000"/>
          <w:spacing w:val="0"/>
          <w:w w:val="100"/>
          <w:position w:val="0"/>
        </w:rPr>
        <w:t>、</w:t>
        <w:tab/>
        <w:t>是否存在违反规定决策程序对外提供担保的情况？</w:t>
      </w:r>
    </w:p>
    <w:p>
      <w:pPr>
        <w:pStyle w:val="Style13"/>
        <w:keepNext w:val="0"/>
        <w:keepLines w:val="0"/>
        <w:widowControl w:val="0"/>
        <w:shd w:val="clear" w:color="auto" w:fill="auto"/>
        <w:bidi w:val="0"/>
        <w:spacing w:before="0" w:after="300" w:line="309" w:lineRule="exact"/>
        <w:ind w:left="0" w:right="0" w:firstLine="0"/>
        <w:jc w:val="both"/>
        <w:sectPr>
          <w:footnotePr>
            <w:pos w:val="pageBottom"/>
            <w:numFmt w:val="decimal"/>
            <w:numRestart w:val="continuous"/>
          </w:footnotePr>
          <w:pgSz w:w="12240" w:h="15840"/>
          <w:pgMar w:top="1418" w:right="1855" w:bottom="1418" w:left="1946"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0" w:after="0" w:line="240" w:lineRule="auto"/>
        <w:ind w:left="0" w:right="0" w:firstLine="0"/>
        <w:jc w:val="center"/>
      </w:pPr>
      <w:bookmarkStart w:id="10" w:name="bookmark10"/>
      <w:bookmarkStart w:id="8" w:name="bookmark8"/>
      <w:bookmarkStart w:id="9" w:name="bookmark9"/>
      <w:r>
        <w:rPr>
          <w:color w:val="000000"/>
          <w:spacing w:val="0"/>
          <w:w w:val="100"/>
          <w:position w:val="0"/>
        </w:rPr>
        <w:t>目录</w:t>
      </w:r>
      <w:bookmarkEnd w:id="10"/>
      <w:bookmarkEnd w:id="8"/>
      <w:bookmarkEnd w:id="9"/>
    </w:p>
    <w:p>
      <w:pPr>
        <w:pStyle w:val="Style13"/>
        <w:keepNext w:val="0"/>
        <w:keepLines w:val="0"/>
        <w:widowControl w:val="0"/>
        <w:shd w:val="clear" w:color="auto" w:fill="auto"/>
        <w:tabs>
          <w:tab w:leader="dot" w:pos="7938" w:val="left"/>
          <w:tab w:leader="dot" w:pos="8040" w:val="left"/>
          <w:tab w:leader="dot" w:pos="8040" w:val="left"/>
          <w:tab w:leader="dot" w:pos="8040" w:val="left"/>
          <w:tab w:leader="dot" w:pos="8040" w:val="left"/>
          <w:tab w:leader="dot" w:pos="8040" w:val="left"/>
          <w:tab w:leader="dot" w:pos="8040" w:val="left"/>
          <w:tab w:leader="dot" w:pos="8146" w:val="left"/>
          <w:tab w:leader="dot" w:pos="8146" w:val="left"/>
          <w:tab w:leader="dot" w:pos="8146" w:val="left"/>
          <w:tab w:leader="dot" w:pos="8146" w:val="left"/>
        </w:tabs>
        <w:bidi w:val="0"/>
        <w:spacing w:before="0" w:after="0" w:line="311" w:lineRule="exact"/>
        <w:ind w:left="0" w:right="0" w:firstLine="0"/>
        <w:jc w:val="both"/>
        <w:sectPr>
          <w:footnotePr>
            <w:pos w:val="pageBottom"/>
            <w:numFmt w:val="decimal"/>
            <w:numRestart w:val="continuous"/>
          </w:footnotePr>
          <w:pgSz w:w="12240" w:h="15840"/>
          <w:pgMar w:top="1643" w:right="972" w:bottom="1643" w:left="1946" w:header="0" w:footer="3" w:gutter="0"/>
          <w:cols w:space="720"/>
          <w:noEndnote/>
          <w:rtlGutter w:val="0"/>
          <w:docGrid w:linePitch="360"/>
        </w:sectPr>
      </w:pPr>
      <w:r>
        <w:rPr>
          <w:color w:val="000000"/>
          <w:spacing w:val="0"/>
          <w:w w:val="100"/>
          <w:position w:val="0"/>
        </w:rPr>
        <w:t>第一节释义及重大风险提示</w:t>
      </w:r>
      <w:r>
        <w:rPr>
          <w:color w:val="000000"/>
          <w:spacing w:val="0"/>
          <w:w w:val="100"/>
          <w:position w:val="0"/>
        </w:rPr>
        <w:tab/>
      </w:r>
      <w:r>
        <w:rPr>
          <w:rFonts w:ascii="Times New Roman" w:eastAsia="Times New Roman" w:hAnsi="Times New Roman" w:cs="Times New Roman"/>
          <w:color w:val="000000"/>
          <w:spacing w:val="0"/>
          <w:w w:val="100"/>
          <w:position w:val="0"/>
        </w:rPr>
        <w:t xml:space="preserve">4 </w:t>
      </w:r>
      <w:r>
        <w:rPr>
          <w:color w:val="000000"/>
          <w:spacing w:val="0"/>
          <w:w w:val="100"/>
          <w:position w:val="0"/>
        </w:rPr>
        <w:t>第二节 公司简介</w:t>
      </w:r>
      <w:r>
        <w:rPr>
          <w:color w:val="000000"/>
          <w:spacing w:val="0"/>
          <w:w w:val="100"/>
          <w:position w:val="0"/>
        </w:rPr>
        <w:tab/>
      </w:r>
      <w:r>
        <w:rPr>
          <w:rFonts w:ascii="Times New Roman" w:eastAsia="Times New Roman" w:hAnsi="Times New Roman" w:cs="Times New Roman"/>
          <w:color w:val="000000"/>
          <w:spacing w:val="0"/>
          <w:w w:val="100"/>
          <w:position w:val="0"/>
        </w:rPr>
        <w:t xml:space="preserve">5 </w:t>
      </w:r>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 xml:space="preserve">7 </w:t>
      </w:r>
      <w:r>
        <w:rPr>
          <w:color w:val="000000"/>
          <w:spacing w:val="0"/>
          <w:w w:val="100"/>
          <w:position w:val="0"/>
        </w:rPr>
        <w:t>第四节 董事会报告</w:t>
      </w:r>
      <w:r>
        <w:rPr>
          <w:color w:val="000000"/>
          <w:spacing w:val="0"/>
          <w:w w:val="100"/>
          <w:position w:val="0"/>
        </w:rPr>
        <w:tab/>
      </w:r>
      <w:r>
        <w:rPr>
          <w:rFonts w:ascii="Times New Roman" w:eastAsia="Times New Roman" w:hAnsi="Times New Roman" w:cs="Times New Roman"/>
          <w:color w:val="000000"/>
          <w:spacing w:val="0"/>
          <w:w w:val="100"/>
          <w:position w:val="0"/>
        </w:rPr>
        <w:t xml:space="preserve">9 </w:t>
      </w:r>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 xml:space="preserve">19 </w:t>
      </w:r>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 xml:space="preserve">23 </w:t>
      </w:r>
      <w:r>
        <w:rPr>
          <w:color w:val="000000"/>
          <w:spacing w:val="0"/>
          <w:w w:val="100"/>
          <w:position w:val="0"/>
        </w:rPr>
        <w:t>第七节 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 xml:space="preserve">27 </w:t>
      </w:r>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 xml:space="preserve">32 </w:t>
      </w:r>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 xml:space="preserve">35 </w:t>
      </w:r>
      <w:r>
        <w:rPr>
          <w:color w:val="000000"/>
          <w:spacing w:val="0"/>
          <w:w w:val="100"/>
          <w:position w:val="0"/>
        </w:rPr>
        <w:t>第十节财务会计报告</w:t>
      </w:r>
      <w:r>
        <w:rPr>
          <w:color w:val="000000"/>
          <w:spacing w:val="0"/>
          <w:w w:val="100"/>
          <w:position w:val="0"/>
        </w:rPr>
        <w:tab/>
      </w:r>
      <w:r>
        <w:rPr>
          <w:rFonts w:ascii="Times New Roman" w:eastAsia="Times New Roman" w:hAnsi="Times New Roman" w:cs="Times New Roman"/>
          <w:color w:val="000000"/>
          <w:spacing w:val="0"/>
          <w:w w:val="100"/>
          <w:position w:val="0"/>
        </w:rPr>
        <w:t xml:space="preserve">36 </w:t>
      </w:r>
      <w:r>
        <w:rPr>
          <w:color w:val="000000"/>
          <w:spacing w:val="0"/>
          <w:w w:val="100"/>
          <w:position w:val="0"/>
        </w:rPr>
        <w:t>第十一节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126</w:t>
      </w:r>
    </w:p>
    <w:p>
      <w:pPr>
        <w:pStyle w:val="Style17"/>
        <w:keepNext/>
        <w:keepLines/>
        <w:widowControl w:val="0"/>
        <w:shd w:val="clear" w:color="auto" w:fill="auto"/>
        <w:bidi w:val="0"/>
        <w:spacing w:before="0" w:after="940" w:line="240" w:lineRule="auto"/>
        <w:ind w:left="0" w:right="0" w:firstLine="0"/>
        <w:jc w:val="left"/>
      </w:pPr>
      <w:bookmarkStart w:id="11" w:name="bookmark11"/>
      <w:bookmarkStart w:id="12" w:name="bookmark12"/>
      <w:bookmarkStart w:id="13" w:name="bookmark13"/>
      <w:r>
        <w:rPr>
          <w:color w:val="000000"/>
          <w:spacing w:val="0"/>
          <w:w w:val="100"/>
          <w:position w:val="0"/>
        </w:rPr>
        <w:t>第一节释义及重大风险提示</w:t>
      </w:r>
      <w:bookmarkEnd w:id="11"/>
      <w:bookmarkEnd w:id="12"/>
      <w:bookmarkEnd w:id="13"/>
    </w:p>
    <w:p>
      <w:pPr>
        <w:pStyle w:val="Style19"/>
        <w:keepNext w:val="0"/>
        <w:keepLines w:val="0"/>
        <w:widowControl w:val="0"/>
        <w:shd w:val="clear" w:color="auto" w:fill="auto"/>
        <w:bidi w:val="0"/>
        <w:spacing w:before="0" w:after="0" w:line="240" w:lineRule="auto"/>
        <w:ind w:left="634" w:right="0" w:firstLine="0"/>
        <w:jc w:val="left"/>
      </w:pPr>
      <w:r>
        <w:rPr>
          <w:color w:val="000000"/>
          <w:spacing w:val="0"/>
          <w:w w:val="100"/>
          <w:position w:val="0"/>
        </w:rPr>
        <w:t>释义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269"/>
        <w:gridCol w:w="2789"/>
        <w:gridCol w:w="3264"/>
      </w:tblGrid>
      <w:tr>
        <w:trPr>
          <w:trHeight w:val="336"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公司、本公司、浙江富润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浙江富润股份有限公司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印染公司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浙江富润印染有限公司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浙江富润纺织有限公司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海茂公司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浙江富润海茂纺织布艺有限公司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宏丰公司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浙江诸暨富润宏丰纺织有限公司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丝绸织造公司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浙江诸暨富润丝绸织造有限公司</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明贺公司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浙江明贺钢管有限公司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富源公司、再生资源公司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浙江富源再生资源有限公司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富润屋公司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诸暨富润屋城东置业有限公司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浙江富润贸易有限公司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诸暨富润服饰有限公司</w:t>
            </w:r>
          </w:p>
        </w:tc>
      </w:tr>
      <w:tr>
        <w:trPr>
          <w:trHeight w:val="6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长城创意园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诸暨长城国际影视网游动漫创意 园有限公司</w:t>
            </w:r>
          </w:p>
        </w:tc>
      </w:tr>
      <w:tr>
        <w:trPr>
          <w:trHeight w:val="33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widowControl w:val="0"/>
        <w:spacing w:after="259" w:line="1" w:lineRule="exact"/>
      </w:pPr>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二、重大风险提示：</w:t>
      </w:r>
    </w:p>
    <w:p>
      <w:pPr>
        <w:pStyle w:val="Style13"/>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2240" w:h="15840"/>
          <w:pgMar w:top="1244" w:right="972" w:bottom="1244" w:left="1946" w:header="0" w:footer="3" w:gutter="0"/>
          <w:cols w:space="720"/>
          <w:noEndnote/>
          <w:rtlGutter w:val="0"/>
          <w:docGrid w:linePitch="360"/>
        </w:sectPr>
      </w:pPr>
      <w:r>
        <w:rPr>
          <w:color w:val="000000"/>
          <w:spacing w:val="0"/>
          <w:w w:val="100"/>
          <w:position w:val="0"/>
        </w:rPr>
        <w:t>敬请查阅本报告第四章</w:t>
      </w:r>
      <w:r>
        <w:rPr>
          <w:rFonts w:ascii="Times New Roman" w:eastAsia="Times New Roman" w:hAnsi="Times New Roman" w:cs="Times New Roman"/>
          <w:color w:val="000000"/>
          <w:spacing w:val="0"/>
          <w:w w:val="100"/>
          <w:position w:val="0"/>
        </w:rPr>
        <w:t>"</w:t>
      </w:r>
      <w:r>
        <w:rPr>
          <w:color w:val="000000"/>
          <w:spacing w:val="0"/>
          <w:w w:val="100"/>
          <w:position w:val="0"/>
        </w:rPr>
        <w:t>董事会报告</w:t>
      </w:r>
      <w:r>
        <w:rPr>
          <w:rFonts w:ascii="Times New Roman" w:eastAsia="Times New Roman" w:hAnsi="Times New Roman" w:cs="Times New Roman"/>
          <w:color w:val="000000"/>
          <w:spacing w:val="0"/>
          <w:w w:val="100"/>
          <w:position w:val="0"/>
        </w:rPr>
        <w:t>"</w:t>
      </w:r>
      <w:r>
        <w:rPr>
          <w:color w:val="000000"/>
          <w:spacing w:val="0"/>
          <w:w w:val="100"/>
          <w:position w:val="0"/>
        </w:rPr>
        <w:t>中关于公司未来发展的讨论与分析中可能面对的风险 部分的内容。</w:t>
      </w:r>
    </w:p>
    <w:p>
      <w:pPr>
        <w:pStyle w:val="Style17"/>
        <w:keepNext/>
        <w:keepLines/>
        <w:widowControl w:val="0"/>
        <w:shd w:val="clear" w:color="auto" w:fill="auto"/>
        <w:bidi w:val="0"/>
        <w:spacing w:before="280" w:after="840" w:line="240" w:lineRule="auto"/>
        <w:ind w:left="0" w:right="0" w:firstLine="0"/>
        <w:jc w:val="left"/>
      </w:pPr>
      <w:bookmarkStart w:id="14" w:name="bookmark14"/>
      <w:bookmarkStart w:id="15" w:name="bookmark15"/>
      <w:bookmarkStart w:id="16" w:name="bookmark16"/>
      <w:r>
        <w:rPr>
          <w:color w:val="000000"/>
          <w:spacing w:val="0"/>
          <w:w w:val="100"/>
          <w:position w:val="0"/>
        </w:rPr>
        <w:t>第二节公司简介</w:t>
      </w:r>
      <w:bookmarkEnd w:id="14"/>
      <w:bookmarkEnd w:id="15"/>
      <w:bookmarkEnd w:id="16"/>
    </w:p>
    <w:p>
      <w:pPr>
        <w:pStyle w:val="Style19"/>
        <w:keepNext w:val="0"/>
        <w:keepLines w:val="0"/>
        <w:widowControl w:val="0"/>
        <w:shd w:val="clear" w:color="auto" w:fill="auto"/>
        <w:bidi w:val="0"/>
        <w:spacing w:before="0" w:after="0" w:line="240" w:lineRule="auto"/>
        <w:ind w:left="643" w:right="0" w:firstLine="0"/>
        <w:jc w:val="left"/>
      </w:pPr>
      <w:r>
        <w:rPr>
          <w:color w:val="000000"/>
          <w:spacing w:val="0"/>
          <w:w w:val="100"/>
          <w:position w:val="0"/>
        </w:rPr>
        <w:t>公司信息</w:t>
      </w:r>
    </w:p>
    <w:tbl>
      <w:tblPr>
        <w:tblOverlap w:val="never"/>
        <w:jc w:val="center"/>
        <w:tblLayout w:type="fixed"/>
      </w:tblPr>
      <w:tblGrid>
        <w:gridCol w:w="4051"/>
        <w:gridCol w:w="527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浙江富润股份有限公司</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Zhejiang Furun CO.,LTD</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Zhejiang Furun</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联系人和联系方式</w:t>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卢伯军</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浙江省诸暨市陶朱南路</w:t>
            </w:r>
            <w:r>
              <w:rPr>
                <w:rFonts w:ascii="Times New Roman" w:eastAsia="Times New Roman" w:hAnsi="Times New Roman" w:cs="Times New Roman"/>
                <w:color w:val="000000"/>
                <w:spacing w:val="0"/>
                <w:w w:val="100"/>
                <w:position w:val="0"/>
              </w:rPr>
              <w:t>12</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浙江省诸暨市陶朱南路</w:t>
            </w:r>
            <w:r>
              <w:rPr>
                <w:rFonts w:ascii="Times New Roman" w:eastAsia="Times New Roman" w:hAnsi="Times New Roman" w:cs="Times New Roman"/>
                <w:color w:val="000000"/>
                <w:spacing w:val="0"/>
                <w:w w:val="100"/>
                <w:position w:val="0"/>
              </w:rPr>
              <w:t>12</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0575-87015763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0575-87015296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0575-87026018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0575-87026018</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"mailto:frdjtx@163.com" </w:instrText>
            </w:r>
            <w:r>
              <w:fldChar w:fldCharType="separate"/>
            </w:r>
            <w:r>
              <w:rPr>
                <w:rFonts w:ascii="Times New Roman" w:eastAsia="Times New Roman" w:hAnsi="Times New Roman" w:cs="Times New Roman"/>
                <w:color w:val="000000"/>
                <w:spacing w:val="0"/>
                <w:w w:val="100"/>
                <w:position w:val="0"/>
              </w:rPr>
              <w:t>frdjtx@163.com</w:t>
            </w:r>
            <w:r>
              <w:fldChar w:fldCharType="end"/>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"mailto:whf65@126.com" </w:instrText>
            </w:r>
            <w:r>
              <w:fldChar w:fldCharType="separate"/>
            </w:r>
            <w:r>
              <w:rPr>
                <w:rFonts w:ascii="Times New Roman" w:eastAsia="Times New Roman" w:hAnsi="Times New Roman" w:cs="Times New Roman"/>
                <w:color w:val="000000"/>
                <w:spacing w:val="0"/>
                <w:w w:val="100"/>
                <w:position w:val="0"/>
              </w:rPr>
              <w:t>whf65@126.com</w:t>
            </w:r>
            <w:r>
              <w:fldChar w:fldCharType="end"/>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三、基本情况简介</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浙江省诸暨市暨阳街道苎萝东路</w:t>
            </w:r>
            <w:r>
              <w:rPr>
                <w:rFonts w:ascii="Times New Roman" w:eastAsia="Times New Roman" w:hAnsi="Times New Roman" w:cs="Times New Roman"/>
                <w:color w:val="000000"/>
                <w:spacing w:val="0"/>
                <w:w w:val="100"/>
                <w:position w:val="0"/>
              </w:rPr>
              <w:t>60</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311800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浙江省诸暨市陶朱南路</w:t>
            </w:r>
            <w:r>
              <w:rPr>
                <w:rFonts w:ascii="Times New Roman" w:eastAsia="Times New Roman" w:hAnsi="Times New Roman" w:cs="Times New Roman"/>
                <w:color w:val="000000"/>
                <w:spacing w:val="0"/>
                <w:w w:val="100"/>
                <w:position w:val="0"/>
              </w:rPr>
              <w:t>12</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311800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"http://www.furun.net" </w:instrText>
            </w:r>
            <w:r>
              <w:fldChar w:fldCharType="separate"/>
            </w:r>
            <w:r>
              <w:rPr>
                <w:rFonts w:ascii="Times New Roman" w:eastAsia="Times New Roman" w:hAnsi="Times New Roman" w:cs="Times New Roman"/>
                <w:color w:val="000000"/>
                <w:spacing w:val="0"/>
                <w:w w:val="100"/>
                <w:position w:val="0"/>
              </w:rPr>
              <w:t>www.furun.net</w:t>
            </w:r>
            <w:r>
              <w:fldChar w:fldCharType="end"/>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"mailto:frdjtx@163.com" </w:instrText>
            </w:r>
            <w:r>
              <w:fldChar w:fldCharType="separate"/>
            </w:r>
            <w:r>
              <w:rPr>
                <w:rFonts w:ascii="Times New Roman" w:eastAsia="Times New Roman" w:hAnsi="Times New Roman" w:cs="Times New Roman"/>
                <w:color w:val="000000"/>
                <w:spacing w:val="0"/>
                <w:w w:val="100"/>
                <w:position w:val="0"/>
              </w:rPr>
              <w:t>frdjtx@163.com</w:t>
            </w:r>
            <w:r>
              <w:fldChar w:fldCharType="end"/>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四、信息披露及备置地点</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浙江省诸暨市陶朱南路</w:t>
            </w:r>
            <w:r>
              <w:rPr>
                <w:rFonts w:ascii="Times New Roman" w:eastAsia="Times New Roman" w:hAnsi="Times New Roman" w:cs="Times New Roman"/>
                <w:color w:val="000000"/>
                <w:spacing w:val="0"/>
                <w:w w:val="100"/>
                <w:position w:val="0"/>
              </w:rPr>
              <w:t>12</w:t>
            </w:r>
            <w:r>
              <w:rPr>
                <w:color w:val="000000"/>
                <w:spacing w:val="0"/>
                <w:w w:val="100"/>
                <w:position w:val="0"/>
              </w:rPr>
              <w:t>号</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rPr>
        <w:t>五、公司股票简况</w:t>
      </w:r>
    </w:p>
    <w:tbl>
      <w:tblPr>
        <w:tblOverlap w:val="never"/>
        <w:jc w:val="center"/>
        <w:tblLayout w:type="fixed"/>
      </w:tblPr>
      <w:tblGrid>
        <w:gridCol w:w="1872"/>
        <w:gridCol w:w="1858"/>
        <w:gridCol w:w="1862"/>
        <w:gridCol w:w="1858"/>
        <w:gridCol w:w="1872"/>
      </w:tblGrid>
      <w:tr>
        <w:trPr>
          <w:trHeight w:val="298" w:hRule="exact"/>
        </w:trPr>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变更前股票简称</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六、公司报告期内注册变更情况</w:t>
      </w:r>
    </w:p>
    <w:p>
      <w:pPr>
        <w:pStyle w:val="Style13"/>
        <w:keepNext w:val="0"/>
        <w:keepLines w:val="0"/>
        <w:widowControl w:val="0"/>
        <w:shd w:val="clear" w:color="auto" w:fill="auto"/>
        <w:bidi w:val="0"/>
        <w:spacing w:before="0" w:after="240" w:line="302" w:lineRule="exact"/>
        <w:ind w:left="0" w:right="0" w:firstLine="0"/>
        <w:jc w:val="left"/>
      </w:pPr>
      <w:bookmarkStart w:id="17" w:name="bookmark17"/>
      <w:r>
        <w:rPr>
          <w:rFonts w:ascii="Times New Roman" w:eastAsia="Times New Roman" w:hAnsi="Times New Roman" w:cs="Times New Roman"/>
          <w:color w:val="000000"/>
          <w:spacing w:val="0"/>
          <w:w w:val="100"/>
          <w:position w:val="0"/>
        </w:rPr>
        <w:t>（</w:t>
      </w:r>
      <w:bookmarkEnd w:id="17"/>
      <w:r>
        <w:rPr>
          <w:color w:val="000000"/>
          <w:spacing w:val="0"/>
          <w:w w:val="100"/>
          <w:position w:val="0"/>
        </w:rPr>
        <w:t>一</w:t>
      </w:r>
      <w:r>
        <w:rPr>
          <w:color w:val="000000"/>
          <w:spacing w:val="0"/>
          <w:w w:val="100"/>
          <w:position w:val="0"/>
        </w:rPr>
        <w:t>）</w:t>
      </w:r>
      <w:r>
        <w:rPr>
          <w:color w:val="000000"/>
          <w:spacing w:val="0"/>
          <w:w w:val="100"/>
          <w:position w:val="0"/>
        </w:rPr>
        <w:t>基本情况 公司报告期内注册情况未变更。</w:t>
      </w:r>
    </w:p>
    <w:p>
      <w:pPr>
        <w:pStyle w:val="Style13"/>
        <w:keepNext w:val="0"/>
        <w:keepLines w:val="0"/>
        <w:widowControl w:val="0"/>
        <w:shd w:val="clear" w:color="auto" w:fill="auto"/>
        <w:bidi w:val="0"/>
        <w:spacing w:before="0" w:after="0" w:line="240" w:lineRule="auto"/>
        <w:ind w:left="0" w:right="0" w:firstLine="0"/>
        <w:jc w:val="left"/>
      </w:pPr>
      <w:bookmarkStart w:id="18" w:name="bookmark18"/>
      <w:r>
        <w:rPr>
          <w:rFonts w:ascii="Times New Roman" w:eastAsia="Times New Roman" w:hAnsi="Times New Roman" w:cs="Times New Roman"/>
          <w:color w:val="000000"/>
          <w:spacing w:val="0"/>
          <w:w w:val="100"/>
          <w:position w:val="0"/>
        </w:rPr>
        <w:t>（</w:t>
      </w:r>
      <w:bookmarkEnd w:id="18"/>
      <w:r>
        <w:rPr>
          <w:color w:val="000000"/>
          <w:spacing w:val="0"/>
          <w:w w:val="100"/>
          <w:position w:val="0"/>
        </w:rPr>
        <w:t>二</w:t>
      </w:r>
      <w:r>
        <w:rPr>
          <w:color w:val="000000"/>
          <w:spacing w:val="0"/>
          <w:w w:val="100"/>
          <w:position w:val="0"/>
        </w:rPr>
        <w:t>）</w:t>
      </w:r>
      <w:r>
        <w:rPr>
          <w:color w:val="000000"/>
          <w:spacing w:val="0"/>
          <w:w w:val="100"/>
          <w:position w:val="0"/>
        </w:rPr>
        <w:t>公司首次注册情况的相关查询索引</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公司首次注册情况详见</w:t>
      </w:r>
      <w:r>
        <w:rPr>
          <w:rFonts w:ascii="Times New Roman" w:eastAsia="Times New Roman" w:hAnsi="Times New Roman" w:cs="Times New Roman"/>
          <w:color w:val="000000"/>
          <w:spacing w:val="0"/>
          <w:w w:val="100"/>
          <w:position w:val="0"/>
        </w:rPr>
        <w:t>2011</w:t>
      </w:r>
      <w:r>
        <w:rPr>
          <w:color w:val="000000"/>
          <w:spacing w:val="0"/>
          <w:w w:val="100"/>
          <w:position w:val="0"/>
        </w:rPr>
        <w:t>年年度报告公司基本情况。</w:t>
      </w:r>
    </w:p>
    <w:p>
      <w:pPr>
        <w:pStyle w:val="Style13"/>
        <w:keepNext w:val="0"/>
        <w:keepLines w:val="0"/>
        <w:widowControl w:val="0"/>
        <w:shd w:val="clear" w:color="auto" w:fill="auto"/>
        <w:tabs>
          <w:tab w:pos="559" w:val="left"/>
        </w:tabs>
        <w:bidi w:val="0"/>
        <w:spacing w:before="0" w:after="240" w:line="274" w:lineRule="exact"/>
        <w:ind w:left="0" w:right="0" w:firstLine="0"/>
        <w:jc w:val="left"/>
      </w:pPr>
      <w:bookmarkStart w:id="19" w:name="bookmark19"/>
      <w:r>
        <w:rPr>
          <w:rFonts w:ascii="Times New Roman" w:eastAsia="Times New Roman" w:hAnsi="Times New Roman" w:cs="Times New Roman"/>
          <w:color w:val="000000"/>
          <w:spacing w:val="0"/>
          <w:w w:val="100"/>
          <w:position w:val="0"/>
        </w:rPr>
        <w:t>（</w:t>
      </w:r>
      <w:bookmarkEnd w:id="19"/>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公司上市以来，主营业务的变化情况 公司上市以来，主营业务未发生明显变化。</w:t>
      </w:r>
    </w:p>
    <w:p>
      <w:pPr>
        <w:pStyle w:val="Style13"/>
        <w:keepNext w:val="0"/>
        <w:keepLines w:val="0"/>
        <w:widowControl w:val="0"/>
        <w:shd w:val="clear" w:color="auto" w:fill="auto"/>
        <w:tabs>
          <w:tab w:pos="559" w:val="left"/>
        </w:tabs>
        <w:bidi w:val="0"/>
        <w:spacing w:before="0" w:after="300" w:line="269" w:lineRule="exact"/>
        <w:ind w:left="0" w:right="0" w:firstLine="0"/>
        <w:jc w:val="left"/>
      </w:pPr>
      <w:bookmarkStart w:id="20" w:name="bookmark20"/>
      <w:r>
        <w:rPr>
          <w:rFonts w:ascii="Times New Roman" w:eastAsia="Times New Roman" w:hAnsi="Times New Roman" w:cs="Times New Roman"/>
          <w:color w:val="000000"/>
          <w:spacing w:val="0"/>
          <w:w w:val="100"/>
          <w:position w:val="0"/>
        </w:rPr>
        <w:t>（</w:t>
      </w:r>
      <w:bookmarkEnd w:id="20"/>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w:t>
      </w:r>
      <w:r>
        <w:rPr>
          <w:color w:val="000000"/>
          <w:spacing w:val="0"/>
          <w:w w:val="100"/>
          <w:position w:val="0"/>
        </w:rPr>
        <w:t>，</w:t>
      </w:r>
      <w:r>
        <w:rPr>
          <w:color w:val="000000"/>
          <w:spacing w:val="0"/>
          <w:w w:val="100"/>
          <w:position w:val="0"/>
        </w:rPr>
        <w:t>历次控股股东的变更情况 公司上市以来，控股股东未发生变更。</w:t>
      </w:r>
    </w:p>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七、其他有关资料</w:t>
      </w:r>
    </w:p>
    <w:tbl>
      <w:tblPr>
        <w:tblOverlap w:val="never"/>
        <w:jc w:val="center"/>
        <w:tblLayout w:type="fixed"/>
      </w:tblPr>
      <w:tblGrid>
        <w:gridCol w:w="4205"/>
        <w:gridCol w:w="2045"/>
        <w:gridCol w:w="3072"/>
      </w:tblGrid>
      <w:tr>
        <w:trPr>
          <w:trHeight w:val="58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公司聘请的会计师事务所名称（境内）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天健会计师事务所（特殊普通 合伙）</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浙江省杭州市西溪路</w:t>
            </w:r>
            <w:r>
              <w:rPr>
                <w:rFonts w:ascii="Times New Roman" w:eastAsia="Times New Roman" w:hAnsi="Times New Roman" w:cs="Times New Roman"/>
                <w:color w:val="000000"/>
                <w:spacing w:val="0"/>
                <w:w w:val="100"/>
                <w:position w:val="0"/>
              </w:rPr>
              <w:t>128</w:t>
            </w:r>
            <w:r>
              <w:rPr>
                <w:color w:val="000000"/>
                <w:spacing w:val="0"/>
                <w:w w:val="100"/>
                <w:position w:val="0"/>
              </w:rPr>
              <w:t>号金 鼎广场西楼</w:t>
            </w:r>
          </w:p>
        </w:tc>
      </w:tr>
      <w:tr>
        <w:trPr>
          <w:trHeight w:val="2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向晓三</w:t>
            </w:r>
          </w:p>
        </w:tc>
      </w:tr>
      <w:tr>
        <w:trPr>
          <w:trHeight w:val="32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张小利</w:t>
            </w:r>
          </w:p>
        </w:tc>
      </w:tr>
    </w:tbl>
    <w:p>
      <w:pPr>
        <w:sectPr>
          <w:headerReference w:type="default" r:id="rId9"/>
          <w:footerReference w:type="default" r:id="rId10"/>
          <w:footnotePr>
            <w:pos w:val="pageBottom"/>
            <w:numFmt w:val="decimal"/>
            <w:numRestart w:val="continuous"/>
          </w:footnotePr>
          <w:pgSz w:w="12240" w:h="15840"/>
          <w:pgMar w:top="1430" w:right="1138" w:bottom="1876" w:left="1781" w:header="0" w:footer="3" w:gutter="0"/>
          <w:cols w:space="720"/>
          <w:noEndnote/>
          <w:rtlGutter w:val="0"/>
          <w:docGrid w:linePitch="360"/>
        </w:sectPr>
      </w:pPr>
    </w:p>
    <w:p>
      <w:pPr>
        <w:pStyle w:val="Style17"/>
        <w:keepNext/>
        <w:keepLines/>
        <w:widowControl w:val="0"/>
        <w:shd w:val="clear" w:color="auto" w:fill="auto"/>
        <w:bidi w:val="0"/>
        <w:spacing w:before="240" w:after="360" w:line="240" w:lineRule="auto"/>
        <w:ind w:left="0" w:right="0" w:firstLine="0"/>
        <w:jc w:val="left"/>
      </w:pPr>
      <w:bookmarkStart w:id="21" w:name="bookmark21"/>
      <w:bookmarkStart w:id="22" w:name="bookmark22"/>
      <w:bookmarkStart w:id="23" w:name="bookmark23"/>
      <w:r>
        <w:rPr>
          <w:color w:val="000000"/>
          <w:spacing w:val="0"/>
          <w:w w:val="100"/>
          <w:position w:val="0"/>
        </w:rPr>
        <w:t>第三节会计数据和财务指标摘要</w:t>
      </w:r>
      <w:bookmarkEnd w:id="21"/>
      <w:bookmarkEnd w:id="22"/>
      <w:bookmarkEnd w:id="23"/>
    </w:p>
    <w:p>
      <w:pPr>
        <w:pStyle w:val="Style13"/>
        <w:keepNext w:val="0"/>
        <w:keepLines w:val="0"/>
        <w:widowControl w:val="0"/>
        <w:shd w:val="clear" w:color="auto" w:fill="auto"/>
        <w:tabs>
          <w:tab w:pos="610" w:val="left"/>
        </w:tabs>
        <w:bidi w:val="0"/>
        <w:spacing w:before="0" w:after="0" w:line="240" w:lineRule="auto"/>
        <w:ind w:left="0" w:right="0" w:firstLine="0"/>
        <w:jc w:val="left"/>
      </w:pPr>
      <w:r>
        <w:rPr>
          <w:color w:val="000000"/>
          <w:spacing w:val="0"/>
          <w:w w:val="100"/>
          <w:position w:val="0"/>
        </w:rPr>
        <w:t>一、</w:t>
        <w:tab/>
        <w:t>报告期末公司近三年主要会计数据和财务指标</w:t>
      </w:r>
    </w:p>
    <w:p>
      <w:pPr>
        <w:pStyle w:val="Style13"/>
        <w:keepNext w:val="0"/>
        <w:keepLines w:val="0"/>
        <w:widowControl w:val="0"/>
        <w:shd w:val="clear" w:color="auto" w:fill="auto"/>
        <w:bidi w:val="0"/>
        <w:spacing w:before="0" w:after="0" w:line="240" w:lineRule="auto"/>
        <w:ind w:left="0" w:right="0" w:firstLine="0"/>
        <w:jc w:val="left"/>
      </w:pPr>
      <w:bookmarkStart w:id="24" w:name="bookmark24"/>
      <w:r>
        <w:rPr>
          <w:rFonts w:ascii="Times New Roman" w:eastAsia="Times New Roman" w:hAnsi="Times New Roman" w:cs="Times New Roman"/>
          <w:color w:val="000000"/>
          <w:spacing w:val="0"/>
          <w:w w:val="100"/>
          <w:position w:val="0"/>
        </w:rPr>
        <w:t>（</w:t>
      </w:r>
      <w:bookmarkEnd w:id="24"/>
      <w:r>
        <w:rPr>
          <w:color w:val="000000"/>
          <w:spacing w:val="0"/>
          <w:w w:val="100"/>
          <w:position w:val="0"/>
        </w:rPr>
        <w:t>一</w:t>
      </w:r>
      <w:r>
        <w:rPr>
          <w:color w:val="000000"/>
          <w:spacing w:val="0"/>
          <w:w w:val="100"/>
          <w:position w:val="0"/>
        </w:rPr>
        <w:t>）</w:t>
      </w:r>
      <w:r>
        <w:rPr>
          <w:color w:val="000000"/>
          <w:spacing w:val="0"/>
          <w:w w:val="100"/>
          <w:position w:val="0"/>
        </w:rPr>
        <w:t>主要会计数据</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50"/>
        <w:gridCol w:w="1685"/>
        <w:gridCol w:w="1685"/>
        <w:gridCol w:w="1507"/>
        <w:gridCol w:w="1694"/>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1,072,373,157.47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1,056,706,354.62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1,101,622,987.62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归属于上市公司股东的净利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122,469,826.80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127,201,501.91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37,509,816.42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归属于上市公司股东的扣除 非经常性损益的净利润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29,082,681.94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36,210,046.47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33,590,956.97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70,285,722.39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133,695,778.00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47,256,524.13</w:t>
            </w:r>
          </w:p>
        </w:tc>
      </w:tr>
      <w:tr>
        <w:trPr>
          <w:trHeight w:val="8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本期末比上年 同期末增减</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归属于上市公司股东的净资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864,216,487.45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589,669,913.38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517,486,080.79</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1,769,449,118.33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1,548,912,309.36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1,453,379,838.51</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主要财务数据</w:t>
      </w:r>
    </w:p>
    <w:tbl>
      <w:tblPr>
        <w:tblOverlap w:val="never"/>
        <w:jc w:val="center"/>
        <w:tblLayout w:type="fixed"/>
      </w:tblPr>
      <w:tblGrid>
        <w:gridCol w:w="2861"/>
        <w:gridCol w:w="1613"/>
        <w:gridCol w:w="1613"/>
        <w:gridCol w:w="1613"/>
        <w:gridCol w:w="1622"/>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0.21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0.21</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0.18</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减少</w:t>
            </w:r>
            <w:r>
              <w:rPr>
                <w:rFonts w:ascii="Times New Roman" w:eastAsia="Times New Roman" w:hAnsi="Times New Roman" w:cs="Times New Roman"/>
                <w:color w:val="000000"/>
                <w:spacing w:val="0"/>
                <w:w w:val="100"/>
                <w:position w:val="0"/>
              </w:rPr>
              <w:t>7.96</w:t>
            </w:r>
            <w:r>
              <w:rPr>
                <w:color w:val="000000"/>
                <w:spacing w:val="0"/>
                <w:w w:val="100"/>
                <w:position w:val="0"/>
              </w:rPr>
              <w:t>个百</w:t>
            </w:r>
          </w:p>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7.61</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 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减少</w:t>
            </w:r>
            <w:r>
              <w:rPr>
                <w:rFonts w:ascii="Times New Roman" w:eastAsia="Times New Roman" w:hAnsi="Times New Roman" w:cs="Times New Roman"/>
                <w:color w:val="000000"/>
                <w:spacing w:val="0"/>
                <w:w w:val="100"/>
                <w:position w:val="0"/>
              </w:rPr>
              <w:t>2.97</w:t>
            </w:r>
            <w:r>
              <w:rPr>
                <w:color w:val="000000"/>
                <w:spacing w:val="0"/>
                <w:w w:val="100"/>
                <w:position w:val="0"/>
              </w:rPr>
              <w:t>个百</w:t>
            </w:r>
          </w:p>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6.81</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非经常性损益项目和金额</w:t>
      </w: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非经常性损益项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附注（如适用）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189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非流动资产处置 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135,291,761.33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left"/>
            </w:pPr>
            <w:r>
              <w:rPr>
                <w:color w:val="000000"/>
                <w:spacing w:val="0"/>
                <w:w w:val="100"/>
                <w:position w:val="0"/>
              </w:rPr>
              <w:t xml:space="preserve">本期公司毛纺厂 区整体搬迁收入 扣除资产处置损 失后的固定资产 处置利得 </w:t>
            </w:r>
            <w:r>
              <w:rPr>
                <w:rFonts w:ascii="Times New Roman" w:eastAsia="Times New Roman" w:hAnsi="Times New Roman" w:cs="Times New Roman"/>
                <w:color w:val="000000"/>
                <w:spacing w:val="0"/>
                <w:w w:val="100"/>
                <w:position w:val="0"/>
              </w:rPr>
              <w:t xml:space="preserve">124,660,887.54 </w:t>
            </w: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126,741,679.14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-903,704.14</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440,680.60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72"/>
        <w:gridCol w:w="1858"/>
        <w:gridCol w:w="1862"/>
        <w:gridCol w:w="1858"/>
        <w:gridCol w:w="1872"/>
      </w:tblGrid>
      <w:tr>
        <w:trPr>
          <w:trHeight w:val="8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式批准文件，或偶 发性的税收返还、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 政府补助，但与公 司正常经营业务 密切相关，符合国 家政策规定、按照 一定标准定额或 定量持续享受的 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4,418,292.09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5,454,103.78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3,765,818.51</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 对非金融企业收 取的资金占用费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252,043.76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1,331,340.06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5,628,050.00</w:t>
            </w:r>
          </w:p>
        </w:tc>
      </w:tr>
      <w:tr>
        <w:trPr>
          <w:trHeight w:val="3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 营业务相关的有 效套期保值业务 夕卜，持有交易性金 融资产、交易性金 融负债产生的公 允价值变动损益， 以及处置交易性 金融资产、交易性 金融负债和可供 出售金融资产取 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9,323,187.05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-89,796.08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333,363.00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对外委托贷款取 得的损益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6,926,245.38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11,662,500.00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 的其他营业外收 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1,170,910.31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285,853.93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49,083.22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少数股东权益影 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-29,111,198.40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-22,893,086.03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-3,899,205.60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-35,324,777.26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-31,501,139.36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-1,054,545.54</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93,387,144.86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90,991,455.44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3,918,859.45</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三、采用公允价值计量的项目</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872"/>
        <w:gridCol w:w="1858"/>
        <w:gridCol w:w="1862"/>
        <w:gridCol w:w="1858"/>
        <w:gridCol w:w="1872"/>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 响金额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交易性权益工具 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191,250.00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174,100.00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-17,150.00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32,760.00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32,760.00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可供出售权益工 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22,476,800.00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339,429,208.36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316,952,408.36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9,304,227.05</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22,668,050.00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339,636,068.36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316,968,018.36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9,287,077.05</w:t>
            </w:r>
          </w:p>
        </w:tc>
      </w:tr>
    </w:tbl>
    <w:p>
      <w:pPr>
        <w:pStyle w:val="Style17"/>
        <w:keepNext/>
        <w:keepLines/>
        <w:widowControl w:val="0"/>
        <w:shd w:val="clear" w:color="auto" w:fill="auto"/>
        <w:bidi w:val="0"/>
        <w:spacing w:before="0" w:after="520" w:line="240" w:lineRule="auto"/>
        <w:ind w:left="0" w:right="0" w:firstLine="0"/>
        <w:jc w:val="left"/>
      </w:pPr>
      <w:bookmarkStart w:id="25" w:name="bookmark25"/>
      <w:bookmarkStart w:id="26" w:name="bookmark26"/>
      <w:bookmarkStart w:id="27" w:name="bookmark27"/>
      <w:r>
        <w:rPr>
          <w:color w:val="000000"/>
          <w:spacing w:val="0"/>
          <w:w w:val="100"/>
          <w:position w:val="0"/>
        </w:rPr>
        <w:t>第四节董事会报告</w:t>
      </w:r>
      <w:bookmarkEnd w:id="25"/>
      <w:bookmarkEnd w:id="26"/>
      <w:bookmarkEnd w:id="27"/>
    </w:p>
    <w:p>
      <w:pPr>
        <w:pStyle w:val="Style13"/>
        <w:keepNext w:val="0"/>
        <w:keepLines w:val="0"/>
        <w:widowControl w:val="0"/>
        <w:shd w:val="clear" w:color="auto" w:fill="auto"/>
        <w:tabs>
          <w:tab w:pos="533" w:val="left"/>
        </w:tabs>
        <w:bidi w:val="0"/>
        <w:spacing w:before="0" w:after="0" w:line="275" w:lineRule="exact"/>
        <w:ind w:left="0" w:right="0" w:firstLine="0"/>
        <w:jc w:val="left"/>
      </w:pPr>
      <w:r>
        <w:rPr>
          <w:color w:val="000000"/>
          <w:spacing w:val="0"/>
          <w:w w:val="100"/>
          <w:position w:val="0"/>
        </w:rPr>
        <w:t>一、</w:t>
        <w:tab/>
        <w:t>董事会关于公司报告期内经营情况的讨论与分析</w:t>
      </w:r>
    </w:p>
    <w:p>
      <w:pPr>
        <w:pStyle w:val="Style13"/>
        <w:keepNext w:val="0"/>
        <w:keepLines w:val="0"/>
        <w:widowControl w:val="0"/>
        <w:shd w:val="clear" w:color="auto" w:fill="auto"/>
        <w:bidi w:val="0"/>
        <w:spacing w:before="0" w:after="0" w:line="275" w:lineRule="exact"/>
        <w:ind w:left="0" w:right="0" w:firstLine="0"/>
        <w:jc w:val="both"/>
      </w:pPr>
      <w:r>
        <w:rPr>
          <w:color w:val="000000"/>
          <w:spacing w:val="0"/>
          <w:w w:val="100"/>
          <w:position w:val="0"/>
        </w:rPr>
        <w:t>在极为错综复杂的经济形势下，</w:t>
      </w:r>
      <w:r>
        <w:rPr>
          <w:rFonts w:ascii="Times New Roman" w:eastAsia="Times New Roman" w:hAnsi="Times New Roman" w:cs="Times New Roman"/>
          <w:color w:val="000000"/>
          <w:spacing w:val="0"/>
          <w:w w:val="100"/>
          <w:position w:val="0"/>
        </w:rPr>
        <w:t>2013</w:t>
      </w:r>
      <w:r>
        <w:rPr>
          <w:color w:val="000000"/>
          <w:spacing w:val="0"/>
          <w:w w:val="100"/>
          <w:position w:val="0"/>
        </w:rPr>
        <w:t>年公司把握</w:t>
      </w:r>
      <w:r>
        <w:rPr>
          <w:rFonts w:ascii="Times New Roman" w:eastAsia="Times New Roman" w:hAnsi="Times New Roman" w:cs="Times New Roman"/>
          <w:color w:val="000000"/>
          <w:spacing w:val="0"/>
          <w:w w:val="100"/>
          <w:position w:val="0"/>
        </w:rPr>
        <w:t>"</w:t>
      </w:r>
      <w:r>
        <w:rPr>
          <w:color w:val="000000"/>
          <w:spacing w:val="0"/>
          <w:w w:val="100"/>
          <w:position w:val="0"/>
        </w:rPr>
        <w:t>顺势而为，稳中创先；量力而行，尽力而为</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的工作基调，贯彻</w:t>
      </w:r>
      <w:r>
        <w:rPr>
          <w:rFonts w:ascii="Times New Roman" w:eastAsia="Times New Roman" w:hAnsi="Times New Roman" w:cs="Times New Roman"/>
          <w:color w:val="000000"/>
          <w:spacing w:val="0"/>
          <w:w w:val="100"/>
          <w:position w:val="0"/>
        </w:rPr>
        <w:t>"</w:t>
      </w:r>
      <w:r>
        <w:rPr>
          <w:color w:val="000000"/>
          <w:spacing w:val="0"/>
          <w:w w:val="100"/>
          <w:position w:val="0"/>
        </w:rPr>
        <w:t>头要冷，心要热，劲要足，步要准，识事务，做该做能做且可以做好的事</w:t>
      </w:r>
      <w:r>
        <w:rPr>
          <w:rFonts w:ascii="Times New Roman" w:eastAsia="Times New Roman" w:hAnsi="Times New Roman" w:cs="Times New Roman"/>
          <w:color w:val="000000"/>
          <w:spacing w:val="0"/>
          <w:w w:val="100"/>
          <w:position w:val="0"/>
        </w:rPr>
        <w:t xml:space="preserve">" </w:t>
      </w:r>
      <w:r>
        <w:rPr>
          <w:color w:val="000000"/>
          <w:spacing w:val="0"/>
          <w:w w:val="100"/>
          <w:position w:val="0"/>
        </w:rPr>
        <w:t>的指导思想，以史为鉴，守望相助，不慌不忙地前行，心无旁骛地努力，水到渠成地收获，保 持了稳健的发展。</w:t>
      </w:r>
    </w:p>
    <w:p>
      <w:pPr>
        <w:pStyle w:val="Style13"/>
        <w:keepNext w:val="0"/>
        <w:keepLines w:val="0"/>
        <w:widowControl w:val="0"/>
        <w:shd w:val="clear" w:color="auto" w:fill="auto"/>
        <w:bidi w:val="0"/>
        <w:spacing w:before="0" w:after="0" w:line="275" w:lineRule="exact"/>
        <w:ind w:left="0" w:right="0" w:firstLine="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107,237.32</w:t>
      </w:r>
      <w:r>
        <w:rPr>
          <w:color w:val="000000"/>
          <w:spacing w:val="0"/>
          <w:w w:val="100"/>
          <w:position w:val="0"/>
        </w:rPr>
        <w:t>万元，同比增</w:t>
      </w:r>
      <w:r>
        <w:rPr>
          <w:rFonts w:ascii="Times New Roman" w:eastAsia="Times New Roman" w:hAnsi="Times New Roman" w:cs="Times New Roman"/>
          <w:color w:val="000000"/>
          <w:spacing w:val="0"/>
          <w:w w:val="100"/>
          <w:position w:val="0"/>
        </w:rPr>
        <w:t>1.48%</w:t>
      </w:r>
      <w:r>
        <w:rPr>
          <w:color w:val="000000"/>
          <w:spacing w:val="0"/>
          <w:w w:val="100"/>
          <w:position w:val="0"/>
        </w:rPr>
        <w:t>；利润总额</w:t>
      </w:r>
      <w:r>
        <w:rPr>
          <w:rFonts w:ascii="Times New Roman" w:eastAsia="Times New Roman" w:hAnsi="Times New Roman" w:cs="Times New Roman"/>
          <w:color w:val="000000"/>
          <w:spacing w:val="0"/>
          <w:w w:val="100"/>
          <w:position w:val="0"/>
        </w:rPr>
        <w:t>22,905.13</w:t>
      </w:r>
      <w:r>
        <w:rPr>
          <w:color w:val="000000"/>
          <w:spacing w:val="0"/>
          <w:w w:val="100"/>
          <w:position w:val="0"/>
        </w:rPr>
        <w:t xml:space="preserve">万元，同比增 </w:t>
      </w:r>
      <w:r>
        <w:rPr>
          <w:rFonts w:ascii="Times New Roman" w:eastAsia="Times New Roman" w:hAnsi="Times New Roman" w:cs="Times New Roman"/>
          <w:color w:val="000000"/>
          <w:spacing w:val="0"/>
          <w:w w:val="100"/>
          <w:position w:val="0"/>
        </w:rPr>
        <w:t>1.44%</w:t>
      </w:r>
      <w:r>
        <w:rPr>
          <w:color w:val="000000"/>
          <w:spacing w:val="0"/>
          <w:w w:val="100"/>
          <w:position w:val="0"/>
        </w:rPr>
        <w:t>；归属于母公司的净利润</w:t>
      </w:r>
      <w:r>
        <w:rPr>
          <w:rFonts w:ascii="Times New Roman" w:eastAsia="Times New Roman" w:hAnsi="Times New Roman" w:cs="Times New Roman"/>
          <w:color w:val="000000"/>
          <w:spacing w:val="0"/>
          <w:w w:val="100"/>
          <w:position w:val="0"/>
        </w:rPr>
        <w:t>12,246.98</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同比降</w:t>
      </w:r>
      <w:r>
        <w:rPr>
          <w:rFonts w:ascii="Times New Roman" w:eastAsia="Times New Roman" w:hAnsi="Times New Roman" w:cs="Times New Roman"/>
          <w:color w:val="000000"/>
          <w:spacing w:val="0"/>
          <w:w w:val="100"/>
          <w:position w:val="0"/>
        </w:rPr>
        <w:t>3.72%</w:t>
      </w:r>
      <w:r>
        <w:rPr>
          <w:color w:val="000000"/>
          <w:spacing w:val="0"/>
          <w:w w:val="100"/>
          <w:position w:val="0"/>
        </w:rPr>
        <w:t>；基本每股收益</w:t>
      </w:r>
      <w:r>
        <w:rPr>
          <w:rFonts w:ascii="Times New Roman" w:eastAsia="Times New Roman" w:hAnsi="Times New Roman" w:cs="Times New Roman"/>
          <w:color w:val="000000"/>
          <w:spacing w:val="0"/>
          <w:w w:val="100"/>
          <w:position w:val="0"/>
        </w:rPr>
        <w:t>0.67</w:t>
      </w:r>
      <w:r>
        <w:rPr>
          <w:color w:val="000000"/>
          <w:spacing w:val="0"/>
          <w:w w:val="100"/>
          <w:position w:val="0"/>
        </w:rPr>
        <w:t>元。因在过去 五年坚持高比例现金分红被《中国证券报》评为</w:t>
      </w:r>
      <w:r>
        <w:rPr>
          <w:rFonts w:ascii="Times New Roman" w:eastAsia="Times New Roman" w:hAnsi="Times New Roman" w:cs="Times New Roman"/>
          <w:color w:val="000000"/>
          <w:spacing w:val="0"/>
          <w:w w:val="100"/>
          <w:position w:val="0"/>
        </w:rPr>
        <w:t>"2012</w:t>
      </w:r>
      <w:r>
        <w:rPr>
          <w:color w:val="000000"/>
          <w:spacing w:val="0"/>
          <w:w w:val="100"/>
          <w:position w:val="0"/>
        </w:rPr>
        <w:t>年金牛最佳分红公司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年的主要工作：</w:t>
      </w:r>
    </w:p>
    <w:p>
      <w:pPr>
        <w:pStyle w:val="Style13"/>
        <w:keepNext w:val="0"/>
        <w:keepLines w:val="0"/>
        <w:widowControl w:val="0"/>
        <w:shd w:val="clear" w:color="auto" w:fill="auto"/>
        <w:tabs>
          <w:tab w:pos="368" w:val="left"/>
        </w:tabs>
        <w:bidi w:val="0"/>
        <w:spacing w:before="0" w:after="0" w:line="275" w:lineRule="exact"/>
        <w:ind w:left="0" w:right="0" w:firstLine="0"/>
        <w:jc w:val="both"/>
      </w:pPr>
      <w:bookmarkStart w:id="28" w:name="bookmark28"/>
      <w:r>
        <w:rPr>
          <w:rFonts w:ascii="Times New Roman" w:eastAsia="Times New Roman" w:hAnsi="Times New Roman" w:cs="Times New Roman"/>
          <w:color w:val="000000"/>
          <w:spacing w:val="0"/>
          <w:w w:val="100"/>
          <w:position w:val="0"/>
        </w:rPr>
        <w:t>1</w:t>
      </w:r>
      <w:bookmarkEnd w:id="28"/>
      <w:r>
        <w:rPr>
          <w:color w:val="000000"/>
          <w:spacing w:val="0"/>
          <w:w w:val="100"/>
          <w:position w:val="0"/>
        </w:rPr>
        <w:t>、</w:t>
        <w:tab/>
        <w:t>重要工作稳步推进。毛纺厂区征迁工作顺利完成，投资参股的</w:t>
      </w:r>
      <w:r>
        <w:rPr>
          <w:rFonts w:ascii="Times New Roman" w:eastAsia="Times New Roman" w:hAnsi="Times New Roman" w:cs="Times New Roman"/>
          <w:color w:val="000000"/>
          <w:spacing w:val="0"/>
          <w:w w:val="100"/>
          <w:position w:val="0"/>
        </w:rPr>
        <w:t>"</w:t>
      </w:r>
      <w:r>
        <w:rPr>
          <w:color w:val="000000"/>
          <w:spacing w:val="0"/>
          <w:w w:val="100"/>
          <w:position w:val="0"/>
        </w:rPr>
        <w:t>上峰水泥</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日借壳 上市成功，长城影视创意园第一期于</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日开园，城东富润屋已建设七层。废旧军服回收利 用项目在继续突破，国家发改委在公司专题召开废旧纺织品综合利用经验交流会。山东泰安房 产等项目顺利推进。</w:t>
      </w:r>
    </w:p>
    <w:p>
      <w:pPr>
        <w:pStyle w:val="Style13"/>
        <w:keepNext w:val="0"/>
        <w:keepLines w:val="0"/>
        <w:widowControl w:val="0"/>
        <w:shd w:val="clear" w:color="auto" w:fill="auto"/>
        <w:bidi w:val="0"/>
        <w:spacing w:before="0" w:after="280" w:line="275" w:lineRule="exact"/>
        <w:ind w:left="0" w:right="0" w:firstLine="0"/>
        <w:jc w:val="both"/>
      </w:pPr>
      <w:bookmarkStart w:id="29" w:name="bookmark29"/>
      <w:r>
        <w:rPr>
          <w:rFonts w:ascii="Times New Roman" w:eastAsia="Times New Roman" w:hAnsi="Times New Roman" w:cs="Times New Roman"/>
          <w:color w:val="000000"/>
          <w:spacing w:val="0"/>
          <w:w w:val="100"/>
          <w:position w:val="0"/>
        </w:rPr>
        <w:t>2</w:t>
      </w:r>
      <w:bookmarkEnd w:id="29"/>
      <w:r>
        <w:rPr>
          <w:color w:val="000000"/>
          <w:spacing w:val="0"/>
          <w:w w:val="100"/>
          <w:position w:val="0"/>
        </w:rPr>
        <w:t>、 内部管理稳实根基。</w:t>
      </w:r>
      <w:r>
        <w:rPr>
          <w:rFonts w:ascii="Times New Roman" w:eastAsia="Times New Roman" w:hAnsi="Times New Roman" w:cs="Times New Roman"/>
          <w:color w:val="000000"/>
          <w:spacing w:val="0"/>
          <w:w w:val="100"/>
          <w:position w:val="0"/>
        </w:rPr>
        <w:t>2013</w:t>
      </w:r>
      <w:r>
        <w:rPr>
          <w:color w:val="000000"/>
          <w:spacing w:val="0"/>
          <w:w w:val="100"/>
          <w:position w:val="0"/>
        </w:rPr>
        <w:t>年公司及子公司在降低成本、节能减排、技术创新、项目申报等 方面积极作为，对安全生产、环境保护等工作常抓不懈。世纪花城等存量资产有所盘活，向政 府平台提供的</w:t>
      </w:r>
      <w:r>
        <w:rPr>
          <w:rFonts w:ascii="Times New Roman" w:eastAsia="Times New Roman" w:hAnsi="Times New Roman" w:cs="Times New Roman"/>
          <w:color w:val="000000"/>
          <w:spacing w:val="0"/>
          <w:w w:val="100"/>
          <w:position w:val="0"/>
        </w:rPr>
        <w:t>1.5</w:t>
      </w:r>
      <w:r>
        <w:rPr>
          <w:color w:val="000000"/>
          <w:spacing w:val="0"/>
          <w:w w:val="100"/>
          <w:position w:val="0"/>
        </w:rPr>
        <w:t>亿元委托贷款到期收回。子公司印染公司被国家工信部确认为清洁生产示范 企业，纺织公司被授予浙江省绿色企业（清洁生产先进企业），明贺钢管公司被认定为浙江省高 新技术企业。印染公司、纺织公司被授予</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年诸暨市市长质量奖，纺织公司被认定为浙江省 </w:t>
      </w:r>
      <w:r>
        <w:rPr>
          <w:rFonts w:ascii="Times New Roman" w:eastAsia="Times New Roman" w:hAnsi="Times New Roman" w:cs="Times New Roman"/>
          <w:color w:val="000000"/>
          <w:spacing w:val="0"/>
          <w:w w:val="100"/>
          <w:position w:val="0"/>
        </w:rPr>
        <w:t>AAA</w:t>
      </w:r>
      <w:r>
        <w:rPr>
          <w:color w:val="000000"/>
          <w:spacing w:val="0"/>
          <w:w w:val="100"/>
          <w:position w:val="0"/>
        </w:rPr>
        <w:t>级</w:t>
      </w:r>
      <w:r>
        <w:rPr>
          <w:rFonts w:ascii="Times New Roman" w:eastAsia="Times New Roman" w:hAnsi="Times New Roman" w:cs="Times New Roman"/>
          <w:color w:val="000000"/>
          <w:spacing w:val="0"/>
          <w:w w:val="100"/>
          <w:position w:val="0"/>
        </w:rPr>
        <w:t>"</w:t>
      </w:r>
      <w:r>
        <w:rPr>
          <w:color w:val="000000"/>
          <w:spacing w:val="0"/>
          <w:w w:val="100"/>
          <w:position w:val="0"/>
        </w:rPr>
        <w:t>守合同重信用</w:t>
      </w:r>
      <w:r>
        <w:rPr>
          <w:rFonts w:ascii="Times New Roman" w:eastAsia="Times New Roman" w:hAnsi="Times New Roman" w:cs="Times New Roman"/>
          <w:color w:val="000000"/>
          <w:spacing w:val="0"/>
          <w:w w:val="100"/>
          <w:position w:val="0"/>
        </w:rPr>
        <w:t>"</w:t>
      </w:r>
      <w:r>
        <w:rPr>
          <w:color w:val="000000"/>
          <w:spacing w:val="0"/>
          <w:w w:val="100"/>
          <w:position w:val="0"/>
        </w:rPr>
        <w:t>单位。印染公司</w:t>
      </w:r>
      <w:r>
        <w:rPr>
          <w:rFonts w:ascii="Times New Roman" w:eastAsia="Times New Roman" w:hAnsi="Times New Roman" w:cs="Times New Roman"/>
          <w:color w:val="000000"/>
          <w:spacing w:val="0"/>
          <w:w w:val="100"/>
          <w:position w:val="0"/>
        </w:rPr>
        <w:t>5</w:t>
      </w:r>
      <w:r>
        <w:rPr>
          <w:color w:val="000000"/>
          <w:spacing w:val="0"/>
          <w:w w:val="100"/>
          <w:position w:val="0"/>
        </w:rPr>
        <w:t>只、纺织公司</w:t>
      </w:r>
      <w:r>
        <w:rPr>
          <w:rFonts w:ascii="Times New Roman" w:eastAsia="Times New Roman" w:hAnsi="Times New Roman" w:cs="Times New Roman"/>
          <w:color w:val="000000"/>
          <w:spacing w:val="0"/>
          <w:w w:val="100"/>
          <w:position w:val="0"/>
        </w:rPr>
        <w:t>3</w:t>
      </w:r>
      <w:r>
        <w:rPr>
          <w:color w:val="000000"/>
          <w:spacing w:val="0"/>
          <w:w w:val="100"/>
          <w:position w:val="0"/>
        </w:rPr>
        <w:t>只、海茂公司</w:t>
      </w:r>
      <w:r>
        <w:rPr>
          <w:rFonts w:ascii="Times New Roman" w:eastAsia="Times New Roman" w:hAnsi="Times New Roman" w:cs="Times New Roman"/>
          <w:color w:val="000000"/>
          <w:spacing w:val="0"/>
          <w:w w:val="100"/>
          <w:position w:val="0"/>
        </w:rPr>
        <w:t>3</w:t>
      </w:r>
      <w:r>
        <w:rPr>
          <w:color w:val="000000"/>
          <w:spacing w:val="0"/>
          <w:w w:val="100"/>
          <w:position w:val="0"/>
        </w:rPr>
        <w:t>只新产品通过省级鉴 定，其中</w:t>
      </w:r>
      <w:r>
        <w:rPr>
          <w:rFonts w:ascii="Times New Roman" w:eastAsia="Times New Roman" w:hAnsi="Times New Roman" w:cs="Times New Roman"/>
          <w:color w:val="000000"/>
          <w:spacing w:val="0"/>
          <w:w w:val="100"/>
          <w:position w:val="0"/>
        </w:rPr>
        <w:t>10</w:t>
      </w:r>
      <w:r>
        <w:rPr>
          <w:color w:val="000000"/>
          <w:spacing w:val="0"/>
          <w:w w:val="100"/>
          <w:position w:val="0"/>
        </w:rPr>
        <w:t>只达到国内同类产品领先水平，</w:t>
      </w:r>
      <w:r>
        <w:rPr>
          <w:rFonts w:ascii="Times New Roman" w:eastAsia="Times New Roman" w:hAnsi="Times New Roman" w:cs="Times New Roman"/>
          <w:color w:val="000000"/>
          <w:spacing w:val="0"/>
          <w:w w:val="100"/>
          <w:position w:val="0"/>
        </w:rPr>
        <w:t>1</w:t>
      </w:r>
      <w:r>
        <w:rPr>
          <w:color w:val="000000"/>
          <w:spacing w:val="0"/>
          <w:w w:val="100"/>
          <w:position w:val="0"/>
        </w:rPr>
        <w:t>只产品达到国内同类产品先进水平。</w:t>
      </w:r>
    </w:p>
    <w:p>
      <w:pPr>
        <w:pStyle w:val="Style13"/>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主营业务分析</w:t>
      </w:r>
    </w:p>
    <w:p>
      <w:pPr>
        <w:pStyle w:val="Style13"/>
        <w:keepNext w:val="0"/>
        <w:keepLines w:val="0"/>
        <w:widowControl w:val="0"/>
        <w:shd w:val="clear" w:color="auto" w:fill="auto"/>
        <w:tabs>
          <w:tab w:pos="533" w:val="left"/>
        </w:tabs>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利润表及现金流量表相关科目变动分析表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730"/>
        <w:gridCol w:w="1862"/>
        <w:gridCol w:w="1858"/>
        <w:gridCol w:w="187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1,072,373,157.47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1,056,706,354.62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923,761,593.80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901,872,308.98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13,323,068.16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11,862,296.42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42,871,627.44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45,572,083.73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20,350,722.21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33,109,448.22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70,285,722.39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133,695,778.00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299,067,540.03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-17,792,057.47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-320,004,891.82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-113,554,566.53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6,158,807.74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5,264,339.40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 收入</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驱动业务收入变化的因素分析</w:t>
      </w: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报告期内</w:t>
      </w:r>
      <w:r>
        <w:rPr>
          <w:color w:val="000000"/>
          <w:spacing w:val="0"/>
          <w:w w:val="100"/>
          <w:position w:val="0"/>
        </w:rPr>
        <w:t>，</w:t>
      </w:r>
      <w:r>
        <w:rPr>
          <w:color w:val="000000"/>
          <w:spacing w:val="0"/>
          <w:w w:val="100"/>
          <w:position w:val="0"/>
        </w:rPr>
        <w:t>驱动公司业务收入的因素无明显变化，产销量、订单与上年同比基本保持稳定。</w:t>
      </w:r>
    </w:p>
    <w:p>
      <w:pPr>
        <w:pStyle w:val="Style13"/>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以实物销售为主的公司产品收入影响因素分析</w:t>
      </w:r>
    </w:p>
    <w:p>
      <w:pPr>
        <w:pStyle w:val="Style13"/>
        <w:keepNext w:val="0"/>
        <w:keepLines w:val="0"/>
        <w:widowControl w:val="0"/>
        <w:shd w:val="clear" w:color="auto" w:fill="auto"/>
        <w:bidi w:val="0"/>
        <w:spacing w:before="0" w:after="120" w:line="269" w:lineRule="exact"/>
        <w:ind w:left="0" w:right="0" w:firstLine="0"/>
        <w:jc w:val="both"/>
      </w:pPr>
      <w:r>
        <w:rPr>
          <w:color w:val="000000"/>
          <w:spacing w:val="0"/>
          <w:w w:val="100"/>
          <w:position w:val="0"/>
        </w:rPr>
        <w:t>公司以实物销售为主的产品收入主要为纺织品销售、钢管销售。钢管销售通过新产品开发、产 品结构优化等，有一定幅度增长。</w:t>
      </w:r>
      <w:r>
        <w:br w:type="page"/>
      </w:r>
    </w:p>
    <w:p>
      <w:pPr>
        <w:pStyle w:val="Style13"/>
        <w:keepNext w:val="0"/>
        <w:keepLines w:val="0"/>
        <w:widowControl w:val="0"/>
        <w:numPr>
          <w:ilvl w:val="0"/>
          <w:numId w:val="1"/>
        </w:numPr>
        <w:shd w:val="clear" w:color="auto" w:fill="auto"/>
        <w:tabs>
          <w:tab w:pos="478" w:val="left"/>
        </w:tabs>
        <w:bidi w:val="0"/>
        <w:spacing w:before="0" w:after="0" w:line="240" w:lineRule="auto"/>
        <w:ind w:left="0" w:right="0" w:firstLine="0"/>
        <w:jc w:val="both"/>
      </w:pPr>
      <w:bookmarkStart w:id="30" w:name="bookmark30"/>
      <w:bookmarkEnd w:id="30"/>
      <w:r>
        <w:rPr>
          <w:color w:val="000000"/>
          <w:spacing w:val="0"/>
          <w:w w:val="100"/>
          <w:position w:val="0"/>
        </w:rPr>
        <w:t>订单分析</w:t>
      </w:r>
    </w:p>
    <w:p>
      <w:pPr>
        <w:pStyle w:val="Style1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报告期内，钢管外贸订单有一定增长。</w:t>
      </w:r>
    </w:p>
    <w:p>
      <w:pPr>
        <w:pStyle w:val="Style13"/>
        <w:keepNext w:val="0"/>
        <w:keepLines w:val="0"/>
        <w:widowControl w:val="0"/>
        <w:numPr>
          <w:ilvl w:val="0"/>
          <w:numId w:val="1"/>
        </w:numPr>
        <w:shd w:val="clear" w:color="auto" w:fill="auto"/>
        <w:tabs>
          <w:tab w:pos="478" w:val="left"/>
        </w:tabs>
        <w:bidi w:val="0"/>
        <w:spacing w:before="0" w:after="0" w:line="240" w:lineRule="auto"/>
        <w:ind w:left="0" w:right="0" w:firstLine="0"/>
        <w:jc w:val="both"/>
      </w:pPr>
      <w:bookmarkStart w:id="31" w:name="bookmark31"/>
      <w:bookmarkEnd w:id="31"/>
      <w:r>
        <w:rPr>
          <w:color w:val="000000"/>
          <w:spacing w:val="0"/>
          <w:w w:val="100"/>
          <w:position w:val="0"/>
        </w:rPr>
        <w:t>新产品及新服务的影响分析</w:t>
      </w:r>
    </w:p>
    <w:p>
      <w:pPr>
        <w:pStyle w:val="Style1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报告期内，新产品对外贸订单的增长有重要影响。</w:t>
      </w:r>
    </w:p>
    <w:p>
      <w:pPr>
        <w:pStyle w:val="Style13"/>
        <w:keepNext w:val="0"/>
        <w:keepLines w:val="0"/>
        <w:widowControl w:val="0"/>
        <w:numPr>
          <w:ilvl w:val="0"/>
          <w:numId w:val="1"/>
        </w:numPr>
        <w:shd w:val="clear" w:color="auto" w:fill="auto"/>
        <w:tabs>
          <w:tab w:pos="478" w:val="left"/>
        </w:tabs>
        <w:bidi w:val="0"/>
        <w:spacing w:before="0" w:after="0" w:line="240" w:lineRule="auto"/>
        <w:ind w:left="0" w:right="0" w:firstLine="0"/>
        <w:jc w:val="both"/>
      </w:pPr>
      <w:bookmarkStart w:id="32" w:name="bookmark32"/>
      <w:bookmarkEnd w:id="32"/>
      <w:r>
        <w:rPr>
          <w:color w:val="000000"/>
          <w:spacing w:val="0"/>
          <w:w w:val="100"/>
          <w:position w:val="0"/>
        </w:rPr>
        <w:t>主要销售客户的情况</w:t>
      </w:r>
    </w:p>
    <w:p>
      <w:pPr>
        <w:pStyle w:val="Style13"/>
        <w:keepNext w:val="0"/>
        <w:keepLines w:val="0"/>
        <w:widowControl w:val="0"/>
        <w:shd w:val="clear" w:color="auto" w:fill="auto"/>
        <w:bidi w:val="0"/>
        <w:spacing w:before="0" w:after="520" w:line="240" w:lineRule="auto"/>
        <w:ind w:left="0" w:right="0" w:firstLine="0"/>
        <w:jc w:val="both"/>
      </w:pPr>
      <w:r>
        <w:rPr>
          <w:color w:val="000000"/>
          <w:spacing w:val="0"/>
          <w:w w:val="100"/>
          <w:position w:val="0"/>
        </w:rPr>
        <w:t>报告期内，前五名客户销售金额为</w:t>
      </w:r>
      <w:r>
        <w:rPr>
          <w:rFonts w:ascii="Times New Roman" w:eastAsia="Times New Roman" w:hAnsi="Times New Roman" w:cs="Times New Roman"/>
          <w:color w:val="000000"/>
          <w:spacing w:val="0"/>
          <w:w w:val="100"/>
          <w:position w:val="0"/>
        </w:rPr>
        <w:t>14,898.78</w:t>
      </w:r>
      <w:r>
        <w:rPr>
          <w:color w:val="000000"/>
          <w:spacing w:val="0"/>
          <w:w w:val="100"/>
          <w:position w:val="0"/>
        </w:rPr>
        <w:t>万元，占营业收入总额的</w:t>
      </w:r>
      <w:r>
        <w:rPr>
          <w:rFonts w:ascii="Times New Roman" w:eastAsia="Times New Roman" w:hAnsi="Times New Roman" w:cs="Times New Roman"/>
          <w:color w:val="000000"/>
          <w:spacing w:val="0"/>
          <w:w w:val="100"/>
          <w:position w:val="0"/>
        </w:rPr>
        <w:t>13.88%</w:t>
      </w:r>
      <w:r>
        <w:rPr>
          <w:color w:val="000000"/>
          <w:spacing w:val="0"/>
          <w:w w:val="100"/>
          <w:position w:val="0"/>
        </w:rPr>
        <w:t>。</w:t>
      </w:r>
    </w:p>
    <w:p>
      <w:pPr>
        <w:pStyle w:val="Style13"/>
        <w:keepNext w:val="0"/>
        <w:keepLines w:val="0"/>
        <w:widowControl w:val="0"/>
        <w:shd w:val="clear" w:color="auto" w:fill="auto"/>
        <w:tabs>
          <w:tab w:pos="478" w:val="left"/>
        </w:tabs>
        <w:bidi w:val="0"/>
        <w:spacing w:before="0" w:after="0" w:line="240" w:lineRule="auto"/>
        <w:ind w:left="0" w:right="0" w:firstLine="0"/>
        <w:jc w:val="both"/>
      </w:pPr>
      <w:bookmarkStart w:id="33" w:name="bookmark33"/>
      <w:r>
        <w:rPr>
          <w:rFonts w:ascii="Times New Roman" w:eastAsia="Times New Roman" w:hAnsi="Times New Roman" w:cs="Times New Roman"/>
          <w:color w:val="000000"/>
          <w:spacing w:val="0"/>
          <w:w w:val="100"/>
          <w:position w:val="0"/>
          <w:shd w:val="clear" w:color="auto" w:fill="FFFFFF"/>
        </w:rPr>
        <w:t>3</w:t>
      </w:r>
      <w:bookmarkEnd w:id="33"/>
      <w:r>
        <w:rPr>
          <w:color w:val="000000"/>
          <w:spacing w:val="0"/>
          <w:w w:val="100"/>
          <w:position w:val="0"/>
          <w:shd w:val="clear" w:color="auto" w:fill="FFFFFF"/>
        </w:rPr>
        <w:t>、</w:t>
      </w:r>
      <w:r>
        <w:rPr>
          <w:color w:val="000000"/>
          <w:spacing w:val="0"/>
          <w:w w:val="100"/>
          <w:position w:val="0"/>
        </w:rPr>
        <w:tab/>
        <w:t>成本</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成本分析表</w:t>
      </w:r>
    </w:p>
    <w:p>
      <w:pPr>
        <w:pStyle w:val="Style19"/>
        <w:keepNext w:val="0"/>
        <w:keepLines w:val="0"/>
        <w:widowControl w:val="0"/>
        <w:shd w:val="clear" w:color="auto" w:fill="auto"/>
        <w:bidi w:val="0"/>
        <w:spacing w:before="0" w:after="0" w:line="240" w:lineRule="auto"/>
        <w:ind w:left="7958"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224"/>
        <w:gridCol w:w="1411"/>
        <w:gridCol w:w="1526"/>
        <w:gridCol w:w="1190"/>
        <w:gridCol w:w="1531"/>
        <w:gridCol w:w="1214"/>
        <w:gridCol w:w="1224"/>
      </w:tblGrid>
      <w:tr>
        <w:trPr>
          <w:trHeight w:val="293" w:hRule="exact"/>
        </w:trPr>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分产品情况</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本期占总 成本比例</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上年同期 占总成本 比例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本期金额 较上年同 期变动比</w:t>
            </w:r>
          </w:p>
          <w:p>
            <w:pPr>
              <w:pStyle w:val="Style21"/>
              <w:keepNext w:val="0"/>
              <w:keepLines w:val="0"/>
              <w:widowControl w:val="0"/>
              <w:shd w:val="clear" w:color="auto" w:fill="auto"/>
              <w:bidi w:val="0"/>
              <w:spacing w:before="0" w:after="0" w:line="274" w:lineRule="exact"/>
              <w:ind w:left="0" w:right="0" w:firstLine="340"/>
              <w:jc w:val="left"/>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纺织品加 工及销售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234,440,204.92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276,896,252.58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-4.49</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纺织品加 工及销售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86,597,115.56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72,439,950.92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纺织品加 工及销售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外购动力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59,230,133.26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70,062,470.02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-1.15</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纺织品加 工及销售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委托外加工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16,919,222.14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15,427,658.01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0.62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纺织品加 工及销售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47,132,658.54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48,869,372.01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0.51</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钢管销售 及加工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393,130,899.28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347,238,912.92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钢管销售 及加工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16,682,501.52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10,036,962.16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钢管销售 及加工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外购动力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36,523,831.96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27,957,605.35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0.90</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钢管销售 及加工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16,183,101.21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14,035,964.84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-0.02</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主要供应商情况</w:t>
      </w:r>
    </w:p>
    <w:p>
      <w:pPr>
        <w:pStyle w:val="Style1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公司向前</w:t>
      </w:r>
      <w:r>
        <w:rPr>
          <w:rFonts w:ascii="Times New Roman" w:eastAsia="Times New Roman" w:hAnsi="Times New Roman" w:cs="Times New Roman"/>
          <w:color w:val="000000"/>
          <w:spacing w:val="0"/>
          <w:w w:val="100"/>
          <w:position w:val="0"/>
        </w:rPr>
        <w:t>5</w:t>
      </w:r>
      <w:r>
        <w:rPr>
          <w:color w:val="000000"/>
          <w:spacing w:val="0"/>
          <w:w w:val="100"/>
          <w:position w:val="0"/>
        </w:rPr>
        <w:t>名供应商合计的采购金额为</w:t>
      </w:r>
      <w:r>
        <w:rPr>
          <w:rFonts w:ascii="Times New Roman" w:eastAsia="Times New Roman" w:hAnsi="Times New Roman" w:cs="Times New Roman"/>
          <w:color w:val="000000"/>
          <w:spacing w:val="0"/>
          <w:w w:val="100"/>
          <w:position w:val="0"/>
        </w:rPr>
        <w:t>92,376.16</w:t>
      </w:r>
      <w:r>
        <w:rPr>
          <w:color w:val="000000"/>
          <w:spacing w:val="0"/>
          <w:w w:val="100"/>
          <w:position w:val="0"/>
        </w:rPr>
        <w:t>万元，占公司本年采购总额的</w:t>
      </w:r>
      <w:r>
        <w:rPr>
          <w:rFonts w:ascii="Times New Roman" w:eastAsia="Times New Roman" w:hAnsi="Times New Roman" w:cs="Times New Roman"/>
          <w:color w:val="000000"/>
          <w:spacing w:val="0"/>
          <w:w w:val="100"/>
          <w:position w:val="0"/>
        </w:rPr>
        <w:t>42.71%</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 费用</w:t>
      </w:r>
    </w:p>
    <w:tbl>
      <w:tblPr>
        <w:tblOverlap w:val="never"/>
        <w:jc w:val="center"/>
        <w:tblLayout w:type="fixed"/>
      </w:tblPr>
      <w:tblGrid>
        <w:gridCol w:w="1512"/>
        <w:gridCol w:w="2347"/>
        <w:gridCol w:w="1982"/>
        <w:gridCol w:w="1766"/>
        <w:gridCol w:w="2222"/>
      </w:tblGrid>
      <w:tr>
        <w:trPr>
          <w:trHeight w:val="26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本期数</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上年同期数</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变动原因说明</w:t>
            </w:r>
          </w:p>
        </w:tc>
      </w:tr>
      <w:tr>
        <w:trPr>
          <w:trHeight w:val="27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13,323,068.16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11,862,296.42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12.31</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42,871,627.44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45,572,083.73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-5.93</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20,350,722.21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33,109,448.22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-38.54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主要系本期借款减少所致。</w:t>
            </w:r>
          </w:p>
        </w:tc>
      </w:tr>
    </w:tbl>
    <w:p>
      <w:pPr>
        <w:spacing w:lineRule="exact" w:line="1"/>
        <w:rPr>
          <w:sz w:val="2"/>
          <w:szCs w:val="2"/>
        </w:rPr>
      </w:pPr>
      <w:r>
        <w:br w:type="page"/>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研发支出</w:t>
      </w:r>
    </w:p>
    <w:p>
      <w:pPr>
        <w:widowControl w:val="0"/>
        <w:spacing w:line="1" w:lineRule="exact"/>
      </w:pPr>
      <w:r>
        <mc:AlternateContent>
          <mc:Choice Requires="wps">
            <w:drawing>
              <wp:anchor distT="88265" distB="85090" distL="0" distR="0" simplePos="0" relativeHeight="125829378" behindDoc="0" locked="0" layoutInCell="1" allowOverlap="1">
                <wp:simplePos x="0" y="0"/>
                <wp:positionH relativeFrom="page">
                  <wp:posOffset>1833880</wp:posOffset>
                </wp:positionH>
                <wp:positionV relativeFrom="paragraph">
                  <wp:posOffset>88265</wp:posOffset>
                </wp:positionV>
                <wp:extent cx="289560" cy="170815"/>
                <wp:wrapTopAndBottom/>
                <wp:docPr id="12" name="Shape 12"/>
                <a:graphic xmlns:a="http://schemas.openxmlformats.org/drawingml/2006/main">
                  <a:graphicData uri="http://schemas.microsoft.com/office/word/2010/wordprocessingShape">
                    <wps:wsp>
                      <wps:cNvSpPr txBox="1"/>
                      <wps:spPr>
                        <a:xfrm>
                          <a:ext cx="289560" cy="1708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xbxContent>
                      </wps:txbx>
                      <wps:bodyPr wrap="none" lIns="0" tIns="0" rIns="0" bIns="0">
                        <a:noAutoFit/>
                      </wps:bodyPr>
                    </wps:wsp>
                  </a:graphicData>
                </a:graphic>
              </wp:anchor>
            </w:drawing>
          </mc:Choice>
          <mc:Fallback>
            <w:pict>
              <v:shape id="_x0000_s1038" type="#_x0000_t202" style="position:absolute;margin-left:144.40000000000001pt;margin-top:6.9500000000000002pt;width:22.800000000000001pt;height:13.450000000000001pt;z-index:-125829375;mso-wrap-distance-left:0;mso-wrap-distance-top:6.9500000000000002pt;mso-wrap-distance-right:0;mso-wrap-distance-bottom:6.7000000000000002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xbxContent>
                </v:textbox>
                <w10:wrap type="topAndBottom" anchorx="page"/>
              </v:shape>
            </w:pict>
          </mc:Fallback>
        </mc:AlternateContent>
      </w:r>
      <w:r>
        <mc:AlternateContent>
          <mc:Choice Requires="wps">
            <w:drawing>
              <wp:anchor distT="88265" distB="85090" distL="0" distR="0" simplePos="0" relativeHeight="125829380" behindDoc="0" locked="0" layoutInCell="1" allowOverlap="1">
                <wp:simplePos x="0" y="0"/>
                <wp:positionH relativeFrom="page">
                  <wp:posOffset>2995295</wp:posOffset>
                </wp:positionH>
                <wp:positionV relativeFrom="paragraph">
                  <wp:posOffset>88265</wp:posOffset>
                </wp:positionV>
                <wp:extent cx="426720" cy="170815"/>
                <wp:wrapTopAndBottom/>
                <wp:docPr id="14" name="Shape 14"/>
                <a:graphic xmlns:a="http://schemas.openxmlformats.org/drawingml/2006/main">
                  <a:graphicData uri="http://schemas.microsoft.com/office/word/2010/wordprocessingShape">
                    <wps:wsp>
                      <wps:cNvSpPr txBox="1"/>
                      <wps:spPr>
                        <a:xfrm>
                          <a:ext cx="426720" cy="1708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xbxContent>
                      </wps:txbx>
                      <wps:bodyPr wrap="none" lIns="0" tIns="0" rIns="0" bIns="0">
                        <a:noAutoFit/>
                      </wps:bodyPr>
                    </wps:wsp>
                  </a:graphicData>
                </a:graphic>
              </wp:anchor>
            </w:drawing>
          </mc:Choice>
          <mc:Fallback>
            <w:pict>
              <v:shape id="_x0000_s1040" type="#_x0000_t202" style="position:absolute;margin-left:235.84999999999999pt;margin-top:6.9500000000000002pt;width:33.600000000000001pt;height:13.450000000000001pt;z-index:-125829373;mso-wrap-distance-left:0;mso-wrap-distance-top:6.9500000000000002pt;mso-wrap-distance-right:0;mso-wrap-distance-bottom:6.7000000000000002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xbxContent>
                </v:textbox>
                <w10:wrap type="topAndBottom" anchorx="page"/>
              </v:shape>
            </w:pict>
          </mc:Fallback>
        </mc:AlternateContent>
      </w:r>
      <w:r>
        <mc:AlternateContent>
          <mc:Choice Requires="wps">
            <w:drawing>
              <wp:anchor distT="88265" distB="85090" distL="0" distR="0" simplePos="0" relativeHeight="125829382" behindDoc="0" locked="0" layoutInCell="1" allowOverlap="1">
                <wp:simplePos x="0" y="0"/>
                <wp:positionH relativeFrom="page">
                  <wp:posOffset>4025265</wp:posOffset>
                </wp:positionH>
                <wp:positionV relativeFrom="paragraph">
                  <wp:posOffset>88265</wp:posOffset>
                </wp:positionV>
                <wp:extent cx="692150" cy="170815"/>
                <wp:wrapTopAndBottom/>
                <wp:docPr id="16" name="Shape 16"/>
                <a:graphic xmlns:a="http://schemas.openxmlformats.org/drawingml/2006/main">
                  <a:graphicData uri="http://schemas.microsoft.com/office/word/2010/wordprocessingShape">
                    <wps:wsp>
                      <wps:cNvSpPr txBox="1"/>
                      <wps:spPr>
                        <a:xfrm>
                          <a:ext cx="692150" cy="1708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xbxContent>
                      </wps:txbx>
                      <wps:bodyPr wrap="none" lIns="0" tIns="0" rIns="0" bIns="0">
                        <a:noAutoFit/>
                      </wps:bodyPr>
                    </wps:wsp>
                  </a:graphicData>
                </a:graphic>
              </wp:anchor>
            </w:drawing>
          </mc:Choice>
          <mc:Fallback>
            <w:pict>
              <v:shape id="_x0000_s1042" type="#_x0000_t202" style="position:absolute;margin-left:316.94999999999999pt;margin-top:6.9500000000000002pt;width:54.5pt;height:13.450000000000001pt;z-index:-125829371;mso-wrap-distance-left:0;mso-wrap-distance-top:6.9500000000000002pt;mso-wrap-distance-right:0;mso-wrap-distance-bottom:6.7000000000000002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xbxContent>
                </v:textbox>
                <w10:wrap type="topAndBottom" anchorx="page"/>
              </v:shape>
            </w:pict>
          </mc:Fallback>
        </mc:AlternateContent>
      </w:r>
      <w:r>
        <mc:AlternateContent>
          <mc:Choice Requires="wps">
            <w:drawing>
              <wp:anchor distT="0" distB="0" distL="0" distR="0" simplePos="0" relativeHeight="125829384" behindDoc="0" locked="0" layoutInCell="1" allowOverlap="1">
                <wp:simplePos x="0" y="0"/>
                <wp:positionH relativeFrom="page">
                  <wp:posOffset>4939665</wp:posOffset>
                </wp:positionH>
                <wp:positionV relativeFrom="paragraph">
                  <wp:posOffset>0</wp:posOffset>
                </wp:positionV>
                <wp:extent cx="709930" cy="344170"/>
                <wp:wrapTopAndBottom/>
                <wp:docPr id="18" name="Shape 18"/>
                <a:graphic xmlns:a="http://schemas.openxmlformats.org/drawingml/2006/main">
                  <a:graphicData uri="http://schemas.microsoft.com/office/word/2010/wordprocessingShape">
                    <wps:wsp>
                      <wps:cNvSpPr txBox="1"/>
                      <wps:spPr>
                        <a:xfrm>
                          <a:ext cx="709930" cy="344170"/>
                        </a:xfrm>
                        <a:prstGeom prst="rect"/>
                        <a:noFill/>
                      </wps:spPr>
                      <wps:txbx>
                        <w:txbxContent>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变动比例</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wps:txbx>
                      <wps:bodyPr lIns="0" tIns="0" rIns="0" bIns="0">
                        <a:noAutoFit/>
                      </wps:bodyPr>
                    </wps:wsp>
                  </a:graphicData>
                </a:graphic>
              </wp:anchor>
            </w:drawing>
          </mc:Choice>
          <mc:Fallback>
            <w:pict>
              <v:shape id="_x0000_s1044" type="#_x0000_t202" style="position:absolute;margin-left:388.94999999999999pt;margin-top:0;width:55.899999999999999pt;height:27.100000000000001pt;z-index:-125829369;mso-wrap-distance-left:0;mso-wrap-distance-right:0;mso-position-horizontal-relative:page" filled="f" stroked="f">
                <v:textbox inset="0,0,0,0">
                  <w:txbxContent>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变动比例</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v:textbox>
                <w10:wrap type="topAndBottom" anchorx="page"/>
              </v:shape>
            </w:pict>
          </mc:Fallback>
        </mc:AlternateContent>
      </w:r>
      <w:r>
        <mc:AlternateContent>
          <mc:Choice Requires="wps">
            <w:drawing>
              <wp:anchor distT="88265" distB="88265" distL="0" distR="0" simplePos="0" relativeHeight="125829386" behindDoc="0" locked="0" layoutInCell="1" allowOverlap="1">
                <wp:simplePos x="0" y="0"/>
                <wp:positionH relativeFrom="page">
                  <wp:posOffset>5625465</wp:posOffset>
                </wp:positionH>
                <wp:positionV relativeFrom="paragraph">
                  <wp:posOffset>88265</wp:posOffset>
                </wp:positionV>
                <wp:extent cx="822960" cy="167640"/>
                <wp:wrapTopAndBottom/>
                <wp:docPr id="20" name="Shape 20"/>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xbxContent>
                      </wps:txbx>
                      <wps:bodyPr wrap="none" lIns="0" tIns="0" rIns="0" bIns="0">
                        <a:noAutoFit/>
                      </wps:bodyPr>
                    </wps:wsp>
                  </a:graphicData>
                </a:graphic>
              </wp:anchor>
            </w:drawing>
          </mc:Choice>
          <mc:Fallback>
            <w:pict>
              <v:shape id="_x0000_s1046" type="#_x0000_t202" style="position:absolute;margin-left:442.94999999999999pt;margin-top:6.9500000000000002pt;width:64.799999999999997pt;height:13.200000000000001pt;z-index:-125829367;mso-wrap-distance-left:0;mso-wrap-distance-top:6.9500000000000002pt;mso-wrap-distance-right:0;mso-wrap-distance-bottom:6.9500000000000002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xbxContent>
                </v:textbox>
                <w10:wrap type="topAndBottom" anchorx="page"/>
              </v:shape>
            </w:pict>
          </mc:Fallback>
        </mc:AlternateContent>
      </w:r>
    </w:p>
    <w:p>
      <w:pPr>
        <w:widowControl w:val="0"/>
        <w:spacing w:line="1" w:lineRule="exact"/>
      </w:pPr>
      <w:r>
        <mc:AlternateContent>
          <mc:Choice Requires="wps">
            <w:drawing>
              <wp:anchor distT="166370" distB="39370" distL="0" distR="0" simplePos="0" relativeHeight="125829388" behindDoc="0" locked="0" layoutInCell="1" allowOverlap="1">
                <wp:simplePos x="0" y="0"/>
                <wp:positionH relativeFrom="page">
                  <wp:posOffset>1166495</wp:posOffset>
                </wp:positionH>
                <wp:positionV relativeFrom="paragraph">
                  <wp:posOffset>166370</wp:posOffset>
                </wp:positionV>
                <wp:extent cx="4142105" cy="170815"/>
                <wp:wrapTopAndBottom/>
                <wp:docPr id="22" name="Shape 22"/>
                <a:graphic xmlns:a="http://schemas.openxmlformats.org/drawingml/2006/main">
                  <a:graphicData uri="http://schemas.microsoft.com/office/word/2010/wordprocessingShape">
                    <wps:wsp>
                      <wps:cNvSpPr txBox="1"/>
                      <wps:spPr>
                        <a:xfrm>
                          <a:ext cx="4142105" cy="170815"/>
                        </a:xfrm>
                        <a:prstGeom prst="rect"/>
                        <a:noFill/>
                      </wps:spPr>
                      <wps:txbx>
                        <w:txbxContent>
                          <w:p>
                            <w:pPr>
                              <w:pStyle w:val="Style25"/>
                              <w:keepNext w:val="0"/>
                              <w:keepLines w:val="0"/>
                              <w:widowControl w:val="0"/>
                              <w:shd w:val="clear" w:color="auto" w:fill="auto"/>
                              <w:tabs>
                                <w:tab w:pos="4512" w:val="left"/>
                              </w:tabs>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r>
                              <w:rPr>
                                <w:color w:val="000000"/>
                                <w:spacing w:val="0"/>
                                <w:w w:val="100"/>
                                <w:position w:val="0"/>
                              </w:rPr>
                              <w:t>70,285,722.39</w:t>
                              <w:tab/>
                              <w:t>133,695,778.00 -47.43</w:t>
                            </w:r>
                          </w:p>
                        </w:txbxContent>
                      </wps:txbx>
                      <wps:bodyPr wrap="none" lIns="0" tIns="0" rIns="0" bIns="0">
                        <a:noAutoFit/>
                      </wps:bodyPr>
                    </wps:wsp>
                  </a:graphicData>
                </a:graphic>
              </wp:anchor>
            </w:drawing>
          </mc:Choice>
          <mc:Fallback>
            <w:pict>
              <v:shape id="_x0000_s1048" type="#_x0000_t202" style="position:absolute;margin-left:91.850000000000009pt;margin-top:13.1pt;width:326.15000000000003pt;height:13.450000000000001pt;z-index:-125829365;mso-wrap-distance-left:0;mso-wrap-distance-top:13.1pt;mso-wrap-distance-right:0;mso-wrap-distance-bottom:3.1000000000000001pt;mso-position-horizontal-relative:page" filled="f" stroked="f">
                <v:textbox inset="0,0,0,0">
                  <w:txbxContent>
                    <w:p>
                      <w:pPr>
                        <w:pStyle w:val="Style25"/>
                        <w:keepNext w:val="0"/>
                        <w:keepLines w:val="0"/>
                        <w:widowControl w:val="0"/>
                        <w:shd w:val="clear" w:color="auto" w:fill="auto"/>
                        <w:tabs>
                          <w:tab w:pos="4512" w:val="left"/>
                        </w:tabs>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r>
                        <w:rPr>
                          <w:color w:val="000000"/>
                          <w:spacing w:val="0"/>
                          <w:w w:val="100"/>
                          <w:position w:val="0"/>
                        </w:rPr>
                        <w:t>70,285,722.39</w:t>
                        <w:tab/>
                        <w:t>133,695,778.00 -47.43</w:t>
                      </w:r>
                    </w:p>
                  </w:txbxContent>
                </v:textbox>
                <w10:wrap type="topAndBottom" anchorx="page"/>
              </v:shape>
            </w:pict>
          </mc:Fallback>
        </mc:AlternateContent>
      </w:r>
      <w:r>
        <mc:AlternateContent>
          <mc:Choice Requires="wps">
            <w:drawing>
              <wp:anchor distT="114300" distB="0" distL="0" distR="0" simplePos="0" relativeHeight="125829390" behindDoc="0" locked="0" layoutInCell="1" allowOverlap="1">
                <wp:simplePos x="0" y="0"/>
                <wp:positionH relativeFrom="page">
                  <wp:posOffset>5622925</wp:posOffset>
                </wp:positionH>
                <wp:positionV relativeFrom="paragraph">
                  <wp:posOffset>114300</wp:posOffset>
                </wp:positionV>
                <wp:extent cx="1932305" cy="262255"/>
                <wp:wrapTopAndBottom/>
                <wp:docPr id="24" name="Shape 24"/>
                <a:graphic xmlns:a="http://schemas.openxmlformats.org/drawingml/2006/main">
                  <a:graphicData uri="http://schemas.microsoft.com/office/word/2010/wordprocessingShape">
                    <wps:wsp>
                      <wps:cNvSpPr txBox="1"/>
                      <wps:spPr>
                        <a:xfrm>
                          <a:ext cx="1932305" cy="262255"/>
                        </a:xfrm>
                        <a:prstGeom prst="rect"/>
                        <a:noFill/>
                      </wps:spPr>
                      <wps:txbx>
                        <w:txbxContent>
                          <w:p>
                            <w:pPr>
                              <w:pStyle w:val="Style28"/>
                              <w:keepNext w:val="0"/>
                              <w:keepLines w:val="0"/>
                              <w:widowControl w:val="0"/>
                              <w:shd w:val="clear" w:color="auto" w:fill="auto"/>
                              <w:bidi w:val="0"/>
                              <w:spacing w:before="0" w:after="0" w:line="197" w:lineRule="exact"/>
                              <w:ind w:left="0" w:right="0" w:firstLine="0"/>
                              <w:jc w:val="left"/>
                            </w:pPr>
                            <w:r>
                              <w:rPr>
                                <w:color w:val="000000"/>
                                <w:spacing w:val="0"/>
                                <w:w w:val="100"/>
                                <w:position w:val="0"/>
                              </w:rPr>
                              <w:t>主要系购买商品、接受劳务支付的现金 和支付给职工以及为职工支付的现金增加所致</w:t>
                            </w:r>
                          </w:p>
                        </w:txbxContent>
                      </wps:txbx>
                      <wps:bodyPr lIns="0" tIns="0" rIns="0" bIns="0">
                        <a:noAutoFit/>
                      </wps:bodyPr>
                    </wps:wsp>
                  </a:graphicData>
                </a:graphic>
              </wp:anchor>
            </w:drawing>
          </mc:Choice>
          <mc:Fallback>
            <w:pict>
              <v:shape id="_x0000_s1050" type="#_x0000_t202" style="position:absolute;margin-left:442.75pt;margin-top:9.pt;width:152.15000000000001pt;height:20.650000000000002pt;z-index:-125829363;mso-wrap-distance-left:0;mso-wrap-distance-top:9.pt;mso-wrap-distance-right:0;mso-position-horizontal-relative:page" filled="f" stroked="f">
                <v:textbox inset="0,0,0,0">
                  <w:txbxContent>
                    <w:p>
                      <w:pPr>
                        <w:pStyle w:val="Style28"/>
                        <w:keepNext w:val="0"/>
                        <w:keepLines w:val="0"/>
                        <w:widowControl w:val="0"/>
                        <w:shd w:val="clear" w:color="auto" w:fill="auto"/>
                        <w:bidi w:val="0"/>
                        <w:spacing w:before="0" w:after="0" w:line="197" w:lineRule="exact"/>
                        <w:ind w:left="0" w:right="0" w:firstLine="0"/>
                        <w:jc w:val="left"/>
                      </w:pPr>
                      <w:r>
                        <w:rPr>
                          <w:color w:val="000000"/>
                          <w:spacing w:val="0"/>
                          <w:w w:val="100"/>
                          <w:position w:val="0"/>
                        </w:rPr>
                        <w:t>主要系购买商品、接受劳务支付的现金 和支付给职工以及为职工支付的现金增加所致</w:t>
                      </w:r>
                    </w:p>
                  </w:txbxContent>
                </v:textbox>
                <w10:wrap type="topAndBottom" anchorx="page"/>
              </v:shape>
            </w:pict>
          </mc:Fallback>
        </mc:AlternateContent>
      </w:r>
    </w:p>
    <w:p>
      <w:pPr>
        <w:widowControl w:val="0"/>
        <w:spacing w:line="1" w:lineRule="exact"/>
      </w:pPr>
      <w:r>
        <mc:AlternateContent>
          <mc:Choice Requires="wps">
            <w:drawing>
              <wp:anchor distT="213995" distB="344170" distL="0" distR="0" simplePos="0" relativeHeight="125829392" behindDoc="0" locked="0" layoutInCell="1" allowOverlap="1">
                <wp:simplePos x="0" y="0"/>
                <wp:positionH relativeFrom="page">
                  <wp:posOffset>1166495</wp:posOffset>
                </wp:positionH>
                <wp:positionV relativeFrom="paragraph">
                  <wp:posOffset>213995</wp:posOffset>
                </wp:positionV>
                <wp:extent cx="2688590" cy="170815"/>
                <wp:wrapTopAndBottom/>
                <wp:docPr id="26" name="Shape 26"/>
                <a:graphic xmlns:a="http://schemas.openxmlformats.org/drawingml/2006/main">
                  <a:graphicData uri="http://schemas.microsoft.com/office/word/2010/wordprocessingShape">
                    <wps:wsp>
                      <wps:cNvSpPr txBox="1"/>
                      <wps:spPr>
                        <a:xfrm>
                          <a:ext cx="2688590" cy="17081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r>
                              <w:rPr>
                                <w:color w:val="000000"/>
                                <w:spacing w:val="0"/>
                                <w:w w:val="100"/>
                                <w:position w:val="0"/>
                              </w:rPr>
                              <w:t>299,067,540.03</w:t>
                            </w:r>
                          </w:p>
                        </w:txbxContent>
                      </wps:txbx>
                      <wps:bodyPr wrap="none" lIns="0" tIns="0" rIns="0" bIns="0">
                        <a:noAutoFit/>
                      </wps:bodyPr>
                    </wps:wsp>
                  </a:graphicData>
                </a:graphic>
              </wp:anchor>
            </w:drawing>
          </mc:Choice>
          <mc:Fallback>
            <w:pict>
              <v:shape id="_x0000_s1052" type="#_x0000_t202" style="position:absolute;margin-left:91.850000000000009pt;margin-top:16.850000000000001pt;width:211.70000000000002pt;height:13.450000000000001pt;z-index:-125829361;mso-wrap-distance-left:0;mso-wrap-distance-top:16.850000000000001pt;mso-wrap-distance-right:0;mso-wrap-distance-bottom:27.100000000000001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r>
                        <w:rPr>
                          <w:color w:val="000000"/>
                          <w:spacing w:val="0"/>
                          <w:w w:val="100"/>
                          <w:position w:val="0"/>
                        </w:rPr>
                        <w:t>299,067,540.03</w:t>
                      </w:r>
                    </w:p>
                  </w:txbxContent>
                </v:textbox>
                <w10:wrap type="topAndBottom" anchorx="page"/>
              </v:shape>
            </w:pict>
          </mc:Fallback>
        </mc:AlternateContent>
      </w:r>
      <w:r>
        <mc:AlternateContent>
          <mc:Choice Requires="wps">
            <w:drawing>
              <wp:anchor distT="222885" distB="344805" distL="0" distR="0" simplePos="0" relativeHeight="125829394" behindDoc="0" locked="0" layoutInCell="1" allowOverlap="1">
                <wp:simplePos x="0" y="0"/>
                <wp:positionH relativeFrom="page">
                  <wp:posOffset>4025265</wp:posOffset>
                </wp:positionH>
                <wp:positionV relativeFrom="paragraph">
                  <wp:posOffset>222885</wp:posOffset>
                </wp:positionV>
                <wp:extent cx="838200" cy="161290"/>
                <wp:wrapTopAndBottom/>
                <wp:docPr id="28" name="Shape 28"/>
                <a:graphic xmlns:a="http://schemas.openxmlformats.org/drawingml/2006/main">
                  <a:graphicData uri="http://schemas.microsoft.com/office/word/2010/wordprocessingShape">
                    <wps:wsp>
                      <wps:cNvSpPr txBox="1"/>
                      <wps:spPr>
                        <a:xfrm>
                          <a:ext cx="838200"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-17,792,057.47</w:t>
                            </w:r>
                          </w:p>
                        </w:txbxContent>
                      </wps:txbx>
                      <wps:bodyPr wrap="none" lIns="0" tIns="0" rIns="0" bIns="0">
                        <a:noAutoFit/>
                      </wps:bodyPr>
                    </wps:wsp>
                  </a:graphicData>
                </a:graphic>
              </wp:anchor>
            </w:drawing>
          </mc:Choice>
          <mc:Fallback>
            <w:pict>
              <v:shape id="_x0000_s1054" type="#_x0000_t202" style="position:absolute;margin-left:316.94999999999999pt;margin-top:17.550000000000001pt;width:66.pt;height:12.700000000000001pt;z-index:-125829359;mso-wrap-distance-left:0;mso-wrap-distance-top:17.550000000000001pt;mso-wrap-distance-right:0;mso-wrap-distance-bottom:27.150000000000002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-17,792,057.47</w:t>
                      </w:r>
                    </w:p>
                  </w:txbxContent>
                </v:textbox>
                <w10:wrap type="topAndBottom" anchorx="page"/>
              </v:shape>
            </w:pict>
          </mc:Fallback>
        </mc:AlternateContent>
      </w:r>
      <w:r>
        <mc:AlternateContent>
          <mc:Choice Requires="wps">
            <w:drawing>
              <wp:anchor distT="165100" distB="304800" distL="0" distR="0" simplePos="0" relativeHeight="125829396" behindDoc="0" locked="0" layoutInCell="1" allowOverlap="1">
                <wp:simplePos x="0" y="0"/>
                <wp:positionH relativeFrom="page">
                  <wp:posOffset>5622925</wp:posOffset>
                </wp:positionH>
                <wp:positionV relativeFrom="paragraph">
                  <wp:posOffset>165100</wp:posOffset>
                </wp:positionV>
                <wp:extent cx="1718945" cy="259080"/>
                <wp:wrapTopAndBottom/>
                <wp:docPr id="30" name="Shape 30"/>
                <a:graphic xmlns:a="http://schemas.openxmlformats.org/drawingml/2006/main">
                  <a:graphicData uri="http://schemas.microsoft.com/office/word/2010/wordprocessingShape">
                    <wps:wsp>
                      <wps:cNvSpPr txBox="1"/>
                      <wps:spPr>
                        <a:xfrm>
                          <a:ext cx="1718945" cy="259080"/>
                        </a:xfrm>
                        <a:prstGeom prst="rect"/>
                        <a:noFill/>
                      </wps:spPr>
                      <wps:txbx>
                        <w:txbxContent>
                          <w:p>
                            <w:pPr>
                              <w:pStyle w:val="Style28"/>
                              <w:keepNext w:val="0"/>
                              <w:keepLines w:val="0"/>
                              <w:widowControl w:val="0"/>
                              <w:shd w:val="clear" w:color="auto" w:fill="auto"/>
                              <w:bidi w:val="0"/>
                              <w:spacing w:before="0" w:after="0" w:line="202" w:lineRule="exact"/>
                              <w:ind w:left="0" w:right="0" w:firstLine="0"/>
                              <w:jc w:val="left"/>
                            </w:pPr>
                            <w:r>
                              <w:rPr>
                                <w:color w:val="000000"/>
                                <w:spacing w:val="0"/>
                                <w:w w:val="100"/>
                                <w:position w:val="0"/>
                              </w:rPr>
                              <w:t>主要系公司本期收回</w:t>
                            </w:r>
                            <w:r>
                              <w:rPr>
                                <w:rFonts w:ascii="Times New Roman" w:eastAsia="Times New Roman" w:hAnsi="Times New Roman" w:cs="Times New Roman"/>
                                <w:color w:val="000000"/>
                                <w:spacing w:val="0"/>
                                <w:w w:val="100"/>
                                <w:position w:val="0"/>
                                <w:sz w:val="15"/>
                                <w:szCs w:val="15"/>
                              </w:rPr>
                              <w:t>1.5</w:t>
                            </w:r>
                            <w:r>
                              <w:rPr>
                                <w:color w:val="000000"/>
                                <w:spacing w:val="0"/>
                                <w:w w:val="100"/>
                                <w:position w:val="0"/>
                              </w:rPr>
                              <w:t>亿元的委托贷款 影响所致。</w:t>
                            </w:r>
                          </w:p>
                        </w:txbxContent>
                      </wps:txbx>
                      <wps:bodyPr lIns="0" tIns="0" rIns="0" bIns="0">
                        <a:noAutoFit/>
                      </wps:bodyPr>
                    </wps:wsp>
                  </a:graphicData>
                </a:graphic>
              </wp:anchor>
            </w:drawing>
          </mc:Choice>
          <mc:Fallback>
            <w:pict>
              <v:shape id="_x0000_s1056" type="#_x0000_t202" style="position:absolute;margin-left:442.75pt;margin-top:13.pt;width:135.34999999999999pt;height:20.400000000000002pt;z-index:-125829357;mso-wrap-distance-left:0;mso-wrap-distance-top:13.pt;mso-wrap-distance-right:0;mso-wrap-distance-bottom:24.pt;mso-position-horizontal-relative:page" filled="f" stroked="f">
                <v:textbox inset="0,0,0,0">
                  <w:txbxContent>
                    <w:p>
                      <w:pPr>
                        <w:pStyle w:val="Style28"/>
                        <w:keepNext w:val="0"/>
                        <w:keepLines w:val="0"/>
                        <w:widowControl w:val="0"/>
                        <w:shd w:val="clear" w:color="auto" w:fill="auto"/>
                        <w:bidi w:val="0"/>
                        <w:spacing w:before="0" w:after="0" w:line="202" w:lineRule="exact"/>
                        <w:ind w:left="0" w:right="0" w:firstLine="0"/>
                        <w:jc w:val="left"/>
                      </w:pPr>
                      <w:r>
                        <w:rPr>
                          <w:color w:val="000000"/>
                          <w:spacing w:val="0"/>
                          <w:w w:val="100"/>
                          <w:position w:val="0"/>
                        </w:rPr>
                        <w:t>主要系公司本期收回</w:t>
                      </w:r>
                      <w:r>
                        <w:rPr>
                          <w:rFonts w:ascii="Times New Roman" w:eastAsia="Times New Roman" w:hAnsi="Times New Roman" w:cs="Times New Roman"/>
                          <w:color w:val="000000"/>
                          <w:spacing w:val="0"/>
                          <w:w w:val="100"/>
                          <w:position w:val="0"/>
                          <w:sz w:val="15"/>
                          <w:szCs w:val="15"/>
                        </w:rPr>
                        <w:t>1.5</w:t>
                      </w:r>
                      <w:r>
                        <w:rPr>
                          <w:color w:val="000000"/>
                          <w:spacing w:val="0"/>
                          <w:w w:val="100"/>
                          <w:position w:val="0"/>
                        </w:rPr>
                        <w:t>亿元的委托贷款 影响所致。</w:t>
                      </w:r>
                    </w:p>
                  </w:txbxContent>
                </v:textbox>
                <w10:wrap type="topAndBottom" anchorx="page"/>
              </v:shape>
            </w:pict>
          </mc:Fallback>
        </mc:AlternateContent>
      </w:r>
      <w:r>
        <mc:AlternateContent>
          <mc:Choice Requires="wps">
            <w:drawing>
              <wp:anchor distT="558165" distB="0" distL="0" distR="0" simplePos="0" relativeHeight="125829398" behindDoc="0" locked="0" layoutInCell="1" allowOverlap="1">
                <wp:simplePos x="0" y="0"/>
                <wp:positionH relativeFrom="page">
                  <wp:posOffset>1236345</wp:posOffset>
                </wp:positionH>
                <wp:positionV relativeFrom="paragraph">
                  <wp:posOffset>558165</wp:posOffset>
                </wp:positionV>
                <wp:extent cx="2660650" cy="170815"/>
                <wp:wrapTopAndBottom/>
                <wp:docPr id="32" name="Shape 32"/>
                <a:graphic xmlns:a="http://schemas.openxmlformats.org/drawingml/2006/main">
                  <a:graphicData uri="http://schemas.microsoft.com/office/word/2010/wordprocessingShape">
                    <wps:wsp>
                      <wps:cNvSpPr txBox="1"/>
                      <wps:spPr>
                        <a:xfrm>
                          <a:ext cx="2660650" cy="17081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r>
                              <w:rPr>
                                <w:color w:val="000000"/>
                                <w:spacing w:val="0"/>
                                <w:w w:val="100"/>
                                <w:position w:val="0"/>
                              </w:rPr>
                              <w:t>-320,004,891.82</w:t>
                            </w:r>
                          </w:p>
                        </w:txbxContent>
                      </wps:txbx>
                      <wps:bodyPr wrap="none" lIns="0" tIns="0" rIns="0" bIns="0">
                        <a:noAutoFit/>
                      </wps:bodyPr>
                    </wps:wsp>
                  </a:graphicData>
                </a:graphic>
              </wp:anchor>
            </w:drawing>
          </mc:Choice>
          <mc:Fallback>
            <w:pict>
              <v:shape id="_x0000_s1058" type="#_x0000_t202" style="position:absolute;margin-left:97.350000000000009pt;margin-top:43.950000000000003pt;width:209.5pt;height:13.450000000000001pt;z-index:-125829355;mso-wrap-distance-left:0;mso-wrap-distance-top:43.950000000000003pt;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r>
                        <w:rPr>
                          <w:color w:val="000000"/>
                          <w:spacing w:val="0"/>
                          <w:w w:val="100"/>
                          <w:position w:val="0"/>
                        </w:rPr>
                        <w:t>-320,004,891.82</w:t>
                      </w:r>
                    </w:p>
                  </w:txbxContent>
                </v:textbox>
                <w10:wrap type="topAndBottom" anchorx="page"/>
              </v:shape>
            </w:pict>
          </mc:Fallback>
        </mc:AlternateContent>
      </w:r>
      <w:r>
        <mc:AlternateContent>
          <mc:Choice Requires="wps">
            <w:drawing>
              <wp:anchor distT="567690" distB="0" distL="0" distR="0" simplePos="0" relativeHeight="125829400" behindDoc="0" locked="0" layoutInCell="1" allowOverlap="1">
                <wp:simplePos x="0" y="0"/>
                <wp:positionH relativeFrom="page">
                  <wp:posOffset>4025265</wp:posOffset>
                </wp:positionH>
                <wp:positionV relativeFrom="paragraph">
                  <wp:posOffset>567690</wp:posOffset>
                </wp:positionV>
                <wp:extent cx="895985" cy="161290"/>
                <wp:wrapTopAndBottom/>
                <wp:docPr id="34" name="Shape 34"/>
                <a:graphic xmlns:a="http://schemas.openxmlformats.org/drawingml/2006/main">
                  <a:graphicData uri="http://schemas.microsoft.com/office/word/2010/wordprocessingShape">
                    <wps:wsp>
                      <wps:cNvSpPr txBox="1"/>
                      <wps:spPr>
                        <a:xfrm>
                          <a:ext cx="895985"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-113,554,566.53</w:t>
                            </w:r>
                          </w:p>
                        </w:txbxContent>
                      </wps:txbx>
                      <wps:bodyPr wrap="none" lIns="0" tIns="0" rIns="0" bIns="0">
                        <a:noAutoFit/>
                      </wps:bodyPr>
                    </wps:wsp>
                  </a:graphicData>
                </a:graphic>
              </wp:anchor>
            </w:drawing>
          </mc:Choice>
          <mc:Fallback>
            <w:pict>
              <v:shape id="_x0000_s1060" type="#_x0000_t202" style="position:absolute;margin-left:316.94999999999999pt;margin-top:44.700000000000003pt;width:70.549999999999997pt;height:12.700000000000001pt;z-index:-125829353;mso-wrap-distance-left:0;mso-wrap-distance-top:44.700000000000003pt;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-113,554,566.53</w:t>
                      </w:r>
                    </w:p>
                  </w:txbxContent>
                </v:textbox>
                <w10:wrap type="topAndBottom" anchorx="page"/>
              </v:shape>
            </w:pict>
          </mc:Fallback>
        </mc:AlternateContent>
      </w:r>
      <w:r>
        <mc:AlternateContent>
          <mc:Choice Requires="wps">
            <w:drawing>
              <wp:anchor distT="576580" distB="24130" distL="0" distR="0" simplePos="0" relativeHeight="125829402" behindDoc="0" locked="0" layoutInCell="1" allowOverlap="1">
                <wp:simplePos x="0" y="0"/>
                <wp:positionH relativeFrom="page">
                  <wp:posOffset>5622925</wp:posOffset>
                </wp:positionH>
                <wp:positionV relativeFrom="paragraph">
                  <wp:posOffset>576580</wp:posOffset>
                </wp:positionV>
                <wp:extent cx="1835150" cy="128270"/>
                <wp:wrapTopAndBottom/>
                <wp:docPr id="36" name="Shape 36"/>
                <a:graphic xmlns:a="http://schemas.openxmlformats.org/drawingml/2006/main">
                  <a:graphicData uri="http://schemas.microsoft.com/office/word/2010/wordprocessingShape">
                    <wps:wsp>
                      <wps:cNvSpPr txBox="1"/>
                      <wps:spPr>
                        <a:xfrm>
                          <a:ext cx="1835150" cy="12827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主要系本期资金充裕归还了较多银行借款。</w:t>
                            </w:r>
                          </w:p>
                        </w:txbxContent>
                      </wps:txbx>
                      <wps:bodyPr wrap="none" lIns="0" tIns="0" rIns="0" bIns="0">
                        <a:noAutoFit/>
                      </wps:bodyPr>
                    </wps:wsp>
                  </a:graphicData>
                </a:graphic>
              </wp:anchor>
            </w:drawing>
          </mc:Choice>
          <mc:Fallback>
            <w:pict>
              <v:shape id="_x0000_s1062" type="#_x0000_t202" style="position:absolute;margin-left:442.75pt;margin-top:45.399999999999999pt;width:144.5pt;height:10.1pt;z-index:-125829351;mso-wrap-distance-left:0;mso-wrap-distance-top:45.399999999999999pt;mso-wrap-distance-right:0;mso-wrap-distance-bottom:1.90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主要系本期资金充裕归还了较多银行借款。</w:t>
                      </w:r>
                    </w:p>
                  </w:txbxContent>
                </v:textbox>
                <w10:wrap type="topAndBottom" anchorx="page"/>
              </v:shape>
            </w:pict>
          </mc:Fallback>
        </mc:AlternateContent>
      </w:r>
    </w:p>
    <w:tbl>
      <w:tblPr>
        <w:tblOverlap w:val="never"/>
        <w:jc w:val="left"/>
        <w:tblLayout w:type="fixed"/>
      </w:tblPr>
      <w:tblGrid>
        <w:gridCol w:w="4195"/>
        <w:gridCol w:w="5126"/>
      </w:tblGrid>
      <w:tr>
        <w:trPr>
          <w:trHeight w:val="293" w:hRule="exact"/>
        </w:trPr>
        <w:tc>
          <w:tcPr>
            <w:tcBorders>
              <w:top w:val="single" w:sz="4"/>
              <w:left w:val="single" w:sz="4"/>
            </w:tcBorders>
            <w:shd w:val="clear" w:color="auto" w:fill="FFFFFF"/>
            <w:vAlign w:val="bottom"/>
          </w:tcPr>
          <w:p>
            <w:pPr>
              <w:pStyle w:val="Style21"/>
              <w:keepNext w:val="0"/>
              <w:keepLines w:val="0"/>
              <w:framePr w:w="9322" w:h="1454" w:vSpace="274" w:wrap="notBeside" w:vAnchor="text" w:hAnchor="text" w:x="257" w:y="534"/>
              <w:widowControl w:val="0"/>
              <w:shd w:val="clear" w:color="auto" w:fill="auto"/>
              <w:bidi w:val="0"/>
              <w:spacing w:before="0" w:after="0" w:line="240" w:lineRule="auto"/>
              <w:ind w:left="0" w:right="0" w:firstLine="0"/>
              <w:jc w:val="left"/>
            </w:pPr>
            <w:r>
              <w:rPr>
                <w:color w:val="000000"/>
                <w:spacing w:val="0"/>
                <w:w w:val="100"/>
                <w:position w:val="0"/>
              </w:rPr>
              <w:t>本期费用化研发支出</w:t>
            </w:r>
          </w:p>
        </w:tc>
        <w:tc>
          <w:tcPr>
            <w:tcBorders>
              <w:top w:val="single" w:sz="4"/>
              <w:left w:val="single" w:sz="4"/>
              <w:right w:val="single" w:sz="4"/>
            </w:tcBorders>
            <w:shd w:val="clear" w:color="auto" w:fill="FFFFFF"/>
            <w:vAlign w:val="bottom"/>
          </w:tcPr>
          <w:p>
            <w:pPr>
              <w:pStyle w:val="Style21"/>
              <w:keepNext w:val="0"/>
              <w:keepLines w:val="0"/>
              <w:framePr w:w="9322" w:h="1454" w:vSpace="274" w:wrap="notBeside" w:vAnchor="text" w:hAnchor="text" w:x="257"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6,158,807.74</w:t>
            </w:r>
          </w:p>
        </w:tc>
      </w:tr>
      <w:tr>
        <w:trPr>
          <w:trHeight w:val="293" w:hRule="exact"/>
        </w:trPr>
        <w:tc>
          <w:tcPr>
            <w:tcBorders>
              <w:top w:val="single" w:sz="4"/>
              <w:left w:val="single" w:sz="4"/>
            </w:tcBorders>
            <w:shd w:val="clear" w:color="auto" w:fill="FFFFFF"/>
            <w:vAlign w:val="center"/>
          </w:tcPr>
          <w:p>
            <w:pPr>
              <w:pStyle w:val="Style21"/>
              <w:keepNext w:val="0"/>
              <w:keepLines w:val="0"/>
              <w:framePr w:w="9322" w:h="1454" w:vSpace="274" w:wrap="notBeside" w:vAnchor="text" w:hAnchor="text" w:x="257" w:y="534"/>
              <w:widowControl w:val="0"/>
              <w:shd w:val="clear" w:color="auto" w:fill="auto"/>
              <w:bidi w:val="0"/>
              <w:spacing w:before="0" w:after="0" w:line="240" w:lineRule="auto"/>
              <w:ind w:left="0" w:right="0" w:firstLine="0"/>
              <w:jc w:val="left"/>
            </w:pPr>
            <w:r>
              <w:rPr>
                <w:color w:val="000000"/>
                <w:spacing w:val="0"/>
                <w:w w:val="100"/>
                <w:position w:val="0"/>
              </w:rPr>
              <w:t>本期资本化研发支出</w:t>
            </w:r>
          </w:p>
        </w:tc>
        <w:tc>
          <w:tcPr>
            <w:tcBorders>
              <w:top w:val="single" w:sz="4"/>
              <w:left w:val="single" w:sz="4"/>
              <w:right w:val="single" w:sz="4"/>
            </w:tcBorders>
            <w:shd w:val="clear" w:color="auto" w:fill="FFFFFF"/>
            <w:vAlign w:val="center"/>
          </w:tcPr>
          <w:p>
            <w:pPr>
              <w:pStyle w:val="Style21"/>
              <w:keepNext w:val="0"/>
              <w:keepLines w:val="0"/>
              <w:framePr w:w="9322" w:h="1454" w:vSpace="274" w:wrap="notBeside" w:vAnchor="text" w:hAnchor="text" w:x="257" w:y="534"/>
              <w:widowControl w:val="0"/>
              <w:shd w:val="clear" w:color="auto" w:fill="auto"/>
              <w:bidi w:val="0"/>
              <w:spacing w:before="0" w:after="0" w:line="240" w:lineRule="auto"/>
              <w:ind w:left="4640" w:right="0" w:firstLine="0"/>
              <w:jc w:val="left"/>
            </w:pPr>
            <w:r>
              <w:rPr>
                <w:rFonts w:ascii="Times New Roman" w:eastAsia="Times New Roman" w:hAnsi="Times New Roman" w:cs="Times New Roman"/>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1"/>
              <w:keepNext w:val="0"/>
              <w:keepLines w:val="0"/>
              <w:framePr w:w="9322" w:h="1454" w:vSpace="274" w:wrap="notBeside" w:vAnchor="text" w:hAnchor="text" w:x="257" w:y="534"/>
              <w:widowControl w:val="0"/>
              <w:shd w:val="clear" w:color="auto" w:fill="auto"/>
              <w:bidi w:val="0"/>
              <w:spacing w:before="0" w:after="0" w:line="240" w:lineRule="auto"/>
              <w:ind w:left="0" w:right="0" w:firstLine="0"/>
              <w:jc w:val="left"/>
            </w:pPr>
            <w:r>
              <w:rPr>
                <w:color w:val="000000"/>
                <w:spacing w:val="0"/>
                <w:w w:val="100"/>
                <w:position w:val="0"/>
              </w:rPr>
              <w:t>研发支出合计</w:t>
            </w:r>
          </w:p>
        </w:tc>
        <w:tc>
          <w:tcPr>
            <w:tcBorders>
              <w:top w:val="single" w:sz="4"/>
              <w:left w:val="single" w:sz="4"/>
              <w:right w:val="single" w:sz="4"/>
            </w:tcBorders>
            <w:shd w:val="clear" w:color="auto" w:fill="FFFFFF"/>
            <w:vAlign w:val="bottom"/>
          </w:tcPr>
          <w:p>
            <w:pPr>
              <w:pStyle w:val="Style21"/>
              <w:keepNext w:val="0"/>
              <w:keepLines w:val="0"/>
              <w:framePr w:w="9322" w:h="1454" w:vSpace="274" w:wrap="notBeside" w:vAnchor="text" w:hAnchor="text" w:x="257"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6,158,807.74</w:t>
            </w:r>
          </w:p>
        </w:tc>
      </w:tr>
      <w:tr>
        <w:trPr>
          <w:trHeight w:val="288" w:hRule="exact"/>
        </w:trPr>
        <w:tc>
          <w:tcPr>
            <w:tcBorders>
              <w:top w:val="single" w:sz="4"/>
              <w:left w:val="single" w:sz="4"/>
            </w:tcBorders>
            <w:shd w:val="clear" w:color="auto" w:fill="FFFFFF"/>
            <w:vAlign w:val="center"/>
          </w:tcPr>
          <w:p>
            <w:pPr>
              <w:pStyle w:val="Style21"/>
              <w:keepNext w:val="0"/>
              <w:keepLines w:val="0"/>
              <w:framePr w:w="9322" w:h="1454" w:vSpace="274" w:wrap="notBeside" w:vAnchor="text" w:hAnchor="text" w:x="257" w:y="534"/>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framePr w:w="9322" w:h="1454" w:vSpace="274" w:wrap="notBeside" w:vAnchor="text" w:hAnchor="text" w:x="257" w:y="534"/>
              <w:widowControl w:val="0"/>
              <w:shd w:val="clear" w:color="auto" w:fill="auto"/>
              <w:bidi w:val="0"/>
              <w:spacing w:before="0" w:after="0" w:line="240" w:lineRule="auto"/>
              <w:ind w:left="4640" w:right="0" w:firstLine="0"/>
              <w:jc w:val="left"/>
            </w:pPr>
            <w:r>
              <w:rPr>
                <w:rFonts w:ascii="Times New Roman" w:eastAsia="Times New Roman" w:hAnsi="Times New Roman" w:cs="Times New Roman"/>
                <w:color w:val="000000"/>
                <w:spacing w:val="0"/>
                <w:w w:val="100"/>
                <w:position w:val="0"/>
              </w:rPr>
              <w:t>0.54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framePr w:w="9322" w:h="1454" w:vSpace="274" w:wrap="notBeside" w:vAnchor="text" w:hAnchor="text" w:x="257" w:y="534"/>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framePr w:w="9322" w:h="1454" w:vSpace="274" w:wrap="notBeside" w:vAnchor="text" w:hAnchor="text" w:x="257" w:y="534"/>
              <w:widowControl w:val="0"/>
              <w:shd w:val="clear" w:color="auto" w:fill="auto"/>
              <w:bidi w:val="0"/>
              <w:spacing w:before="0" w:after="0" w:line="240" w:lineRule="auto"/>
              <w:ind w:left="4640" w:right="0" w:firstLine="0"/>
              <w:jc w:val="left"/>
            </w:pPr>
            <w:r>
              <w:rPr>
                <w:rFonts w:ascii="Times New Roman" w:eastAsia="Times New Roman" w:hAnsi="Times New Roman" w:cs="Times New Roman"/>
                <w:color w:val="000000"/>
                <w:spacing w:val="0"/>
                <w:w w:val="100"/>
                <w:position w:val="0"/>
              </w:rPr>
              <w:t>0.57</w:t>
            </w:r>
          </w:p>
        </w:tc>
      </w:tr>
    </w:tbl>
    <w:p>
      <w:pPr>
        <w:pStyle w:val="Style19"/>
        <w:keepNext w:val="0"/>
        <w:keepLines w:val="0"/>
        <w:framePr w:w="1963" w:h="283" w:hSpace="256" w:wrap="notBeside" w:vAnchor="text" w:hAnchor="text" w:x="257"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研发支出情况表</w:t>
      </w:r>
    </w:p>
    <w:p>
      <w:pPr>
        <w:pStyle w:val="Style19"/>
        <w:keepNext w:val="0"/>
        <w:keepLines w:val="0"/>
        <w:framePr w:w="874" w:h="259" w:hSpace="256" w:wrap="notBeside" w:vAnchor="text" w:hAnchor="text" w:x="8062" w:y="270"/>
        <w:widowControl w:val="0"/>
        <w:shd w:val="clear" w:color="auto" w:fill="auto"/>
        <w:bidi w:val="0"/>
        <w:spacing w:before="0" w:after="0" w:line="240" w:lineRule="auto"/>
        <w:ind w:left="0" w:right="0" w:firstLine="0"/>
        <w:jc w:val="left"/>
      </w:pPr>
      <w:r>
        <w:rPr>
          <w:color w:val="000000"/>
          <w:spacing w:val="0"/>
          <w:w w:val="100"/>
          <w:position w:val="0"/>
        </w:rPr>
        <w:t>单位：元</w:t>
      </w:r>
    </w:p>
    <w:p>
      <w:pPr>
        <w:pStyle w:val="Style19"/>
        <w:keepNext w:val="0"/>
        <w:keepLines w:val="0"/>
        <w:framePr w:w="1195" w:h="264" w:hSpace="256" w:wrap="notBeside" w:vAnchor="text" w:hAnchor="text" w:x="257" w:y="199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 现金流</w:t>
      </w:r>
    </w:p>
    <w:p>
      <w:pPr>
        <w:widowControl w:val="0"/>
        <w:spacing w:line="1" w:lineRule="exact"/>
      </w:pPr>
    </w:p>
    <w:p>
      <w:pPr>
        <w:pStyle w:val="Style1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 其它</w:t>
      </w:r>
    </w:p>
    <w:p>
      <w:pPr>
        <w:pStyle w:val="Style1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发展战略和经营计划进展说明</w:t>
      </w:r>
    </w:p>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公司按照年初制订的发展战略和经营计划，积极贯彻实施。</w:t>
      </w:r>
      <w:r>
        <w:rPr>
          <w:rFonts w:ascii="Times New Roman" w:eastAsia="Times New Roman" w:hAnsi="Times New Roman" w:cs="Times New Roman"/>
          <w:color w:val="000000"/>
          <w:spacing w:val="0"/>
          <w:w w:val="100"/>
          <w:position w:val="0"/>
        </w:rPr>
        <w:t>2013</w:t>
      </w:r>
      <w:r>
        <w:rPr>
          <w:color w:val="000000"/>
          <w:spacing w:val="0"/>
          <w:w w:val="100"/>
          <w:position w:val="0"/>
        </w:rPr>
        <w:t>年，公司经营业绩较好，营业 收入、成本控制等主要经营指标完成目标计划，重要工作顺利推进，资产结构进一步优化。</w:t>
      </w:r>
    </w:p>
    <w:p>
      <w:pPr>
        <w:pStyle w:val="Style13"/>
        <w:keepNext w:val="0"/>
        <w:keepLines w:val="0"/>
        <w:widowControl w:val="0"/>
        <w:numPr>
          <w:ilvl w:val="0"/>
          <w:numId w:val="3"/>
        </w:numPr>
        <w:shd w:val="clear" w:color="auto" w:fill="auto"/>
        <w:bidi w:val="0"/>
        <w:spacing w:before="0" w:after="0" w:line="278" w:lineRule="exact"/>
        <w:ind w:left="0" w:right="0" w:firstLine="0"/>
        <w:jc w:val="left"/>
      </w:pPr>
      <w:bookmarkStart w:id="34" w:name="bookmark34"/>
      <w:bookmarkEnd w:id="34"/>
      <w:r>
        <w:rPr>
          <w:color w:val="000000"/>
          <w:spacing w:val="0"/>
          <w:w w:val="100"/>
          <w:position w:val="0"/>
        </w:rPr>
        <w:t>行业、产品或地区经营情况分析</w:t>
      </w:r>
    </w:p>
    <w:p>
      <w:pPr>
        <w:pStyle w:val="Style13"/>
        <w:keepNext w:val="0"/>
        <w:keepLines w:val="0"/>
        <w:widowControl w:val="0"/>
        <w:shd w:val="clear" w:color="auto" w:fill="auto"/>
        <w:tabs>
          <w:tab w:pos="518" w:val="left"/>
        </w:tabs>
        <w:bidi w:val="0"/>
        <w:spacing w:before="0" w:after="0" w:line="278" w:lineRule="exact"/>
        <w:ind w:left="0" w:right="0" w:firstLine="0"/>
        <w:jc w:val="left"/>
      </w:pPr>
      <w:bookmarkStart w:id="35" w:name="bookmark35"/>
      <w:r>
        <w:rPr>
          <w:rFonts w:ascii="Times New Roman" w:eastAsia="Times New Roman" w:hAnsi="Times New Roman" w:cs="Times New Roman"/>
          <w:color w:val="000000"/>
          <w:spacing w:val="0"/>
          <w:w w:val="100"/>
          <w:position w:val="0"/>
          <w:shd w:val="clear" w:color="auto" w:fill="FFFFFF"/>
        </w:rPr>
        <w:t>1</w:t>
      </w:r>
      <w:bookmarkEnd w:id="35"/>
      <w:r>
        <w:rPr>
          <w:color w:val="000000"/>
          <w:spacing w:val="0"/>
          <w:w w:val="100"/>
          <w:position w:val="0"/>
          <w:shd w:val="clear" w:color="auto" w:fill="FFFFFF"/>
        </w:rPr>
        <w:t>、</w:t>
      </w:r>
      <w:r>
        <w:rPr>
          <w:color w:val="000000"/>
          <w:spacing w:val="0"/>
          <w:w w:val="100"/>
          <w:position w:val="0"/>
        </w:rPr>
        <w:tab/>
        <w:t>主营业务分行业、分产品情况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34"/>
        <w:gridCol w:w="1685"/>
        <w:gridCol w:w="1526"/>
        <w:gridCol w:w="1205"/>
        <w:gridCol w:w="1219"/>
        <w:gridCol w:w="1224"/>
        <w:gridCol w:w="1229"/>
      </w:tblGrid>
      <w:tr>
        <w:trPr>
          <w:trHeight w:val="298" w:hRule="exact"/>
        </w:trPr>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80"/>
              <w:jc w:val="left"/>
            </w:pPr>
            <w:r>
              <w:rPr>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60" w:line="259" w:lineRule="exact"/>
              <w:ind w:left="0" w:right="0" w:firstLine="0"/>
              <w:jc w:val="center"/>
            </w:pPr>
            <w:r>
              <w:rPr>
                <w:color w:val="000000"/>
                <w:spacing w:val="0"/>
                <w:w w:val="100"/>
                <w:position w:val="0"/>
              </w:rPr>
              <w:t>毛利率比 上年增减</w:t>
            </w:r>
          </w:p>
          <w:p>
            <w:pPr>
              <w:pStyle w:val="Style21"/>
              <w:keepNext w:val="0"/>
              <w:keepLines w:val="0"/>
              <w:widowControl w:val="0"/>
              <w:shd w:val="clear" w:color="auto" w:fill="auto"/>
              <w:bidi w:val="0"/>
              <w:spacing w:before="0" w:after="0" w:line="259" w:lineRule="exact"/>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1,052,124,536.61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906,610,171.92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26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0.70 </w:t>
            </w:r>
            <w:r>
              <w:rPr>
                <w:color w:val="000000"/>
                <w:spacing w:val="0"/>
                <w:w w:val="100"/>
                <w:position w:val="0"/>
              </w:rPr>
              <w:t>个百分点</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247,083.44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229,496.47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26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4.97 </w:t>
            </w:r>
            <w:r>
              <w:rPr>
                <w:color w:val="000000"/>
                <w:spacing w:val="0"/>
                <w:w w:val="100"/>
                <w:position w:val="0"/>
              </w:rPr>
              <w:t>个百分点</w:t>
            </w:r>
          </w:p>
        </w:tc>
      </w:tr>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1,052,371,620.05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906,839,668.39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26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0.69 </w:t>
            </w:r>
            <w:r>
              <w:rPr>
                <w:color w:val="000000"/>
                <w:spacing w:val="0"/>
                <w:w w:val="100"/>
                <w:position w:val="0"/>
              </w:rPr>
              <w:t>个百分点</w:t>
            </w:r>
          </w:p>
        </w:tc>
      </w:tr>
      <w:tr>
        <w:trPr>
          <w:trHeight w:val="293" w:hRule="exact"/>
        </w:trPr>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80"/>
              <w:jc w:val="left"/>
            </w:pPr>
            <w:r>
              <w:rPr>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毛利率比 上年增减</w:t>
            </w:r>
          </w:p>
          <w:p>
            <w:pPr>
              <w:pStyle w:val="Style21"/>
              <w:keepNext w:val="0"/>
              <w:keepLines w:val="0"/>
              <w:widowControl w:val="0"/>
              <w:shd w:val="clear" w:color="auto" w:fill="auto"/>
              <w:bidi w:val="0"/>
              <w:spacing w:before="0" w:after="0" w:line="264" w:lineRule="exact"/>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纺织品销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售及加工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535,530,984.29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444,319,334.42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26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2.44 </w:t>
            </w:r>
            <w:r>
              <w:rPr>
                <w:color w:val="000000"/>
                <w:spacing w:val="0"/>
                <w:w w:val="100"/>
                <w:position w:val="0"/>
              </w:rPr>
              <w:t>个百分点</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钢管销售 及加工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516,840,635.76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462,520,333.97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26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2.86 </w:t>
            </w:r>
            <w:r>
              <w:rPr>
                <w:color w:val="000000"/>
                <w:spacing w:val="0"/>
                <w:w w:val="100"/>
                <w:position w:val="0"/>
              </w:rPr>
              <w:t>个百分点</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1,052,371,620.05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906,839,668.39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26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0.69 </w:t>
            </w:r>
            <w:r>
              <w:rPr>
                <w:color w:val="000000"/>
                <w:spacing w:val="0"/>
                <w:w w:val="100"/>
                <w:position w:val="0"/>
              </w:rPr>
              <w:t>个百分点</w:t>
            </w:r>
          </w:p>
        </w:tc>
      </w:tr>
    </w:tbl>
    <w:p>
      <w:pPr>
        <w:widowControl w:val="0"/>
        <w:spacing w:line="1" w:lineRule="exact"/>
      </w:pPr>
      <w:r>
        <w:br w:type="page"/>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主营业务分地区情况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453"/>
        <w:gridCol w:w="3005"/>
        <w:gridCol w:w="3864"/>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营业收入比上年增减（%）</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861,984,484.03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190,387,136.02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1,052,371,620.05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both"/>
      </w:pPr>
      <w:bookmarkStart w:id="36" w:name="bookmark36"/>
      <w:r>
        <w:rPr>
          <w:rFonts w:ascii="Times New Roman" w:eastAsia="Times New Roman" w:hAnsi="Times New Roman" w:cs="Times New Roman"/>
          <w:color w:val="000000"/>
          <w:spacing w:val="0"/>
          <w:w w:val="100"/>
          <w:position w:val="0"/>
        </w:rPr>
        <w:t>（</w:t>
      </w:r>
      <w:bookmarkEnd w:id="36"/>
      <w:r>
        <w:rPr>
          <w:color w:val="000000"/>
          <w:spacing w:val="0"/>
          <w:w w:val="100"/>
          <w:position w:val="0"/>
        </w:rPr>
        <w:t>三</w:t>
      </w:r>
      <w:r>
        <w:rPr>
          <w:color w:val="000000"/>
          <w:spacing w:val="0"/>
          <w:w w:val="100"/>
          <w:position w:val="0"/>
        </w:rPr>
        <w:t>）</w:t>
      </w:r>
      <w:r>
        <w:rPr>
          <w:color w:val="000000"/>
          <w:spacing w:val="0"/>
          <w:w w:val="100"/>
          <w:position w:val="0"/>
        </w:rPr>
        <w:t>资产、负债情况分析</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资产负债情况分析表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402"/>
        <w:gridCol w:w="1709"/>
        <w:gridCol w:w="1714"/>
        <w:gridCol w:w="1709"/>
        <w:gridCol w:w="1392"/>
        <w:gridCol w:w="1397"/>
      </w:tblGrid>
      <w:tr>
        <w:trPr>
          <w:trHeight w:val="11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right"/>
            </w:pPr>
            <w:r>
              <w:rPr>
                <w:color w:val="000000"/>
                <w:spacing w:val="0"/>
                <w:w w:val="100"/>
                <w:position w:val="0"/>
              </w:rPr>
              <w:t>本期期末数占总 资产的比例（%）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上期期末数 占总资产的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本期期末金 额较上期期 末变动比例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22,366,870.25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12,515,382.52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30,842,232.21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45,594,534.56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-32.36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15,196,661.72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48,596,146.57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-68.73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其他流动资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19,780,988.79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153,109,457.52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-87.08</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可供出售金 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339,429,208.36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22,476,800.00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1,410.13</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11,995,033.16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6,606,943.70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138,200,000.00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361,200,000.00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-61.74</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771,588.67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1,323,480.51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-41.70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134,292,653.91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33,635,399.14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299.26</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378,196,151.71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158,730,921.96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138.26</w:t>
            </w:r>
          </w:p>
        </w:tc>
      </w:tr>
    </w:tbl>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r>
        <w:rPr>
          <w:color w:val="000000"/>
          <w:spacing w:val="0"/>
          <w:w w:val="100"/>
          <w:position w:val="0"/>
          <w:sz w:val="17"/>
          <w:szCs w:val="17"/>
        </w:rPr>
        <w:t>：</w:t>
      </w:r>
      <w:r>
        <w:rPr>
          <w:color w:val="000000"/>
          <w:spacing w:val="0"/>
          <w:w w:val="100"/>
          <w:position w:val="0"/>
        </w:rPr>
        <w:t>主要系明贺公司本期以票据结算货款增加所致。</w:t>
      </w:r>
    </w:p>
    <w:p>
      <w:pPr>
        <w:pStyle w:val="Style13"/>
        <w:keepNext w:val="0"/>
        <w:keepLines w:val="0"/>
        <w:widowControl w:val="0"/>
        <w:shd w:val="clear" w:color="auto" w:fill="auto"/>
        <w:bidi w:val="0"/>
        <w:spacing w:before="0" w:after="0" w:line="288" w:lineRule="exact"/>
        <w:ind w:left="0" w:right="0" w:firstLine="0"/>
        <w:jc w:val="both"/>
      </w:pPr>
      <w:r>
        <w:rPr>
          <w:color w:val="000000"/>
          <w:spacing w:val="0"/>
          <w:w w:val="100"/>
          <w:position w:val="0"/>
        </w:rPr>
        <w:t>应收账款</w:t>
      </w:r>
      <w:r>
        <w:rPr>
          <w:color w:val="000000"/>
          <w:spacing w:val="0"/>
          <w:w w:val="100"/>
          <w:position w:val="0"/>
          <w:sz w:val="17"/>
          <w:szCs w:val="17"/>
        </w:rPr>
        <w:t>：</w:t>
      </w:r>
      <w:r>
        <w:rPr>
          <w:color w:val="000000"/>
          <w:spacing w:val="0"/>
          <w:w w:val="100"/>
          <w:position w:val="0"/>
        </w:rPr>
        <w:t>主要系纺织公司</w:t>
      </w:r>
      <w:r>
        <w:rPr>
          <w:rFonts w:ascii="Times New Roman" w:eastAsia="Times New Roman" w:hAnsi="Times New Roman" w:cs="Times New Roman"/>
          <w:color w:val="000000"/>
          <w:spacing w:val="0"/>
          <w:w w:val="100"/>
          <w:position w:val="0"/>
        </w:rPr>
        <w:t>2013</w:t>
      </w:r>
      <w:r>
        <w:rPr>
          <w:color w:val="000000"/>
          <w:spacing w:val="0"/>
          <w:w w:val="100"/>
          <w:position w:val="0"/>
        </w:rPr>
        <w:t>年下半年销售下降所致。</w:t>
      </w:r>
    </w:p>
    <w:p>
      <w:pPr>
        <w:pStyle w:val="Style13"/>
        <w:keepNext w:val="0"/>
        <w:keepLines w:val="0"/>
        <w:widowControl w:val="0"/>
        <w:shd w:val="clear" w:color="auto" w:fill="auto"/>
        <w:bidi w:val="0"/>
        <w:spacing w:before="0" w:after="0" w:line="288" w:lineRule="exact"/>
        <w:ind w:left="0" w:right="0" w:firstLine="0"/>
        <w:jc w:val="both"/>
      </w:pPr>
      <w:r>
        <w:rPr>
          <w:color w:val="000000"/>
          <w:spacing w:val="0"/>
          <w:w w:val="100"/>
          <w:position w:val="0"/>
        </w:rPr>
        <w:t>其他应收款</w:t>
      </w:r>
      <w:r>
        <w:rPr>
          <w:color w:val="000000"/>
          <w:spacing w:val="0"/>
          <w:w w:val="100"/>
          <w:position w:val="0"/>
          <w:sz w:val="17"/>
          <w:szCs w:val="17"/>
        </w:rPr>
        <w:t>：</w:t>
      </w:r>
      <w:r>
        <w:rPr>
          <w:color w:val="000000"/>
          <w:spacing w:val="0"/>
          <w:w w:val="100"/>
          <w:position w:val="0"/>
        </w:rPr>
        <w:t>主要系公司本期收回关联方拆借款</w:t>
      </w:r>
      <w:r>
        <w:rPr>
          <w:rFonts w:ascii="Times New Roman" w:eastAsia="Times New Roman" w:hAnsi="Times New Roman" w:cs="Times New Roman"/>
          <w:color w:val="000000"/>
          <w:spacing w:val="0"/>
          <w:w w:val="100"/>
          <w:position w:val="0"/>
        </w:rPr>
        <w:t>2,070</w:t>
      </w:r>
      <w:r>
        <w:rPr>
          <w:color w:val="000000"/>
          <w:spacing w:val="0"/>
          <w:w w:val="100"/>
          <w:position w:val="0"/>
        </w:rPr>
        <w:t>万元及</w:t>
      </w:r>
      <w:r>
        <w:rPr>
          <w:rFonts w:ascii="Times New Roman" w:eastAsia="Times New Roman" w:hAnsi="Times New Roman" w:cs="Times New Roman"/>
          <w:color w:val="000000"/>
          <w:spacing w:val="0"/>
          <w:w w:val="100"/>
          <w:position w:val="0"/>
        </w:rPr>
        <w:t>31</w:t>
      </w:r>
      <w:r>
        <w:rPr>
          <w:color w:val="000000"/>
          <w:spacing w:val="0"/>
          <w:w w:val="100"/>
          <w:position w:val="0"/>
        </w:rPr>
        <w:t>省道优先收益权补偿</w:t>
      </w:r>
      <w:r>
        <w:rPr>
          <w:rFonts w:ascii="Times New Roman" w:eastAsia="Times New Roman" w:hAnsi="Times New Roman" w:cs="Times New Roman"/>
          <w:color w:val="000000"/>
          <w:spacing w:val="0"/>
          <w:w w:val="100"/>
          <w:position w:val="0"/>
        </w:rPr>
        <w:t>1,287</w:t>
      </w:r>
      <w:r>
        <w:rPr>
          <w:color w:val="000000"/>
          <w:spacing w:val="0"/>
          <w:w w:val="100"/>
          <w:position w:val="0"/>
        </w:rPr>
        <w:t>万 元共同影响所致。</w:t>
      </w:r>
    </w:p>
    <w:p>
      <w:pPr>
        <w:pStyle w:val="Style13"/>
        <w:keepNext w:val="0"/>
        <w:keepLines w:val="0"/>
        <w:widowControl w:val="0"/>
        <w:shd w:val="clear" w:color="auto" w:fill="auto"/>
        <w:bidi w:val="0"/>
        <w:spacing w:before="0" w:after="0" w:line="275" w:lineRule="exact"/>
        <w:ind w:left="0" w:right="0" w:firstLine="0"/>
        <w:jc w:val="both"/>
      </w:pPr>
      <w:r>
        <w:rPr>
          <w:color w:val="000000"/>
          <w:spacing w:val="0"/>
          <w:w w:val="100"/>
          <w:position w:val="0"/>
        </w:rPr>
        <w:t>其他流动资产</w:t>
      </w:r>
      <w:r>
        <w:rPr>
          <w:color w:val="000000"/>
          <w:spacing w:val="0"/>
          <w:w w:val="100"/>
          <w:position w:val="0"/>
          <w:sz w:val="17"/>
          <w:szCs w:val="17"/>
        </w:rPr>
        <w:t>：</w:t>
      </w:r>
      <w:r>
        <w:rPr>
          <w:color w:val="000000"/>
          <w:spacing w:val="0"/>
          <w:w w:val="100"/>
          <w:position w:val="0"/>
        </w:rPr>
        <w:t>主要系公司本期收回</w:t>
      </w:r>
      <w:r>
        <w:rPr>
          <w:rFonts w:ascii="Times New Roman" w:eastAsia="Times New Roman" w:hAnsi="Times New Roman" w:cs="Times New Roman"/>
          <w:color w:val="000000"/>
          <w:spacing w:val="0"/>
          <w:w w:val="100"/>
          <w:position w:val="0"/>
        </w:rPr>
        <w:t>1.5</w:t>
      </w:r>
      <w:r>
        <w:rPr>
          <w:color w:val="000000"/>
          <w:spacing w:val="0"/>
          <w:w w:val="100"/>
          <w:position w:val="0"/>
        </w:rPr>
        <w:t>亿元的委托贷款影响所致。</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可供出售金融资产</w:t>
      </w:r>
      <w:r>
        <w:rPr>
          <w:color w:val="000000"/>
          <w:spacing w:val="0"/>
          <w:w w:val="100"/>
          <w:position w:val="0"/>
          <w:sz w:val="17"/>
          <w:szCs w:val="17"/>
        </w:rPr>
        <w:t>：</w:t>
      </w:r>
      <w:r>
        <w:rPr>
          <w:color w:val="000000"/>
          <w:spacing w:val="0"/>
          <w:w w:val="100"/>
          <w:position w:val="0"/>
        </w:rPr>
        <w:t>主要系公司持有上峰水泥的可供出售金融资产期末公允价值变动影响。 在建工程</w:t>
      </w:r>
      <w:r>
        <w:rPr>
          <w:color w:val="000000"/>
          <w:spacing w:val="0"/>
          <w:w w:val="100"/>
          <w:position w:val="0"/>
          <w:sz w:val="17"/>
          <w:szCs w:val="17"/>
        </w:rPr>
        <w:t>：</w:t>
      </w:r>
      <w:r>
        <w:rPr>
          <w:color w:val="000000"/>
          <w:spacing w:val="0"/>
          <w:w w:val="100"/>
          <w:position w:val="0"/>
        </w:rPr>
        <w:t>主要系再生资源公司厂房及地下室工程增加所致。</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短期借款</w:t>
      </w:r>
      <w:r>
        <w:rPr>
          <w:color w:val="000000"/>
          <w:spacing w:val="0"/>
          <w:w w:val="100"/>
          <w:position w:val="0"/>
          <w:sz w:val="17"/>
          <w:szCs w:val="17"/>
        </w:rPr>
        <w:t>：</w:t>
      </w:r>
      <w:r>
        <w:rPr>
          <w:color w:val="000000"/>
          <w:spacing w:val="0"/>
          <w:w w:val="100"/>
          <w:position w:val="0"/>
        </w:rPr>
        <w:t>主要系本期资金充裕归还了较多银行借款。</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应付利息</w:t>
      </w:r>
      <w:r>
        <w:rPr>
          <w:color w:val="000000"/>
          <w:spacing w:val="0"/>
          <w:w w:val="100"/>
          <w:position w:val="0"/>
          <w:sz w:val="17"/>
          <w:szCs w:val="17"/>
        </w:rPr>
        <w:t>：</w:t>
      </w:r>
      <w:r>
        <w:rPr>
          <w:color w:val="000000"/>
          <w:spacing w:val="0"/>
          <w:w w:val="100"/>
          <w:position w:val="0"/>
        </w:rPr>
        <w:t>主要系本期归还了银行借款所致。</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递延所得税负债</w:t>
      </w:r>
      <w:r>
        <w:rPr>
          <w:color w:val="000000"/>
          <w:spacing w:val="0"/>
          <w:w w:val="100"/>
          <w:position w:val="0"/>
          <w:sz w:val="17"/>
          <w:szCs w:val="17"/>
        </w:rPr>
        <w:t>：</w:t>
      </w:r>
      <w:r>
        <w:rPr>
          <w:color w:val="000000"/>
          <w:spacing w:val="0"/>
          <w:w w:val="100"/>
          <w:position w:val="0"/>
        </w:rPr>
        <w:t>主要系本期新增拆迁补偿及对上峰水泥的投资市价与成本的差异确认递延所 得税负债所致。</w:t>
      </w:r>
    </w:p>
    <w:p>
      <w:pPr>
        <w:pStyle w:val="Style13"/>
        <w:keepNext w:val="0"/>
        <w:keepLines w:val="0"/>
        <w:widowControl w:val="0"/>
        <w:shd w:val="clear" w:color="auto" w:fill="auto"/>
        <w:bidi w:val="0"/>
        <w:spacing w:before="0" w:after="260" w:line="271" w:lineRule="exact"/>
        <w:ind w:left="0" w:right="0" w:firstLine="0"/>
        <w:jc w:val="both"/>
      </w:pPr>
      <w:r>
        <w:rPr>
          <w:color w:val="000000"/>
          <w:spacing w:val="0"/>
          <w:w w:val="100"/>
          <w:position w:val="0"/>
        </w:rPr>
        <w:t>资本公积</w:t>
      </w:r>
      <w:r>
        <w:rPr>
          <w:color w:val="000000"/>
          <w:spacing w:val="0"/>
          <w:w w:val="100"/>
          <w:position w:val="0"/>
          <w:sz w:val="17"/>
          <w:szCs w:val="17"/>
        </w:rPr>
        <w:t>：</w:t>
      </w:r>
      <w:r>
        <w:rPr>
          <w:color w:val="000000"/>
          <w:spacing w:val="0"/>
          <w:w w:val="100"/>
          <w:position w:val="0"/>
        </w:rPr>
        <w:t>主要系公司持有上峰水泥公允价值计量影响所致。</w:t>
      </w:r>
    </w:p>
    <w:p>
      <w:pPr>
        <w:pStyle w:val="Style13"/>
        <w:keepNext w:val="0"/>
        <w:keepLines w:val="0"/>
        <w:widowControl w:val="0"/>
        <w:shd w:val="clear" w:color="auto" w:fill="auto"/>
        <w:bidi w:val="0"/>
        <w:spacing w:before="0" w:after="0" w:line="275" w:lineRule="exact"/>
        <w:ind w:left="0" w:right="0" w:firstLine="0"/>
        <w:jc w:val="both"/>
      </w:pPr>
      <w:bookmarkStart w:id="37" w:name="bookmark37"/>
      <w:r>
        <w:rPr>
          <w:rFonts w:ascii="Times New Roman" w:eastAsia="Times New Roman" w:hAnsi="Times New Roman" w:cs="Times New Roman"/>
          <w:color w:val="000000"/>
          <w:spacing w:val="0"/>
          <w:w w:val="100"/>
          <w:position w:val="0"/>
        </w:rPr>
        <w:t>（</w:t>
      </w:r>
      <w:bookmarkEnd w:id="37"/>
      <w:r>
        <w:rPr>
          <w:color w:val="000000"/>
          <w:spacing w:val="0"/>
          <w:w w:val="100"/>
          <w:position w:val="0"/>
        </w:rPr>
        <w:t>四</w:t>
      </w:r>
      <w:r>
        <w:rPr>
          <w:color w:val="000000"/>
          <w:spacing w:val="0"/>
          <w:w w:val="100"/>
          <w:position w:val="0"/>
        </w:rPr>
        <w:t>）</w:t>
      </w:r>
      <w:r>
        <w:rPr>
          <w:color w:val="000000"/>
          <w:spacing w:val="0"/>
          <w:w w:val="100"/>
          <w:position w:val="0"/>
        </w:rPr>
        <w:t>核心竞争力分析</w:t>
      </w:r>
    </w:p>
    <w:p>
      <w:pPr>
        <w:pStyle w:val="Style13"/>
        <w:keepNext w:val="0"/>
        <w:keepLines w:val="0"/>
        <w:widowControl w:val="0"/>
        <w:shd w:val="clear" w:color="auto" w:fill="auto"/>
        <w:bidi w:val="0"/>
        <w:spacing w:before="0" w:after="240" w:line="275" w:lineRule="exact"/>
        <w:ind w:left="0" w:right="0" w:firstLine="0"/>
        <w:jc w:val="both"/>
      </w:pPr>
      <w:r>
        <w:rPr>
          <w:color w:val="000000"/>
          <w:spacing w:val="0"/>
          <w:w w:val="100"/>
          <w:position w:val="0"/>
        </w:rPr>
        <w:t>公司主营业务印染、纺织、钢管为传统产业，市场竞争激烈，与行业其他企业比较，公司的核 心竞争力主要体现在：</w:t>
      </w:r>
      <w:r>
        <w:rPr>
          <w:rFonts w:ascii="Times New Roman" w:eastAsia="Times New Roman" w:hAnsi="Times New Roman" w:cs="Times New Roman"/>
          <w:color w:val="000000"/>
          <w:spacing w:val="0"/>
          <w:w w:val="100"/>
          <w:position w:val="0"/>
        </w:rPr>
        <w:t>1</w:t>
      </w:r>
      <w:r>
        <w:rPr>
          <w:color w:val="000000"/>
          <w:spacing w:val="0"/>
          <w:w w:val="100"/>
          <w:position w:val="0"/>
        </w:rPr>
        <w:t>、技术优势。公司子公司印染公司、纺织公司、明贺公司为浙江省高新 技术企业，印染公司的关键设备均为国外进口，技术水平国内领先。</w:t>
      </w:r>
      <w:r>
        <w:rPr>
          <w:rFonts w:ascii="Times New Roman" w:eastAsia="Times New Roman" w:hAnsi="Times New Roman" w:cs="Times New Roman"/>
          <w:color w:val="000000"/>
          <w:spacing w:val="0"/>
          <w:w w:val="100"/>
          <w:position w:val="0"/>
        </w:rPr>
        <w:t>2013</w:t>
      </w:r>
      <w:r>
        <w:rPr>
          <w:color w:val="000000"/>
          <w:spacing w:val="0"/>
          <w:w w:val="100"/>
          <w:position w:val="0"/>
        </w:rPr>
        <w:t>年，印染公司、纺织 公司被授予诸暨市市长质量奖；</w:t>
      </w:r>
      <w:r>
        <w:rPr>
          <w:rFonts w:ascii="Times New Roman" w:eastAsia="Times New Roman" w:hAnsi="Times New Roman" w:cs="Times New Roman"/>
          <w:color w:val="000000"/>
          <w:spacing w:val="0"/>
          <w:w w:val="100"/>
          <w:position w:val="0"/>
        </w:rPr>
        <w:t>2</w:t>
      </w:r>
      <w:r>
        <w:rPr>
          <w:color w:val="000000"/>
          <w:spacing w:val="0"/>
          <w:w w:val="100"/>
          <w:position w:val="0"/>
        </w:rPr>
        <w:t>、成本优势。公司依靠设备改造节约成本、节能减排。印染公 司被国家工信部确认为清洁生产示范企业，纺织公司被授予浙江省绿色企业（清洁生产先进企</w:t>
        <w:br w:type="page"/>
      </w:r>
      <w:r>
        <w:rPr>
          <w:color w:val="000000"/>
          <w:spacing w:val="0"/>
          <w:w w:val="100"/>
          <w:position w:val="0"/>
        </w:rPr>
        <w:t>业）。</w:t>
      </w:r>
      <w:r>
        <w:rPr>
          <w:rFonts w:ascii="Times New Roman" w:eastAsia="Times New Roman" w:hAnsi="Times New Roman" w:cs="Times New Roman"/>
          <w:color w:val="000000"/>
          <w:spacing w:val="0"/>
          <w:w w:val="100"/>
          <w:position w:val="0"/>
        </w:rPr>
        <w:t>3</w:t>
      </w:r>
      <w:r>
        <w:rPr>
          <w:color w:val="000000"/>
          <w:spacing w:val="0"/>
          <w:w w:val="100"/>
          <w:position w:val="0"/>
        </w:rPr>
        <w:t>、品牌优势。</w:t>
      </w:r>
      <w:r>
        <w:rPr>
          <w:rFonts w:ascii="Times New Roman" w:eastAsia="Times New Roman" w:hAnsi="Times New Roman" w:cs="Times New Roman"/>
          <w:color w:val="000000"/>
          <w:spacing w:val="0"/>
          <w:w w:val="100"/>
          <w:position w:val="0"/>
        </w:rPr>
        <w:t>"</w:t>
      </w:r>
      <w:r>
        <w:rPr>
          <w:color w:val="000000"/>
          <w:spacing w:val="0"/>
          <w:w w:val="100"/>
          <w:position w:val="0"/>
        </w:rPr>
        <w:t>富润</w:t>
      </w:r>
      <w:r>
        <w:rPr>
          <w:rFonts w:ascii="Times New Roman" w:eastAsia="Times New Roman" w:hAnsi="Times New Roman" w:cs="Times New Roman"/>
          <w:color w:val="000000"/>
          <w:spacing w:val="0"/>
          <w:w w:val="100"/>
          <w:position w:val="0"/>
        </w:rPr>
        <w:t>"</w:t>
      </w:r>
      <w:r>
        <w:rPr>
          <w:color w:val="000000"/>
          <w:spacing w:val="0"/>
          <w:w w:val="100"/>
          <w:position w:val="0"/>
        </w:rPr>
        <w:t>商标为中国驰名商标，富润牌印染面料、精纺呢绒为中国名牌产品。</w:t>
      </w:r>
    </w:p>
    <w:p>
      <w:pPr>
        <w:pStyle w:val="Style13"/>
        <w:keepNext w:val="0"/>
        <w:keepLines w:val="0"/>
        <w:widowControl w:val="0"/>
        <w:shd w:val="clear" w:color="auto" w:fill="auto"/>
        <w:bidi w:val="0"/>
        <w:spacing w:before="0" w:after="0" w:line="272" w:lineRule="exact"/>
        <w:ind w:left="0" w:right="0" w:firstLine="0"/>
        <w:jc w:val="both"/>
      </w:pPr>
      <w:bookmarkStart w:id="38" w:name="bookmark38"/>
      <w:r>
        <w:rPr>
          <w:rFonts w:ascii="Times New Roman" w:eastAsia="Times New Roman" w:hAnsi="Times New Roman" w:cs="Times New Roman"/>
          <w:color w:val="000000"/>
          <w:spacing w:val="0"/>
          <w:w w:val="100"/>
          <w:position w:val="0"/>
        </w:rPr>
        <w:t>（</w:t>
      </w:r>
      <w:bookmarkEnd w:id="38"/>
      <w:r>
        <w:rPr>
          <w:color w:val="000000"/>
          <w:spacing w:val="0"/>
          <w:w w:val="100"/>
          <w:position w:val="0"/>
        </w:rPr>
        <w:t>五</w:t>
      </w:r>
      <w:r>
        <w:rPr>
          <w:color w:val="000000"/>
          <w:spacing w:val="0"/>
          <w:w w:val="100"/>
          <w:position w:val="0"/>
        </w:rPr>
        <w:t>）</w:t>
      </w:r>
      <w:r>
        <w:rPr>
          <w:color w:val="000000"/>
          <w:spacing w:val="0"/>
          <w:w w:val="100"/>
          <w:position w:val="0"/>
        </w:rPr>
        <w:t>投资状况分析</w:t>
      </w:r>
    </w:p>
    <w:p>
      <w:pPr>
        <w:pStyle w:val="Style13"/>
        <w:keepNext w:val="0"/>
        <w:keepLines w:val="0"/>
        <w:widowControl w:val="0"/>
        <w:shd w:val="clear" w:color="auto" w:fill="auto"/>
        <w:tabs>
          <w:tab w:pos="485" w:val="left"/>
        </w:tabs>
        <w:bidi w:val="0"/>
        <w:spacing w:before="0" w:after="0" w:line="272" w:lineRule="exact"/>
        <w:ind w:left="0" w:right="0" w:firstLine="0"/>
        <w:jc w:val="both"/>
      </w:pPr>
      <w:bookmarkStart w:id="39" w:name="bookmark39"/>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对外股权投资总体分析</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报告期内，公司对外股权投资额为</w:t>
      </w:r>
      <w:r>
        <w:rPr>
          <w:rFonts w:ascii="Times New Roman" w:eastAsia="Times New Roman" w:hAnsi="Times New Roman" w:cs="Times New Roman"/>
          <w:color w:val="000000"/>
          <w:spacing w:val="0"/>
          <w:w w:val="100"/>
          <w:position w:val="0"/>
        </w:rPr>
        <w:t>5212.69</w:t>
      </w:r>
      <w:r>
        <w:rPr>
          <w:color w:val="000000"/>
          <w:spacing w:val="0"/>
          <w:w w:val="100"/>
          <w:position w:val="0"/>
        </w:rPr>
        <w:t>万元，比上年同比增加</w:t>
      </w:r>
      <w:r>
        <w:rPr>
          <w:rFonts w:ascii="Times New Roman" w:eastAsia="Times New Roman" w:hAnsi="Times New Roman" w:cs="Times New Roman"/>
          <w:color w:val="000000"/>
          <w:spacing w:val="0"/>
          <w:w w:val="100"/>
          <w:position w:val="0"/>
        </w:rPr>
        <w:t>4722.69</w:t>
      </w:r>
      <w:r>
        <w:rPr>
          <w:color w:val="000000"/>
          <w:spacing w:val="0"/>
          <w:w w:val="100"/>
          <w:position w:val="0"/>
        </w:rPr>
        <w:t>万元,增幅为</w:t>
      </w:r>
      <w:r>
        <w:rPr>
          <w:rFonts w:ascii="Times New Roman" w:eastAsia="Times New Roman" w:hAnsi="Times New Roman" w:cs="Times New Roman"/>
          <w:color w:val="000000"/>
          <w:spacing w:val="0"/>
          <w:w w:val="100"/>
          <w:position w:val="0"/>
        </w:rPr>
        <w:t>963.81%</w:t>
      </w:r>
      <w:r>
        <w:rPr>
          <w:color w:val="000000"/>
          <w:spacing w:val="0"/>
          <w:w w:val="100"/>
          <w:position w:val="0"/>
        </w:rPr>
        <w:t>。 被投资公司情况：</w:t>
      </w:r>
      <w:r>
        <w:rPr>
          <w:rFonts w:ascii="Times New Roman" w:eastAsia="Times New Roman" w:hAnsi="Times New Roman" w:cs="Times New Roman"/>
          <w:color w:val="000000"/>
          <w:spacing w:val="0"/>
          <w:w w:val="100"/>
          <w:position w:val="0"/>
        </w:rPr>
        <w:t>1</w:t>
      </w:r>
      <w:r>
        <w:rPr>
          <w:color w:val="000000"/>
          <w:spacing w:val="0"/>
          <w:w w:val="100"/>
          <w:position w:val="0"/>
        </w:rPr>
        <w:t>、长城创意园增资</w:t>
      </w:r>
      <w:r>
        <w:rPr>
          <w:rFonts w:ascii="Times New Roman" w:eastAsia="Times New Roman" w:hAnsi="Times New Roman" w:cs="Times New Roman"/>
          <w:color w:val="000000"/>
          <w:spacing w:val="0"/>
          <w:w w:val="100"/>
          <w:position w:val="0"/>
        </w:rPr>
        <w:t>950</w:t>
      </w:r>
      <w:r>
        <w:rPr>
          <w:color w:val="000000"/>
          <w:spacing w:val="0"/>
          <w:w w:val="100"/>
          <w:position w:val="0"/>
        </w:rPr>
        <w:t>万元</w:t>
      </w:r>
      <w:r>
        <w:rPr>
          <w:color w:val="000000"/>
          <w:spacing w:val="0"/>
          <w:w w:val="100"/>
          <w:position w:val="0"/>
        </w:rPr>
        <w:t>，</w:t>
      </w:r>
      <w:r>
        <w:rPr>
          <w:color w:val="000000"/>
          <w:spacing w:val="0"/>
          <w:w w:val="100"/>
          <w:position w:val="0"/>
        </w:rPr>
        <w:t>主要业务为影视基地等建设经营管理</w:t>
      </w:r>
      <w:r>
        <w:rPr>
          <w:color w:val="000000"/>
          <w:spacing w:val="0"/>
          <w:w w:val="100"/>
          <w:position w:val="0"/>
        </w:rPr>
        <w:t>，</w:t>
      </w:r>
      <w:r>
        <w:rPr>
          <w:color w:val="000000"/>
          <w:spacing w:val="0"/>
          <w:w w:val="100"/>
          <w:position w:val="0"/>
        </w:rPr>
        <w:t>增资后权 益比例为</w:t>
      </w:r>
      <w:r>
        <w:rPr>
          <w:rFonts w:ascii="Times New Roman" w:eastAsia="Times New Roman" w:hAnsi="Times New Roman" w:cs="Times New Roman"/>
          <w:color w:val="000000"/>
          <w:spacing w:val="0"/>
          <w:w w:val="100"/>
          <w:position w:val="0"/>
        </w:rPr>
        <w:t>19%</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、绍兴银行股份有限公司增资</w:t>
      </w:r>
      <w:r>
        <w:rPr>
          <w:rFonts w:ascii="Times New Roman" w:eastAsia="Times New Roman" w:hAnsi="Times New Roman" w:cs="Times New Roman"/>
          <w:color w:val="000000"/>
          <w:spacing w:val="0"/>
          <w:w w:val="100"/>
          <w:position w:val="0"/>
        </w:rPr>
        <w:t>2070</w:t>
      </w:r>
      <w:r>
        <w:rPr>
          <w:color w:val="000000"/>
          <w:spacing w:val="0"/>
          <w:w w:val="100"/>
          <w:position w:val="0"/>
        </w:rPr>
        <w:t>万元</w:t>
      </w:r>
      <w:r>
        <w:rPr>
          <w:color w:val="000000"/>
          <w:spacing w:val="0"/>
          <w:w w:val="100"/>
          <w:position w:val="0"/>
        </w:rPr>
        <w:t>，</w:t>
      </w:r>
      <w:r>
        <w:rPr>
          <w:color w:val="000000"/>
          <w:spacing w:val="0"/>
          <w:w w:val="100"/>
          <w:position w:val="0"/>
        </w:rPr>
        <w:t>主要业务为存贷款等金融业务</w:t>
      </w:r>
      <w:r>
        <w:rPr>
          <w:rFonts w:ascii="Times New Roman" w:eastAsia="Times New Roman" w:hAnsi="Times New Roman" w:cs="Times New Roman"/>
          <w:color w:val="000000"/>
          <w:spacing w:val="0"/>
          <w:w w:val="100"/>
          <w:position w:val="0"/>
        </w:rPr>
        <w:t>,</w:t>
      </w:r>
      <w:r>
        <w:rPr>
          <w:color w:val="000000"/>
          <w:spacing w:val="0"/>
          <w:w w:val="100"/>
          <w:position w:val="0"/>
        </w:rPr>
        <w:t>增资后 权益比例为</w:t>
      </w:r>
      <w:r>
        <w:rPr>
          <w:rFonts w:ascii="Times New Roman" w:eastAsia="Times New Roman" w:hAnsi="Times New Roman" w:cs="Times New Roman"/>
          <w:color w:val="000000"/>
          <w:spacing w:val="0"/>
          <w:w w:val="100"/>
          <w:position w:val="0"/>
        </w:rPr>
        <w:t>3.1%</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、受让诸暨市富润置业有限公司</w:t>
      </w:r>
      <w:r>
        <w:rPr>
          <w:rFonts w:ascii="Times New Roman" w:eastAsia="Times New Roman" w:hAnsi="Times New Roman" w:cs="Times New Roman"/>
          <w:color w:val="000000"/>
          <w:spacing w:val="0"/>
          <w:w w:val="100"/>
          <w:position w:val="0"/>
        </w:rPr>
        <w:t>20%</w:t>
      </w:r>
      <w:r>
        <w:rPr>
          <w:color w:val="000000"/>
          <w:spacing w:val="0"/>
          <w:w w:val="100"/>
          <w:position w:val="0"/>
        </w:rPr>
        <w:t>股权，投资额为</w:t>
      </w:r>
      <w:r>
        <w:rPr>
          <w:rFonts w:ascii="Times New Roman" w:eastAsia="Times New Roman" w:hAnsi="Times New Roman" w:cs="Times New Roman"/>
          <w:color w:val="000000"/>
          <w:spacing w:val="0"/>
          <w:w w:val="100"/>
          <w:position w:val="0"/>
        </w:rPr>
        <w:t>2192.69</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受让后 权益比例为</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证券投资情况</w:t>
      </w:r>
    </w:p>
    <w:tbl>
      <w:tblPr>
        <w:tblOverlap w:val="never"/>
        <w:jc w:val="center"/>
        <w:tblLayout w:type="fixed"/>
      </w:tblPr>
      <w:tblGrid>
        <w:gridCol w:w="595"/>
        <w:gridCol w:w="1138"/>
        <w:gridCol w:w="1243"/>
        <w:gridCol w:w="1248"/>
        <w:gridCol w:w="1157"/>
        <w:gridCol w:w="1056"/>
        <w:gridCol w:w="1056"/>
        <w:gridCol w:w="955"/>
        <w:gridCol w:w="874"/>
      </w:tblGrid>
      <w:tr>
        <w:trPr>
          <w:trHeight w:val="1123"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证券代码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最初投资 金额（元）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320" w:line="269" w:lineRule="exact"/>
              <w:ind w:left="0" w:right="0" w:firstLine="0"/>
              <w:jc w:val="center"/>
            </w:pPr>
            <w:r>
              <w:rPr>
                <w:color w:val="000000"/>
                <w:spacing w:val="0"/>
                <w:w w:val="100"/>
                <w:position w:val="0"/>
              </w:rPr>
              <w:t>持有数 量</w:t>
            </w:r>
          </w:p>
          <w:p>
            <w:pPr>
              <w:pStyle w:val="Style21"/>
              <w:keepNext w:val="0"/>
              <w:keepLines w:val="0"/>
              <w:widowControl w:val="0"/>
              <w:shd w:val="clear" w:color="auto" w:fill="auto"/>
              <w:bidi w:val="0"/>
              <w:spacing w:before="0" w:after="0" w:line="269" w:lineRule="exact"/>
              <w:ind w:left="0" w:right="0" w:firstLine="200"/>
              <w:jc w:val="left"/>
            </w:pPr>
            <w:r>
              <w:rPr>
                <w:color w:val="000000"/>
                <w:spacing w:val="0"/>
                <w:w w:val="100"/>
                <w:position w:val="0"/>
              </w:rPr>
              <w:t>（股）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320" w:line="274" w:lineRule="exact"/>
              <w:ind w:left="0" w:right="0" w:firstLine="0"/>
              <w:jc w:val="center"/>
            </w:pPr>
            <w:r>
              <w:rPr>
                <w:color w:val="000000"/>
                <w:spacing w:val="0"/>
                <w:w w:val="100"/>
                <w:position w:val="0"/>
              </w:rPr>
              <w:t>期末账 面价值</w:t>
            </w:r>
          </w:p>
          <w:p>
            <w:pPr>
              <w:pStyle w:val="Style21"/>
              <w:keepNext w:val="0"/>
              <w:keepLines w:val="0"/>
              <w:widowControl w:val="0"/>
              <w:shd w:val="clear" w:color="auto" w:fill="auto"/>
              <w:bidi w:val="0"/>
              <w:spacing w:before="0" w:after="0" w:line="274" w:lineRule="exact"/>
              <w:ind w:left="0" w:right="0" w:firstLine="200"/>
              <w:jc w:val="left"/>
            </w:pPr>
            <w:r>
              <w:rPr>
                <w:color w:val="000000"/>
                <w:spacing w:val="0"/>
                <w:w w:val="100"/>
                <w:position w:val="0"/>
              </w:rPr>
              <w:t>（元）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占期末 证券总 投资比 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320" w:line="269" w:lineRule="exact"/>
              <w:ind w:left="0" w:right="0" w:firstLine="0"/>
              <w:jc w:val="center"/>
            </w:pPr>
            <w:r>
              <w:rPr>
                <w:color w:val="000000"/>
                <w:spacing w:val="0"/>
                <w:w w:val="100"/>
                <w:position w:val="0"/>
              </w:rPr>
              <w:t>报告期 损益</w:t>
            </w:r>
          </w:p>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（元）</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002001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盾安股份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153,205.80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600795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国电电力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66,041.80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000926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福星股份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63,655.20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-10,900</w:t>
            </w:r>
          </w:p>
        </w:tc>
      </w:tr>
      <w:tr>
        <w:trPr>
          <w:trHeight w:val="298" w:hRule="exact"/>
        </w:trPr>
        <w:tc>
          <w:tcPr>
            <w:gridSpan w:val="4"/>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282,902.80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-11,800</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持有其他上市公司股权情况</w:t>
      </w:r>
    </w:p>
    <w:p>
      <w:pPr>
        <w:widowControl w:val="0"/>
        <w:spacing w:line="1" w:lineRule="exact"/>
      </w:pPr>
    </w:p>
    <w:p>
      <w:pPr>
        <w:pStyle w:val="Style19"/>
        <w:keepNext w:val="0"/>
        <w:keepLines w:val="0"/>
        <w:widowControl w:val="0"/>
        <w:shd w:val="clear" w:color="auto" w:fill="auto"/>
        <w:bidi w:val="0"/>
        <w:spacing w:before="0" w:after="0" w:line="240" w:lineRule="auto"/>
        <w:ind w:left="7805" w:right="0" w:firstLine="0"/>
        <w:jc w:val="left"/>
      </w:pPr>
      <w:r>
        <w:rPr>
          <w:color w:val="000000"/>
          <w:spacing w:val="0"/>
          <w:w w:val="100"/>
          <w:position w:val="0"/>
        </w:rPr>
        <w:t>单位：元</w:t>
      </w:r>
    </w:p>
    <w:tbl>
      <w:tblPr>
        <w:tblOverlap w:val="never"/>
        <w:jc w:val="center"/>
        <w:tblLayout w:type="fixed"/>
      </w:tblPr>
      <w:tblGrid>
        <w:gridCol w:w="859"/>
        <w:gridCol w:w="475"/>
        <w:gridCol w:w="1426"/>
        <w:gridCol w:w="854"/>
        <w:gridCol w:w="1526"/>
        <w:gridCol w:w="1320"/>
        <w:gridCol w:w="1531"/>
        <w:gridCol w:w="658"/>
        <w:gridCol w:w="672"/>
      </w:tblGrid>
      <w:tr>
        <w:trPr>
          <w:trHeight w:val="11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证券代 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0" w:lineRule="exact"/>
              <w:ind w:left="0" w:right="0" w:firstLine="0"/>
              <w:jc w:val="center"/>
            </w:pPr>
            <w:r>
              <w:rPr>
                <w:color w:val="000000"/>
                <w:spacing w:val="0"/>
                <w:w w:val="100"/>
                <w:position w:val="0"/>
              </w:rPr>
              <w:t>证 券 简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最初投资成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占该公 司股权 比例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报告期所有者 权益变动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会计 核算 科目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股份 来源</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002647</w:t>
            </w:r>
          </w:p>
        </w:tc>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宏磊股份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13,150,581.30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9,304,227.05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both"/>
            </w:pPr>
            <w:r>
              <w:rPr>
                <w:color w:val="000000"/>
                <w:spacing w:val="0"/>
                <w:w w:val="100"/>
                <w:position w:val="0"/>
              </w:rPr>
              <w:t>可供 出售 金融 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000672</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140" w:after="0" w:line="240" w:lineRule="auto"/>
              <w:ind w:left="0" w:right="0" w:firstLine="0"/>
              <w:jc w:val="left"/>
            </w:pPr>
            <w:r>
              <w:rPr>
                <w:color w:val="000000"/>
                <w:spacing w:val="0"/>
                <w:w w:val="100"/>
                <w:position w:val="0"/>
              </w:rPr>
              <w:t>上峰水泥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37,552,100.00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339,429,208.36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226,407,831.27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可供 出售 金融 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资产 重组</w:t>
            </w:r>
          </w:p>
        </w:tc>
      </w:tr>
      <w:tr>
        <w:trPr>
          <w:trHeight w:val="298"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50,702,681.30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339,429,208.36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9,304,227.05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226,407,831.27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持有非上市金融企业股权情况</w:t>
      </w:r>
    </w:p>
    <w:tbl>
      <w:tblPr>
        <w:tblOverlap w:val="never"/>
        <w:jc w:val="center"/>
        <w:tblLayout w:type="fixed"/>
      </w:tblPr>
      <w:tblGrid>
        <w:gridCol w:w="562"/>
        <w:gridCol w:w="1421"/>
        <w:gridCol w:w="1426"/>
        <w:gridCol w:w="811"/>
        <w:gridCol w:w="1526"/>
        <w:gridCol w:w="1426"/>
        <w:gridCol w:w="845"/>
        <w:gridCol w:w="557"/>
        <w:gridCol w:w="749"/>
      </w:tblGrid>
      <w:tr>
        <w:trPr>
          <w:trHeight w:val="1661" w:hRule="exact"/>
        </w:trPr>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140" w:after="0" w:line="240" w:lineRule="auto"/>
              <w:ind w:left="0" w:right="0" w:firstLine="0"/>
              <w:jc w:val="left"/>
            </w:pPr>
            <w:r>
              <w:rPr>
                <w:color w:val="000000"/>
                <w:spacing w:val="0"/>
                <w:w w:val="100"/>
                <w:position w:val="0"/>
              </w:rPr>
              <w:t>所持对象名称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最初投资金 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持有数量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占该 公司 股权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期末账面价值 （元）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报告期损益 （元）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 所有者 权益变 动（元）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9" w:lineRule="exact"/>
              <w:ind w:left="160" w:right="0" w:firstLine="0"/>
              <w:jc w:val="left"/>
            </w:pPr>
            <w:r>
              <w:rPr>
                <w:color w:val="000000"/>
                <w:spacing w:val="0"/>
                <w:w w:val="100"/>
                <w:position w:val="0"/>
              </w:rPr>
              <w:t>会 计 核 算 科 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股份 来源</w:t>
            </w:r>
          </w:p>
        </w:tc>
      </w:tr>
      <w:tr>
        <w:trPr>
          <w:trHeight w:val="111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left"/>
            </w:pPr>
            <w:r>
              <w:rPr>
                <w:color w:val="000000"/>
                <w:spacing w:val="0"/>
                <w:w w:val="100"/>
                <w:position w:val="0"/>
              </w:rPr>
              <w:t xml:space="preserve">绍 </w:t>
            </w:r>
            <w:r>
              <w:rPr>
                <w:rFonts w:ascii="SimHei" w:eastAsia="SimHei" w:hAnsi="SimHei" w:cs="SimHei"/>
                <w:color w:val="000000"/>
                <w:spacing w:val="0"/>
                <w:w w:val="100"/>
                <w:position w:val="0"/>
                <w:sz w:val="19"/>
                <w:szCs w:val="19"/>
                <w:vertAlign w:val="subscript"/>
              </w:rPr>
              <w:t xml:space="preserve">兴 </w:t>
            </w:r>
            <w:r>
              <w:rPr>
                <w:color w:val="000000"/>
                <w:spacing w:val="0"/>
                <w:w w:val="100"/>
                <w:position w:val="0"/>
              </w:rPr>
              <w:t>银 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38"/>
              <w:keepNext w:val="0"/>
              <w:keepLines w:val="0"/>
              <w:widowControl w:val="0"/>
              <w:shd w:val="clear" w:color="auto" w:fill="auto"/>
              <w:bidi w:val="0"/>
              <w:spacing w:before="220" w:after="0" w:line="240" w:lineRule="auto"/>
              <w:ind w:left="0" w:right="0" w:firstLine="0"/>
              <w:jc w:val="right"/>
            </w:pPr>
            <w:r>
              <w:rPr>
                <w:color w:val="000000"/>
                <w:spacing w:val="0"/>
                <w:w w:val="100"/>
                <w:position w:val="0"/>
              </w:rPr>
              <w:t>长期股权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增资 扩股</w:t>
            </w:r>
          </w:p>
        </w:tc>
      </w:tr>
    </w:tbl>
    <w:p>
      <w:pPr>
        <w:widowControl w:val="0"/>
        <w:spacing w:line="1" w:lineRule="exact"/>
      </w:pPr>
      <w:r>
        <w:br w:type="page"/>
      </w:r>
    </w:p>
    <w:tbl>
      <w:tblPr>
        <w:tblOverlap w:val="never"/>
        <w:jc w:val="center"/>
        <w:tblLayout w:type="fixed"/>
      </w:tblPr>
      <w:tblGrid>
        <w:gridCol w:w="562"/>
        <w:gridCol w:w="1421"/>
        <w:gridCol w:w="1426"/>
        <w:gridCol w:w="811"/>
        <w:gridCol w:w="1526"/>
        <w:gridCol w:w="1426"/>
        <w:gridCol w:w="845"/>
        <w:gridCol w:w="557"/>
        <w:gridCol w:w="749"/>
      </w:tblGrid>
      <w:tr>
        <w:trPr>
          <w:trHeight w:val="1656"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3557"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诸暨市宏润小额贷款有限公司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长期股权投资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出资</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100,700,000.00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tabs>
          <w:tab w:pos="523" w:val="left"/>
        </w:tabs>
        <w:bidi w:val="0"/>
        <w:spacing w:before="0" w:after="0" w:line="240" w:lineRule="auto"/>
        <w:ind w:left="0" w:right="0" w:firstLine="0"/>
        <w:jc w:val="left"/>
      </w:pPr>
      <w:bookmarkStart w:id="40" w:name="bookmark40"/>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非金融类公司委托理财及衍生品投资的情况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委托理财情况</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本年度公司无委托理财事项。</w:t>
      </w:r>
    </w:p>
    <w:p>
      <w:pPr>
        <w:pStyle w:val="Style1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委托贷款情况 委托贷款项目情况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581"/>
        <w:gridCol w:w="1531"/>
        <w:gridCol w:w="475"/>
        <w:gridCol w:w="586"/>
        <w:gridCol w:w="427"/>
        <w:gridCol w:w="422"/>
        <w:gridCol w:w="571"/>
        <w:gridCol w:w="850"/>
        <w:gridCol w:w="850"/>
        <w:gridCol w:w="850"/>
        <w:gridCol w:w="850"/>
        <w:gridCol w:w="1330"/>
      </w:tblGrid>
      <w:tr>
        <w:trPr>
          <w:trHeight w:val="1930" w:hRule="exact"/>
        </w:trPr>
        <w:tc>
          <w:tcPr>
            <w:tcBorders>
              <w:top w:val="single" w:sz="4"/>
              <w:left w:val="single" w:sz="4"/>
            </w:tcBorders>
            <w:shd w:val="clear" w:color="auto" w:fill="FFFFFF"/>
            <w:textDirection w:val="tbRlV"/>
            <w:vAlign w:val="center"/>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贷 款 期 限</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借 款 用 途</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抵押物或担保人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 否 逾 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是否关 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是否展 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是否涉 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8" w:lineRule="exact"/>
              <w:ind w:left="0" w:right="0" w:firstLine="0"/>
              <w:jc w:val="center"/>
            </w:pPr>
            <w:r>
              <w:rPr>
                <w:color w:val="000000"/>
                <w:spacing w:val="0"/>
                <w:w w:val="100"/>
                <w:position w:val="0"/>
              </w:rPr>
              <w:t>资金来 源并说 明是否 为募集 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投资盈亏</w:t>
            </w:r>
          </w:p>
        </w:tc>
      </w:tr>
      <w:tr>
        <w:trPr>
          <w:trHeight w:val="3019" w:hRule="exact"/>
        </w:trPr>
        <w:tc>
          <w:tcPr>
            <w:tcBorders>
              <w:top w:val="single" w:sz="4"/>
              <w:left w:val="single" w:sz="4"/>
              <w:bottom w:val="single" w:sz="4"/>
            </w:tcBorders>
            <w:shd w:val="clear" w:color="auto" w:fill="FFFFFF"/>
            <w:textDirection w:val="tbRlV"/>
            <w:vAlign w:val="top"/>
          </w:tcPr>
          <w:p>
            <w:pPr>
              <w:pStyle w:val="Style38"/>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诸暨市城市建设投资发展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w:t>
            </w:r>
          </w:p>
        </w:tc>
        <w:tc>
          <w:tcPr>
            <w:tcBorders>
              <w:top w:val="single" w:sz="4"/>
              <w:left w:val="single" w:sz="4"/>
              <w:bottom w:val="single" w:sz="4"/>
            </w:tcBorders>
            <w:shd w:val="clear" w:color="auto" w:fill="FFFFFF"/>
            <w:textDirection w:val="tbRlV"/>
            <w:vAlign w:val="top"/>
          </w:tcPr>
          <w:p>
            <w:pPr>
              <w:pStyle w:val="Style3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建设资金</w:t>
            </w:r>
          </w:p>
        </w:tc>
        <w:tc>
          <w:tcPr>
            <w:tcBorders>
              <w:top w:val="single" w:sz="4"/>
              <w:left w:val="single" w:sz="4"/>
              <w:bottom w:val="single" w:sz="4"/>
            </w:tcBorders>
            <w:shd w:val="clear" w:color="auto" w:fill="FFFFFF"/>
            <w:textDirection w:val="tbRlV"/>
            <w:vAlign w:val="top"/>
          </w:tcPr>
          <w:p>
            <w:pPr>
              <w:pStyle w:val="Style3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诸暨市城东新城建设有限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6,926,245.38</w:t>
            </w:r>
          </w:p>
        </w:tc>
      </w:tr>
    </w:tbl>
    <w:p>
      <w:pPr>
        <w:widowControl w:val="0"/>
        <w:spacing w:line="1" w:lineRule="exact"/>
      </w:pPr>
      <w:r>
        <w:br w:type="page"/>
      </w:r>
    </w:p>
    <w:tbl>
      <w:tblPr>
        <w:tblOverlap w:val="never"/>
        <w:jc w:val="center"/>
        <w:tblLayout w:type="fixed"/>
      </w:tblPr>
      <w:tblGrid>
        <w:gridCol w:w="581"/>
        <w:gridCol w:w="1531"/>
        <w:gridCol w:w="475"/>
        <w:gridCol w:w="586"/>
        <w:gridCol w:w="427"/>
        <w:gridCol w:w="422"/>
        <w:gridCol w:w="571"/>
        <w:gridCol w:w="850"/>
        <w:gridCol w:w="850"/>
        <w:gridCol w:w="850"/>
        <w:gridCol w:w="850"/>
        <w:gridCol w:w="1330"/>
      </w:tblGrid>
      <w:tr>
        <w:trPr>
          <w:trHeight w:val="112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有 限 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tabs>
          <w:tab w:pos="533" w:val="left"/>
        </w:tabs>
        <w:bidi w:val="0"/>
        <w:spacing w:before="0" w:after="0" w:line="240" w:lineRule="auto"/>
        <w:ind w:left="0" w:right="0" w:firstLine="0"/>
        <w:jc w:val="left"/>
      </w:pPr>
      <w:bookmarkStart w:id="41" w:name="bookmark41"/>
      <w:r>
        <w:rPr>
          <w:rFonts w:ascii="Times New Roman" w:eastAsia="Times New Roman" w:hAnsi="Times New Roman" w:cs="Times New Roman"/>
          <w:color w:val="000000"/>
          <w:spacing w:val="0"/>
          <w:w w:val="100"/>
          <w:position w:val="0"/>
          <w:shd w:val="clear" w:color="auto" w:fill="FFFFFF"/>
        </w:rPr>
        <w:t>3</w:t>
      </w:r>
      <w:bookmarkEnd w:id="41"/>
      <w:r>
        <w:rPr>
          <w:color w:val="000000"/>
          <w:spacing w:val="0"/>
          <w:w w:val="100"/>
          <w:position w:val="0"/>
          <w:shd w:val="clear" w:color="auto" w:fill="FFFFFF"/>
        </w:rPr>
        <w:t>、</w:t>
      </w:r>
      <w:r>
        <w:rPr>
          <w:color w:val="000000"/>
          <w:spacing w:val="0"/>
          <w:w w:val="100"/>
          <w:position w:val="0"/>
        </w:rPr>
        <w:tab/>
        <w:t>募集资金使用情况</w:t>
      </w: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报告期内，公司无募集资金或前期募集资金使用到本期的情况。</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 主要子公司、参股公司分析</w:t>
      </w:r>
    </w:p>
    <w:tbl>
      <w:tblPr>
        <w:tblOverlap w:val="never"/>
        <w:jc w:val="left"/>
        <w:tblLayout w:type="fixed"/>
      </w:tblPr>
      <w:tblGrid>
        <w:gridCol w:w="1378"/>
        <w:gridCol w:w="706"/>
        <w:gridCol w:w="840"/>
        <w:gridCol w:w="1229"/>
        <w:gridCol w:w="883"/>
        <w:gridCol w:w="1171"/>
        <w:gridCol w:w="1171"/>
        <w:gridCol w:w="1171"/>
      </w:tblGrid>
      <w:tr>
        <w:trPr>
          <w:trHeight w:val="8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业务 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注册 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经营 范围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总资产 （万元人 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净资产（万 元人民币）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营业收入</w:t>
            </w:r>
            <w:r>
              <w:rPr>
                <w:rFonts w:ascii="Times New Roman" w:eastAsia="Times New Roman" w:hAnsi="Times New Roman" w:cs="Times New Roman"/>
                <w:color w:val="000000"/>
                <w:spacing w:val="0"/>
                <w:w w:val="100"/>
                <w:position w:val="0"/>
              </w:rPr>
              <w:t>（</w:t>
            </w:r>
            <w:r>
              <w:rPr>
                <w:color w:val="000000"/>
                <w:spacing w:val="0"/>
                <w:w w:val="100"/>
                <w:position w:val="0"/>
              </w:rPr>
              <w:t>万 元人民币</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净利润（万 元人民币）</w:t>
            </w:r>
          </w:p>
        </w:tc>
      </w:tr>
      <w:tr>
        <w:trPr>
          <w:trHeight w:val="16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浙江富润印染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1,200 </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纺织品、服装 制造加工及 印染、生产、 销售纺织原 辅材料、机器 器材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39045.43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21673.65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34901.83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4143.92</w:t>
            </w:r>
          </w:p>
        </w:tc>
      </w:tr>
      <w:tr>
        <w:trPr>
          <w:trHeight w:val="16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both"/>
            </w:pPr>
            <w:r>
              <w:rPr>
                <w:color w:val="000000"/>
                <w:spacing w:val="0"/>
                <w:w w:val="100"/>
                <w:position w:val="0"/>
              </w:rPr>
              <w:t>浙江富润海茂 纺织布艺有限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高档纺织品、 高档家纺制 品的生产、加 工及纺织原 辅材料的生 产销售。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4833.89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3856.89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3181.93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1457.21</w:t>
            </w:r>
          </w:p>
        </w:tc>
      </w:tr>
      <w:tr>
        <w:trPr>
          <w:trHeight w:val="139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浙江富润纺织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w:t>
            </w:r>
            <w:r>
              <w:rPr>
                <w:color w:val="000000"/>
                <w:spacing w:val="0"/>
                <w:w w:val="100"/>
                <w:position w:val="0"/>
              </w:rPr>
              <w:t>万美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高档纺织品 制造、加工及 印染；纺织辅 料生产、销 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21406.92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11200.96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15941.96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4100.40</w:t>
            </w:r>
          </w:p>
        </w:tc>
      </w:tr>
      <w:tr>
        <w:trPr>
          <w:trHeight w:val="8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浙江诸暨富润 宏丰纺织有限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2,500 </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纺织加工品； 销售自产产 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5323.54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2704.13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141.21</w:t>
            </w:r>
          </w:p>
        </w:tc>
      </w:tr>
      <w:tr>
        <w:trPr>
          <w:trHeight w:val="16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浙江诸暨富润 丝绸织造有限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w:t>
            </w:r>
            <w:r>
              <w:rPr>
                <w:color w:val="000000"/>
                <w:spacing w:val="0"/>
                <w:w w:val="100"/>
                <w:position w:val="0"/>
              </w:rPr>
              <w:t>万美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高档服饰面 料、服装饰品 的生产及后 整理加工（不 含印染）销售 自产产品。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1805.59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1283.41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0.35</w:t>
            </w:r>
          </w:p>
        </w:tc>
      </w:tr>
      <w:tr>
        <w:trPr>
          <w:trHeight w:val="16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both"/>
            </w:pPr>
            <w:r>
              <w:rPr>
                <w:color w:val="000000"/>
                <w:spacing w:val="0"/>
                <w:w w:val="100"/>
                <w:position w:val="0"/>
              </w:rPr>
              <w:t>浙江明贺钢管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734.6939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万美元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各类钢管的 生产、加工 </w:t>
            </w:r>
            <w:r>
              <w:rPr>
                <w:rFonts w:ascii="Times New Roman" w:eastAsia="Times New Roman" w:hAnsi="Times New Roman" w:cs="Times New Roman"/>
                <w:color w:val="000000"/>
                <w:spacing w:val="0"/>
                <w:w w:val="100"/>
                <w:position w:val="0"/>
              </w:rPr>
              <w:t>（</w:t>
            </w:r>
            <w:r>
              <w:rPr>
                <w:color w:val="000000"/>
                <w:spacing w:val="0"/>
                <w:w w:val="100"/>
                <w:position w:val="0"/>
              </w:rPr>
              <w:t>不含钢材的 生产</w:t>
            </w:r>
            <w:r>
              <w:rPr>
                <w:rFonts w:ascii="Times New Roman" w:eastAsia="Times New Roman" w:hAnsi="Times New Roman" w:cs="Times New Roman"/>
                <w:color w:val="000000"/>
                <w:spacing w:val="0"/>
                <w:w w:val="100"/>
                <w:position w:val="0"/>
              </w:rPr>
              <w:t>）</w:t>
            </w:r>
            <w:r>
              <w:rPr>
                <w:color w:val="000000"/>
                <w:spacing w:val="0"/>
                <w:w w:val="100"/>
                <w:position w:val="0"/>
              </w:rPr>
              <w:t>销售本 公司生产产 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25268.10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10404.33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53270.43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2823.40</w:t>
            </w:r>
          </w:p>
        </w:tc>
      </w:tr>
      <w:tr>
        <w:trPr>
          <w:trHeight w:val="58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浙江富源再生 资源有限公司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2,100 </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元人民</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废旧纺织品、 橡胶、金属产</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3113.99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644.38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38.23</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58.57</w:t>
            </w:r>
          </w:p>
        </w:tc>
      </w:tr>
    </w:tbl>
    <w:p>
      <w:pPr>
        <w:widowControl w:val="0"/>
        <w:spacing w:line="1" w:lineRule="exact"/>
      </w:pPr>
      <w:r>
        <w:br w:type="page"/>
      </w:r>
    </w:p>
    <w:tbl>
      <w:tblPr>
        <w:tblOverlap w:val="never"/>
        <w:jc w:val="center"/>
        <w:tblLayout w:type="fixed"/>
      </w:tblPr>
      <w:tblGrid>
        <w:gridCol w:w="1363"/>
        <w:gridCol w:w="706"/>
        <w:gridCol w:w="840"/>
        <w:gridCol w:w="1229"/>
        <w:gridCol w:w="883"/>
        <w:gridCol w:w="1171"/>
        <w:gridCol w:w="1171"/>
        <w:gridCol w:w="1171"/>
      </w:tblGrid>
      <w:tr>
        <w:trPr>
          <w:trHeight w:val="14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品的回收、再 生利用销售</w:t>
            </w:r>
          </w:p>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（国家法律 法规禁止限 制的除外）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浙江富润贸易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500</w:t>
            </w:r>
            <w:r>
              <w:rPr>
                <w:color w:val="000000"/>
                <w:spacing w:val="0"/>
                <w:w w:val="100"/>
                <w:position w:val="0"/>
              </w:rPr>
              <w:t>万元 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纺织品、服 装、原料、机 械器材的批 发及其进出 口业务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404.21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r>
          </w:p>
        </w:tc>
      </w:tr>
      <w:tr>
        <w:trPr>
          <w:trHeight w:val="19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both"/>
            </w:pPr>
            <w:r>
              <w:rPr>
                <w:color w:val="000000"/>
                <w:spacing w:val="0"/>
                <w:w w:val="100"/>
                <w:position w:val="0"/>
              </w:rPr>
              <w:t>诸暨富润屋城 东置业有限公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3,000 </w:t>
            </w:r>
            <w:r>
              <w:rPr>
                <w:color w:val="000000"/>
                <w:spacing w:val="0"/>
                <w:w w:val="100"/>
                <w:position w:val="0"/>
              </w:rPr>
              <w:t>万 元人民 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房地产开发 经营（凭有效 资质证书经 营）；市政工 程施工；经 销：建材（不 含木材）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18929.28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2268.27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-8.19</w:t>
            </w:r>
          </w:p>
        </w:tc>
      </w:tr>
      <w:tr>
        <w:trPr>
          <w:trHeight w:val="8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诸暨富润服饰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100</w:t>
            </w:r>
            <w:r>
              <w:rPr>
                <w:color w:val="000000"/>
                <w:spacing w:val="0"/>
                <w:w w:val="100"/>
                <w:position w:val="0"/>
              </w:rPr>
              <w:t>万美</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生产、加工、 销售</w:t>
            </w:r>
            <w:r>
              <w:rPr>
                <w:rFonts w:ascii="Times New Roman" w:eastAsia="Times New Roman" w:hAnsi="Times New Roman" w:cs="Times New Roman"/>
                <w:color w:val="000000"/>
                <w:spacing w:val="0"/>
                <w:w w:val="100"/>
                <w:position w:val="0"/>
              </w:rPr>
              <w:t>;</w:t>
            </w:r>
            <w:r>
              <w:rPr>
                <w:color w:val="000000"/>
                <w:spacing w:val="0"/>
                <w:w w:val="100"/>
                <w:position w:val="0"/>
              </w:rPr>
              <w:t>服装及 服装制品。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4353.57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1061.94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2548.59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167.12</w:t>
            </w:r>
          </w:p>
        </w:tc>
      </w:tr>
      <w:tr>
        <w:trPr>
          <w:trHeight w:val="19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诸暨市富润置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房地产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8000 </w:t>
            </w:r>
            <w:r>
              <w:rPr>
                <w:color w:val="000000"/>
                <w:spacing w:val="0"/>
                <w:w w:val="100"/>
                <w:position w:val="0"/>
              </w:rPr>
              <w:t>万 元人民 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按资质等级 证书核定范 围内从事房 地产开发经 营、市政工程 建筑活动；经 销，建材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9001.24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9014.30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1281.04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381.43</w:t>
            </w:r>
          </w:p>
        </w:tc>
      </w:tr>
      <w:tr>
        <w:trPr>
          <w:trHeight w:val="14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杭州航民上峰 水泥有限公司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 元人民 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生产销售</w:t>
            </w:r>
            <w:r>
              <w:rPr>
                <w:rFonts w:ascii="Times New Roman" w:eastAsia="Times New Roman" w:hAnsi="Times New Roman" w:cs="Times New Roman"/>
                <w:color w:val="000000"/>
                <w:spacing w:val="0"/>
                <w:w w:val="100"/>
                <w:position w:val="0"/>
              </w:rPr>
              <w:t>:</w:t>
            </w:r>
            <w:r>
              <w:rPr>
                <w:color w:val="000000"/>
                <w:spacing w:val="0"/>
                <w:w w:val="100"/>
                <w:position w:val="0"/>
              </w:rPr>
              <w:t>水 泥熟料</w:t>
            </w:r>
            <w:r>
              <w:rPr>
                <w:rFonts w:ascii="Times New Roman" w:eastAsia="Times New Roman" w:hAnsi="Times New Roman" w:cs="Times New Roman"/>
                <w:color w:val="000000"/>
                <w:spacing w:val="0"/>
                <w:w w:val="100"/>
                <w:position w:val="0"/>
              </w:rPr>
              <w:t>,</w:t>
            </w:r>
            <w:r>
              <w:rPr>
                <w:color w:val="000000"/>
                <w:spacing w:val="0"/>
                <w:w w:val="100"/>
                <w:position w:val="0"/>
              </w:rPr>
              <w:t>水泥 仅限下属机 构经营</w:t>
            </w:r>
            <w:r>
              <w:rPr>
                <w:rFonts w:ascii="Times New Roman" w:eastAsia="Times New Roman" w:hAnsi="Times New Roman" w:cs="Times New Roman"/>
                <w:color w:val="000000"/>
                <w:spacing w:val="0"/>
                <w:w w:val="100"/>
                <w:position w:val="0"/>
              </w:rPr>
              <w:t>:</w:t>
            </w:r>
            <w:r>
              <w:rPr>
                <w:color w:val="000000"/>
                <w:spacing w:val="0"/>
                <w:w w:val="100"/>
                <w:position w:val="0"/>
              </w:rPr>
              <w:t>金属 材料</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31602.64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8446.62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20230.64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-1846.47</w:t>
            </w:r>
          </w:p>
        </w:tc>
      </w:tr>
    </w:tbl>
    <w:p>
      <w:pPr>
        <w:widowControl w:val="0"/>
        <w:spacing w:after="239" w:line="1" w:lineRule="exact"/>
      </w:pP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非募集资金项目情况</w:t>
      </w:r>
    </w:p>
    <w:p>
      <w:pPr>
        <w:pStyle w:val="Style13"/>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报告期内，公司无非募集资金投资项目。</w:t>
      </w:r>
    </w:p>
    <w:p>
      <w:pPr>
        <w:pStyle w:val="Style13"/>
        <w:keepNext w:val="0"/>
        <w:keepLines w:val="0"/>
        <w:widowControl w:val="0"/>
        <w:shd w:val="clear" w:color="auto" w:fill="auto"/>
        <w:bidi w:val="0"/>
        <w:spacing w:before="0" w:after="0" w:line="274" w:lineRule="exact"/>
        <w:ind w:left="0" w:right="0" w:firstLine="0"/>
        <w:jc w:val="left"/>
      </w:pPr>
      <w:bookmarkStart w:id="42" w:name="bookmark42"/>
      <w:r>
        <w:rPr>
          <w:color w:val="000000"/>
          <w:spacing w:val="0"/>
          <w:w w:val="100"/>
          <w:position w:val="0"/>
        </w:rPr>
        <w:t>二</w:t>
      </w:r>
      <w:bookmarkEnd w:id="42"/>
      <w:r>
        <w:rPr>
          <w:color w:val="000000"/>
          <w:spacing w:val="0"/>
          <w:w w:val="100"/>
          <w:position w:val="0"/>
        </w:rPr>
        <w:t>、董事会关于公司未来发展的讨论与分析</w:t>
      </w:r>
    </w:p>
    <w:p>
      <w:pPr>
        <w:pStyle w:val="Style13"/>
        <w:keepNext w:val="0"/>
        <w:keepLines w:val="0"/>
        <w:widowControl w:val="0"/>
        <w:shd w:val="clear" w:color="auto" w:fill="auto"/>
        <w:tabs>
          <w:tab w:pos="542" w:val="left"/>
        </w:tabs>
        <w:bidi w:val="0"/>
        <w:spacing w:before="0" w:after="0" w:line="274" w:lineRule="exact"/>
        <w:ind w:left="0" w:right="0" w:firstLine="0"/>
        <w:jc w:val="left"/>
      </w:pPr>
      <w:bookmarkStart w:id="43" w:name="bookmark43"/>
      <w:r>
        <w:rPr>
          <w:rFonts w:ascii="Times New Roman" w:eastAsia="Times New Roman" w:hAnsi="Times New Roman" w:cs="Times New Roman"/>
          <w:color w:val="000000"/>
          <w:spacing w:val="0"/>
          <w:w w:val="100"/>
          <w:position w:val="0"/>
        </w:rPr>
        <w:t>（</w:t>
      </w:r>
      <w:bookmarkEnd w:id="43"/>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行业竞争格局和发展趋势</w:t>
      </w:r>
    </w:p>
    <w:p>
      <w:pPr>
        <w:pStyle w:val="Style13"/>
        <w:keepNext w:val="0"/>
        <w:keepLines w:val="0"/>
        <w:widowControl w:val="0"/>
        <w:shd w:val="clear" w:color="auto" w:fill="auto"/>
        <w:bidi w:val="0"/>
        <w:spacing w:before="0" w:after="240" w:line="274"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年是全面贯彻落实党的十八届三中全会精神、全面深化改革的第一年。历经三十年的高歌 猛进，中国经济正处于一场大变革的前夜。分析宏观形势，经济稳中趋缓，货币信用双紧，债 务产能双控。</w:t>
      </w:r>
      <w:r>
        <w:rPr>
          <w:rFonts w:ascii="Times New Roman" w:eastAsia="Times New Roman" w:hAnsi="Times New Roman" w:cs="Times New Roman"/>
          <w:color w:val="000000"/>
          <w:spacing w:val="0"/>
          <w:w w:val="100"/>
          <w:position w:val="0"/>
        </w:rPr>
        <w:t>"</w:t>
      </w:r>
      <w:r>
        <w:rPr>
          <w:color w:val="000000"/>
          <w:spacing w:val="0"/>
          <w:w w:val="100"/>
          <w:position w:val="0"/>
        </w:rPr>
        <w:t>轻舟已过万重山</w:t>
      </w:r>
      <w:r>
        <w:rPr>
          <w:rFonts w:ascii="Times New Roman" w:eastAsia="Times New Roman" w:hAnsi="Times New Roman" w:cs="Times New Roman"/>
          <w:color w:val="000000"/>
          <w:spacing w:val="0"/>
          <w:w w:val="100"/>
          <w:position w:val="0"/>
        </w:rPr>
        <w:t>"</w:t>
      </w:r>
      <w:r>
        <w:rPr>
          <w:color w:val="000000"/>
          <w:spacing w:val="0"/>
          <w:w w:val="100"/>
          <w:position w:val="0"/>
        </w:rPr>
        <w:t>的顺境不多，</w:t>
      </w:r>
      <w:r>
        <w:rPr>
          <w:rFonts w:ascii="Times New Roman" w:eastAsia="Times New Roman" w:hAnsi="Times New Roman" w:cs="Times New Roman"/>
          <w:color w:val="000000"/>
          <w:spacing w:val="0"/>
          <w:w w:val="100"/>
          <w:position w:val="0"/>
        </w:rPr>
        <w:t>"</w:t>
      </w:r>
      <w:r>
        <w:rPr>
          <w:color w:val="000000"/>
          <w:spacing w:val="0"/>
          <w:w w:val="100"/>
          <w:position w:val="0"/>
        </w:rPr>
        <w:t>一山放过一山拦</w:t>
      </w:r>
      <w:r>
        <w:rPr>
          <w:rFonts w:ascii="Times New Roman" w:eastAsia="Times New Roman" w:hAnsi="Times New Roman" w:cs="Times New Roman"/>
          <w:color w:val="000000"/>
          <w:spacing w:val="0"/>
          <w:w w:val="100"/>
          <w:position w:val="0"/>
        </w:rPr>
        <w:t>"</w:t>
      </w:r>
      <w:r>
        <w:rPr>
          <w:color w:val="000000"/>
          <w:spacing w:val="0"/>
          <w:w w:val="100"/>
          <w:position w:val="0"/>
        </w:rPr>
        <w:t>的难题不少。分析行业形势，市 场竞争激烈的格局不变，成本不断上升的趋势持续，外需疲软、内需不足的局面依然。分析公 司可能面对的机遇：</w:t>
      </w:r>
      <w:r>
        <w:rPr>
          <w:rFonts w:ascii="Times New Roman" w:eastAsia="Times New Roman" w:hAnsi="Times New Roman" w:cs="Times New Roman"/>
          <w:color w:val="000000"/>
          <w:spacing w:val="0"/>
          <w:w w:val="100"/>
          <w:position w:val="0"/>
        </w:rPr>
        <w:t>1</w:t>
      </w:r>
      <w:r>
        <w:rPr>
          <w:color w:val="000000"/>
          <w:spacing w:val="0"/>
          <w:w w:val="100"/>
          <w:position w:val="0"/>
        </w:rPr>
        <w:t>、市场需求见暖的机遇。主要是人均消费还有提升空间；</w:t>
      </w:r>
      <w:r>
        <w:rPr>
          <w:rFonts w:ascii="Times New Roman" w:eastAsia="Times New Roman" w:hAnsi="Times New Roman" w:cs="Times New Roman"/>
          <w:color w:val="000000"/>
          <w:spacing w:val="0"/>
          <w:w w:val="100"/>
          <w:position w:val="0"/>
        </w:rPr>
        <w:t>2</w:t>
      </w:r>
      <w:r>
        <w:rPr>
          <w:color w:val="000000"/>
          <w:spacing w:val="0"/>
          <w:w w:val="100"/>
          <w:position w:val="0"/>
        </w:rPr>
        <w:t>、投资项目见 好的机遇。主要是文化强国、金融改革、循环经济等带动产业发展；</w:t>
      </w:r>
      <w:r>
        <w:rPr>
          <w:rFonts w:ascii="Times New Roman" w:eastAsia="Times New Roman" w:hAnsi="Times New Roman" w:cs="Times New Roman"/>
          <w:color w:val="000000"/>
          <w:spacing w:val="0"/>
          <w:w w:val="100"/>
          <w:position w:val="0"/>
        </w:rPr>
        <w:t>3</w:t>
      </w:r>
      <w:r>
        <w:rPr>
          <w:color w:val="000000"/>
          <w:spacing w:val="0"/>
          <w:w w:val="100"/>
          <w:position w:val="0"/>
        </w:rPr>
        <w:t>、成长能力见强的机遇。 主要是现金流足、负债率低，带来投资、并购的可能。</w:t>
      </w:r>
    </w:p>
    <w:p>
      <w:pPr>
        <w:pStyle w:val="Style13"/>
        <w:keepNext w:val="0"/>
        <w:keepLines w:val="0"/>
        <w:widowControl w:val="0"/>
        <w:shd w:val="clear" w:color="auto" w:fill="auto"/>
        <w:tabs>
          <w:tab w:pos="542" w:val="left"/>
        </w:tabs>
        <w:bidi w:val="0"/>
        <w:spacing w:before="0" w:after="0" w:line="274" w:lineRule="exact"/>
        <w:ind w:left="0" w:right="0" w:firstLine="0"/>
        <w:jc w:val="left"/>
      </w:pPr>
      <w:bookmarkStart w:id="44" w:name="bookmark44"/>
      <w:r>
        <w:rPr>
          <w:rFonts w:ascii="Times New Roman" w:eastAsia="Times New Roman" w:hAnsi="Times New Roman" w:cs="Times New Roman"/>
          <w:color w:val="000000"/>
          <w:spacing w:val="0"/>
          <w:w w:val="100"/>
          <w:position w:val="0"/>
        </w:rPr>
        <w:t>（</w:t>
      </w:r>
      <w:bookmarkEnd w:id="4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公司发展战略</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按照中央经济工作会议</w:t>
      </w:r>
      <w:r>
        <w:rPr>
          <w:rFonts w:ascii="Times New Roman" w:eastAsia="Times New Roman" w:hAnsi="Times New Roman" w:cs="Times New Roman"/>
          <w:color w:val="000000"/>
          <w:spacing w:val="0"/>
          <w:w w:val="100"/>
          <w:position w:val="0"/>
        </w:rPr>
        <w:t>"</w:t>
      </w:r>
      <w:r>
        <w:rPr>
          <w:color w:val="000000"/>
          <w:spacing w:val="0"/>
          <w:w w:val="100"/>
          <w:position w:val="0"/>
        </w:rPr>
        <w:t>稳中求进，改革创新</w:t>
      </w:r>
      <w:r>
        <w:rPr>
          <w:rFonts w:ascii="Times New Roman" w:eastAsia="Times New Roman" w:hAnsi="Times New Roman" w:cs="Times New Roman"/>
          <w:color w:val="000000"/>
          <w:spacing w:val="0"/>
          <w:w w:val="100"/>
          <w:position w:val="0"/>
        </w:rPr>
        <w:t>"</w:t>
      </w:r>
      <w:r>
        <w:rPr>
          <w:color w:val="000000"/>
          <w:spacing w:val="0"/>
          <w:w w:val="100"/>
          <w:position w:val="0"/>
        </w:rPr>
        <w:t>的工作基调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年公司将继续保持清醒头脑， </w:t>
      </w:r>
      <w:r>
        <w:rPr>
          <w:color w:val="000000"/>
          <w:spacing w:val="0"/>
          <w:w w:val="100"/>
          <w:position w:val="0"/>
        </w:rPr>
        <w:t>沉着前行，在</w:t>
      </w:r>
      <w:r>
        <w:rPr>
          <w:rFonts w:ascii="Times New Roman" w:eastAsia="Times New Roman" w:hAnsi="Times New Roman" w:cs="Times New Roman"/>
          <w:color w:val="000000"/>
          <w:spacing w:val="0"/>
          <w:w w:val="100"/>
          <w:position w:val="0"/>
        </w:rPr>
        <w:t>"</w:t>
      </w:r>
      <w:r>
        <w:rPr>
          <w:color w:val="000000"/>
          <w:spacing w:val="0"/>
          <w:w w:val="100"/>
          <w:position w:val="0"/>
        </w:rPr>
        <w:t>安</w:t>
      </w:r>
      <w:r>
        <w:rPr>
          <w:rFonts w:ascii="Times New Roman" w:eastAsia="Times New Roman" w:hAnsi="Times New Roman" w:cs="Times New Roman"/>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rPr>
        <w:t>"</w:t>
      </w:r>
      <w:r>
        <w:rPr>
          <w:color w:val="000000"/>
          <w:spacing w:val="0"/>
          <w:w w:val="100"/>
          <w:position w:val="0"/>
        </w:rPr>
        <w:t>转</w:t>
      </w:r>
      <w:r>
        <w:rPr>
          <w:rFonts w:ascii="Times New Roman" w:eastAsia="Times New Roman" w:hAnsi="Times New Roman" w:cs="Times New Roman"/>
          <w:color w:val="000000"/>
          <w:spacing w:val="0"/>
          <w:w w:val="100"/>
          <w:position w:val="0"/>
        </w:rPr>
        <w:t>"</w:t>
      </w:r>
      <w:r>
        <w:rPr>
          <w:color w:val="000000"/>
          <w:spacing w:val="0"/>
          <w:w w:val="100"/>
          <w:position w:val="0"/>
        </w:rPr>
        <w:t>中抓住机遇。同时，身处一个日新月异的时代，面对市场的激烈竞争和 变化无常，前瞻思考，主动求变。</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公司新年度的发展战略：</w:t>
      </w:r>
    </w:p>
    <w:p>
      <w:pPr>
        <w:pStyle w:val="Style13"/>
        <w:keepNext w:val="0"/>
        <w:keepLines w:val="0"/>
        <w:widowControl w:val="0"/>
        <w:shd w:val="clear" w:color="auto" w:fill="auto"/>
        <w:tabs>
          <w:tab w:pos="589" w:val="left"/>
        </w:tabs>
        <w:bidi w:val="0"/>
        <w:spacing w:before="0" w:after="0" w:line="274" w:lineRule="exact"/>
        <w:ind w:left="0" w:right="0" w:firstLine="0"/>
        <w:jc w:val="left"/>
      </w:pPr>
      <w:bookmarkStart w:id="45" w:name="bookmark45"/>
      <w:r>
        <w:rPr>
          <w:color w:val="000000"/>
          <w:spacing w:val="0"/>
          <w:w w:val="100"/>
          <w:position w:val="0"/>
        </w:rPr>
        <w:t>（</w:t>
      </w:r>
      <w:bookmarkEnd w:id="45"/>
      <w:r>
        <w:rPr>
          <w:color w:val="000000"/>
          <w:spacing w:val="0"/>
          <w:w w:val="100"/>
          <w:position w:val="0"/>
        </w:rPr>
        <w:t>一）</w:t>
        <w:tab/>
        <w:t>工作基调：保持定力，精准发力；稳中求进，进中求好。</w:t>
      </w:r>
    </w:p>
    <w:p>
      <w:pPr>
        <w:pStyle w:val="Style13"/>
        <w:keepNext w:val="0"/>
        <w:keepLines w:val="0"/>
        <w:widowControl w:val="0"/>
        <w:shd w:val="clear" w:color="auto" w:fill="auto"/>
        <w:tabs>
          <w:tab w:pos="699" w:val="left"/>
        </w:tabs>
        <w:bidi w:val="0"/>
        <w:spacing w:before="0" w:after="280" w:line="274" w:lineRule="exact"/>
        <w:ind w:left="0" w:right="0" w:firstLine="0"/>
        <w:jc w:val="left"/>
      </w:pPr>
      <w:bookmarkStart w:id="46" w:name="bookmark46"/>
      <w:r>
        <w:rPr>
          <w:color w:val="000000"/>
          <w:spacing w:val="0"/>
          <w:w w:val="100"/>
          <w:position w:val="0"/>
        </w:rPr>
        <w:t>（</w:t>
      </w:r>
      <w:bookmarkEnd w:id="46"/>
      <w:r>
        <w:rPr>
          <w:color w:val="000000"/>
          <w:spacing w:val="0"/>
          <w:w w:val="100"/>
          <w:position w:val="0"/>
        </w:rPr>
        <w:t>二）</w:t>
        <w:tab/>
        <w:t>指导思想：头要冷，心要热，劲要足，步要准，识事务，做该做能做且可以做好的事。 不错失机遇，不急于求成。把能使的劲使出，把能做的事做好。</w:t>
      </w:r>
    </w:p>
    <w:p>
      <w:pPr>
        <w:pStyle w:val="Style13"/>
        <w:keepNext w:val="0"/>
        <w:keepLines w:val="0"/>
        <w:widowControl w:val="0"/>
        <w:shd w:val="clear" w:color="auto" w:fill="auto"/>
        <w:bidi w:val="0"/>
        <w:spacing w:before="0" w:after="0" w:line="240" w:lineRule="auto"/>
        <w:ind w:left="0" w:right="0" w:firstLine="0"/>
        <w:jc w:val="left"/>
      </w:pPr>
      <w:bookmarkStart w:id="47" w:name="bookmark47"/>
      <w:r>
        <w:rPr>
          <w:rFonts w:ascii="Times New Roman" w:eastAsia="Times New Roman" w:hAnsi="Times New Roman" w:cs="Times New Roman"/>
          <w:color w:val="000000"/>
          <w:spacing w:val="0"/>
          <w:w w:val="100"/>
          <w:position w:val="0"/>
        </w:rPr>
        <w:t>（</w:t>
      </w:r>
      <w:bookmarkEnd w:id="47"/>
      <w:r>
        <w:rPr>
          <w:color w:val="000000"/>
          <w:spacing w:val="0"/>
          <w:w w:val="100"/>
          <w:position w:val="0"/>
        </w:rPr>
        <w:t>三</w:t>
      </w:r>
      <w:r>
        <w:rPr>
          <w:color w:val="000000"/>
          <w:spacing w:val="0"/>
          <w:w w:val="100"/>
          <w:position w:val="0"/>
        </w:rPr>
        <w:t>）</w:t>
      </w:r>
      <w:r>
        <w:rPr>
          <w:color w:val="000000"/>
          <w:spacing w:val="0"/>
          <w:w w:val="100"/>
          <w:position w:val="0"/>
        </w:rPr>
        <w:t>经营计划</w:t>
      </w:r>
    </w:p>
    <w:p>
      <w:pPr>
        <w:pStyle w:val="Style13"/>
        <w:keepNext w:val="0"/>
        <w:keepLines w:val="0"/>
        <w:widowControl w:val="0"/>
        <w:shd w:val="clear" w:color="auto" w:fill="auto"/>
        <w:tabs>
          <w:tab w:pos="426" w:val="left"/>
        </w:tabs>
        <w:bidi w:val="0"/>
        <w:spacing w:before="0" w:after="0" w:line="281" w:lineRule="exact"/>
        <w:ind w:left="0" w:right="0" w:firstLine="0"/>
        <w:jc w:val="left"/>
      </w:pPr>
      <w:bookmarkStart w:id="48" w:name="bookmark48"/>
      <w:r>
        <w:rPr>
          <w:rFonts w:ascii="Times New Roman" w:eastAsia="Times New Roman" w:hAnsi="Times New Roman" w:cs="Times New Roman"/>
          <w:color w:val="000000"/>
          <w:spacing w:val="0"/>
          <w:w w:val="100"/>
          <w:position w:val="0"/>
        </w:rPr>
        <w:t>A</w:t>
      </w:r>
      <w:bookmarkEnd w:id="48"/>
      <w:r>
        <w:rPr>
          <w:color w:val="000000"/>
          <w:spacing w:val="0"/>
          <w:w w:val="100"/>
          <w:position w:val="0"/>
        </w:rPr>
        <w:t>、</w:t>
        <w:tab/>
      </w:r>
      <w:r>
        <w:rPr>
          <w:color w:val="000000"/>
          <w:spacing w:val="0"/>
          <w:w w:val="100"/>
          <w:position w:val="0"/>
        </w:rPr>
        <w:t>主要经营目标：实现营业收入</w:t>
      </w:r>
      <w:r>
        <w:rPr>
          <w:rFonts w:ascii="Times New Roman" w:eastAsia="Times New Roman" w:hAnsi="Times New Roman" w:cs="Times New Roman"/>
          <w:color w:val="000000"/>
          <w:spacing w:val="0"/>
          <w:w w:val="100"/>
          <w:position w:val="0"/>
        </w:rPr>
        <w:t>12</w:t>
      </w:r>
      <w:r>
        <w:rPr>
          <w:color w:val="000000"/>
          <w:spacing w:val="0"/>
          <w:w w:val="100"/>
          <w:position w:val="0"/>
        </w:rPr>
        <w:t>亿元，成本费用控制在</w:t>
      </w:r>
      <w:r>
        <w:rPr>
          <w:rFonts w:ascii="Times New Roman" w:eastAsia="Times New Roman" w:hAnsi="Times New Roman" w:cs="Times New Roman"/>
          <w:color w:val="000000"/>
          <w:spacing w:val="0"/>
          <w:w w:val="100"/>
          <w:position w:val="0"/>
        </w:rPr>
        <w:t>11.2</w:t>
      </w:r>
      <w:r>
        <w:rPr>
          <w:color w:val="000000"/>
          <w:spacing w:val="0"/>
          <w:w w:val="100"/>
          <w:position w:val="0"/>
        </w:rPr>
        <w:t>亿元。利润（扣除非经营性损 益）、出口、税收、职工收入等预期性指标比</w:t>
      </w:r>
      <w:r>
        <w:rPr>
          <w:rFonts w:ascii="Times New Roman" w:eastAsia="Times New Roman" w:hAnsi="Times New Roman" w:cs="Times New Roman"/>
          <w:color w:val="000000"/>
          <w:spacing w:val="0"/>
          <w:w w:val="100"/>
          <w:position w:val="0"/>
        </w:rPr>
        <w:t>2013</w:t>
      </w:r>
      <w:r>
        <w:rPr>
          <w:color w:val="000000"/>
          <w:spacing w:val="0"/>
          <w:w w:val="100"/>
          <w:position w:val="0"/>
        </w:rPr>
        <w:t>年有所增长，万元产值综合能耗等约束性指 标达到上级下达的考核要求。</w:t>
      </w:r>
    </w:p>
    <w:p>
      <w:pPr>
        <w:pStyle w:val="Style13"/>
        <w:keepNext w:val="0"/>
        <w:keepLines w:val="0"/>
        <w:widowControl w:val="0"/>
        <w:shd w:val="clear" w:color="auto" w:fill="auto"/>
        <w:tabs>
          <w:tab w:pos="426" w:val="left"/>
        </w:tabs>
        <w:bidi w:val="0"/>
        <w:spacing w:before="0" w:after="0" w:line="281" w:lineRule="exact"/>
        <w:ind w:left="0" w:right="0" w:firstLine="0"/>
        <w:jc w:val="left"/>
      </w:pPr>
      <w:bookmarkStart w:id="49" w:name="bookmark49"/>
      <w:r>
        <w:rPr>
          <w:rFonts w:ascii="Times New Roman" w:eastAsia="Times New Roman" w:hAnsi="Times New Roman" w:cs="Times New Roman"/>
          <w:color w:val="000000"/>
          <w:spacing w:val="0"/>
          <w:w w:val="100"/>
          <w:position w:val="0"/>
        </w:rPr>
        <w:t>B</w:t>
      </w:r>
      <w:bookmarkEnd w:id="49"/>
      <w:r>
        <w:rPr>
          <w:color w:val="000000"/>
          <w:spacing w:val="0"/>
          <w:w w:val="100"/>
          <w:position w:val="0"/>
        </w:rPr>
        <w:t>、</w:t>
        <w:tab/>
      </w:r>
      <w:r>
        <w:rPr>
          <w:color w:val="000000"/>
          <w:spacing w:val="0"/>
          <w:w w:val="100"/>
          <w:position w:val="0"/>
        </w:rPr>
        <w:t>重要和较重要工作：</w:t>
      </w:r>
    </w:p>
    <w:p>
      <w:pPr>
        <w:pStyle w:val="Style13"/>
        <w:keepNext w:val="0"/>
        <w:keepLines w:val="0"/>
        <w:widowControl w:val="0"/>
        <w:shd w:val="clear" w:color="auto" w:fill="auto"/>
        <w:tabs>
          <w:tab w:pos="354" w:val="left"/>
        </w:tabs>
        <w:bidi w:val="0"/>
        <w:spacing w:before="0" w:after="0" w:line="281" w:lineRule="exact"/>
        <w:ind w:left="0" w:right="0" w:firstLine="0"/>
        <w:jc w:val="left"/>
      </w:pPr>
      <w:bookmarkStart w:id="50" w:name="bookmark50"/>
      <w:r>
        <w:rPr>
          <w:rFonts w:ascii="Times New Roman" w:eastAsia="Times New Roman" w:hAnsi="Times New Roman" w:cs="Times New Roman"/>
          <w:color w:val="000000"/>
          <w:spacing w:val="0"/>
          <w:w w:val="100"/>
          <w:position w:val="0"/>
        </w:rPr>
        <w:t>1</w:t>
      </w:r>
      <w:bookmarkEnd w:id="50"/>
      <w:r>
        <w:rPr>
          <w:color w:val="000000"/>
          <w:spacing w:val="0"/>
          <w:w w:val="100"/>
          <w:position w:val="0"/>
        </w:rPr>
        <w:t>、</w:t>
        <w:tab/>
        <w:t>结合印染行业专项整治，提升发展传统产业。</w:t>
      </w:r>
    </w:p>
    <w:p>
      <w:pPr>
        <w:pStyle w:val="Style13"/>
        <w:keepNext w:val="0"/>
        <w:keepLines w:val="0"/>
        <w:widowControl w:val="0"/>
        <w:shd w:val="clear" w:color="auto" w:fill="auto"/>
        <w:bidi w:val="0"/>
        <w:spacing w:before="0" w:after="0" w:line="281" w:lineRule="exact"/>
        <w:ind w:left="0" w:right="0" w:firstLine="0"/>
        <w:jc w:val="left"/>
      </w:pPr>
      <w:bookmarkStart w:id="51" w:name="bookmark51"/>
      <w:r>
        <w:rPr>
          <w:rFonts w:ascii="Times New Roman" w:eastAsia="Times New Roman" w:hAnsi="Times New Roman" w:cs="Times New Roman"/>
          <w:color w:val="000000"/>
          <w:spacing w:val="0"/>
          <w:w w:val="100"/>
          <w:position w:val="0"/>
        </w:rPr>
        <w:t>2</w:t>
      </w:r>
      <w:bookmarkEnd w:id="51"/>
      <w:r>
        <w:rPr>
          <w:color w:val="000000"/>
          <w:spacing w:val="0"/>
          <w:w w:val="100"/>
          <w:position w:val="0"/>
        </w:rPr>
        <w:t>、 寻找合适的投资项目，稳步实现产业转型。</w:t>
      </w:r>
    </w:p>
    <w:p>
      <w:pPr>
        <w:pStyle w:val="Style13"/>
        <w:keepNext w:val="0"/>
        <w:keepLines w:val="0"/>
        <w:widowControl w:val="0"/>
        <w:shd w:val="clear" w:color="auto" w:fill="auto"/>
        <w:tabs>
          <w:tab w:pos="373" w:val="left"/>
        </w:tabs>
        <w:bidi w:val="0"/>
        <w:spacing w:before="0" w:after="0" w:line="281" w:lineRule="exact"/>
        <w:ind w:left="0" w:right="0" w:firstLine="0"/>
        <w:jc w:val="left"/>
      </w:pPr>
      <w:bookmarkStart w:id="52" w:name="bookmark52"/>
      <w:r>
        <w:rPr>
          <w:rFonts w:ascii="Times New Roman" w:eastAsia="Times New Roman" w:hAnsi="Times New Roman" w:cs="Times New Roman"/>
          <w:color w:val="000000"/>
          <w:spacing w:val="0"/>
          <w:w w:val="100"/>
          <w:position w:val="0"/>
        </w:rPr>
        <w:t>3</w:t>
      </w:r>
      <w:bookmarkEnd w:id="52"/>
      <w:r>
        <w:rPr>
          <w:color w:val="000000"/>
          <w:spacing w:val="0"/>
          <w:w w:val="100"/>
          <w:position w:val="0"/>
        </w:rPr>
        <w:t>、</w:t>
        <w:tab/>
        <w:t>推进城东富润屋建设，推进废旧军服回收利用项目。</w:t>
      </w:r>
    </w:p>
    <w:p>
      <w:pPr>
        <w:pStyle w:val="Style13"/>
        <w:keepNext w:val="0"/>
        <w:keepLines w:val="0"/>
        <w:widowControl w:val="0"/>
        <w:shd w:val="clear" w:color="auto" w:fill="auto"/>
        <w:tabs>
          <w:tab w:pos="373" w:val="left"/>
        </w:tabs>
        <w:bidi w:val="0"/>
        <w:spacing w:before="0" w:after="0" w:line="288" w:lineRule="exact"/>
        <w:ind w:left="0" w:right="0" w:firstLine="0"/>
        <w:jc w:val="left"/>
      </w:pPr>
      <w:bookmarkStart w:id="53" w:name="bookmark53"/>
      <w:r>
        <w:rPr>
          <w:rFonts w:ascii="Times New Roman" w:eastAsia="Times New Roman" w:hAnsi="Times New Roman" w:cs="Times New Roman"/>
          <w:color w:val="000000"/>
          <w:spacing w:val="0"/>
          <w:w w:val="100"/>
          <w:position w:val="0"/>
        </w:rPr>
        <w:t>4</w:t>
      </w:r>
      <w:bookmarkEnd w:id="53"/>
      <w:r>
        <w:rPr>
          <w:color w:val="000000"/>
          <w:spacing w:val="0"/>
          <w:w w:val="100"/>
          <w:position w:val="0"/>
        </w:rPr>
        <w:t>、</w:t>
        <w:tab/>
        <w:t>加强投资项目管理，提升回报意识。</w:t>
      </w:r>
    </w:p>
    <w:p>
      <w:pPr>
        <w:pStyle w:val="Style13"/>
        <w:keepNext w:val="0"/>
        <w:keepLines w:val="0"/>
        <w:widowControl w:val="0"/>
        <w:shd w:val="clear" w:color="auto" w:fill="auto"/>
        <w:tabs>
          <w:tab w:pos="373" w:val="left"/>
        </w:tabs>
        <w:bidi w:val="0"/>
        <w:spacing w:before="0" w:after="0" w:line="288" w:lineRule="exact"/>
        <w:ind w:left="0" w:right="0" w:firstLine="0"/>
        <w:jc w:val="left"/>
      </w:pPr>
      <w:bookmarkStart w:id="54" w:name="bookmark54"/>
      <w:r>
        <w:rPr>
          <w:rFonts w:ascii="Times New Roman" w:eastAsia="Times New Roman" w:hAnsi="Times New Roman" w:cs="Times New Roman"/>
          <w:color w:val="000000"/>
          <w:spacing w:val="0"/>
          <w:w w:val="100"/>
          <w:position w:val="0"/>
        </w:rPr>
        <w:t>5</w:t>
      </w:r>
      <w:bookmarkEnd w:id="54"/>
      <w:r>
        <w:rPr>
          <w:color w:val="000000"/>
          <w:spacing w:val="0"/>
          <w:w w:val="100"/>
          <w:position w:val="0"/>
        </w:rPr>
        <w:t>、</w:t>
        <w:tab/>
        <w:t>推进内部控制规范建设，提高规范运作水平，保护中小投资者合法权益。</w:t>
      </w:r>
    </w:p>
    <w:p>
      <w:pPr>
        <w:pStyle w:val="Style13"/>
        <w:keepNext w:val="0"/>
        <w:keepLines w:val="0"/>
        <w:widowControl w:val="0"/>
        <w:shd w:val="clear" w:color="auto" w:fill="auto"/>
        <w:tabs>
          <w:tab w:pos="373" w:val="left"/>
        </w:tabs>
        <w:bidi w:val="0"/>
        <w:spacing w:before="0" w:after="0" w:line="288" w:lineRule="exact"/>
        <w:ind w:left="0" w:right="0" w:firstLine="0"/>
        <w:jc w:val="left"/>
      </w:pPr>
      <w:bookmarkStart w:id="55" w:name="bookmark55"/>
      <w:r>
        <w:rPr>
          <w:rFonts w:ascii="Times New Roman" w:eastAsia="Times New Roman" w:hAnsi="Times New Roman" w:cs="Times New Roman"/>
          <w:color w:val="000000"/>
          <w:spacing w:val="0"/>
          <w:w w:val="100"/>
          <w:position w:val="0"/>
        </w:rPr>
        <w:t>6</w:t>
      </w:r>
      <w:bookmarkEnd w:id="55"/>
      <w:r>
        <w:rPr>
          <w:color w:val="000000"/>
          <w:spacing w:val="0"/>
          <w:w w:val="100"/>
          <w:position w:val="0"/>
        </w:rPr>
        <w:t>、</w:t>
        <w:tab/>
        <w:t>发挥上市公司平台功能，努力做大市值。</w:t>
      </w:r>
    </w:p>
    <w:p>
      <w:pPr>
        <w:pStyle w:val="Style13"/>
        <w:keepNext w:val="0"/>
        <w:keepLines w:val="0"/>
        <w:widowControl w:val="0"/>
        <w:shd w:val="clear" w:color="auto" w:fill="auto"/>
        <w:tabs>
          <w:tab w:pos="373" w:val="left"/>
        </w:tabs>
        <w:bidi w:val="0"/>
        <w:spacing w:before="0" w:after="0" w:line="288" w:lineRule="exact"/>
        <w:ind w:left="0" w:right="0" w:firstLine="0"/>
        <w:jc w:val="left"/>
      </w:pPr>
      <w:bookmarkStart w:id="56" w:name="bookmark56"/>
      <w:r>
        <w:rPr>
          <w:rFonts w:ascii="Times New Roman" w:eastAsia="Times New Roman" w:hAnsi="Times New Roman" w:cs="Times New Roman"/>
          <w:color w:val="000000"/>
          <w:spacing w:val="0"/>
          <w:w w:val="100"/>
          <w:position w:val="0"/>
        </w:rPr>
        <w:t>7</w:t>
      </w:r>
      <w:bookmarkEnd w:id="56"/>
      <w:r>
        <w:rPr>
          <w:color w:val="000000"/>
          <w:spacing w:val="0"/>
          <w:w w:val="100"/>
          <w:position w:val="0"/>
        </w:rPr>
        <w:t>、</w:t>
        <w:tab/>
        <w:t>抓好安全生产、节能减排、环境保护、科技创新等日常工作，推行精细化管理。</w:t>
      </w:r>
    </w:p>
    <w:p>
      <w:pPr>
        <w:pStyle w:val="Style13"/>
        <w:keepNext w:val="0"/>
        <w:keepLines w:val="0"/>
        <w:widowControl w:val="0"/>
        <w:shd w:val="clear" w:color="auto" w:fill="auto"/>
        <w:tabs>
          <w:tab w:pos="373" w:val="left"/>
        </w:tabs>
        <w:bidi w:val="0"/>
        <w:spacing w:before="0" w:after="480" w:line="288" w:lineRule="exact"/>
        <w:ind w:left="0" w:right="0" w:firstLine="0"/>
        <w:jc w:val="left"/>
      </w:pPr>
      <w:bookmarkStart w:id="57" w:name="bookmark57"/>
      <w:r>
        <w:rPr>
          <w:rFonts w:ascii="Times New Roman" w:eastAsia="Times New Roman" w:hAnsi="Times New Roman" w:cs="Times New Roman"/>
          <w:color w:val="000000"/>
          <w:spacing w:val="0"/>
          <w:w w:val="100"/>
          <w:position w:val="0"/>
        </w:rPr>
        <w:t>8</w:t>
      </w:r>
      <w:bookmarkEnd w:id="57"/>
      <w:r>
        <w:rPr>
          <w:color w:val="000000"/>
          <w:spacing w:val="0"/>
          <w:w w:val="100"/>
          <w:position w:val="0"/>
        </w:rPr>
        <w:t>、</w:t>
        <w:tab/>
        <w:t>加强企业文化建设，以《经常性思想政治工作条例》（《六十条》）为载体，实施党建思想政 治工作标准化管理。</w:t>
      </w:r>
    </w:p>
    <w:p>
      <w:pPr>
        <w:pStyle w:val="Style13"/>
        <w:keepNext w:val="0"/>
        <w:keepLines w:val="0"/>
        <w:widowControl w:val="0"/>
        <w:shd w:val="clear" w:color="auto" w:fill="auto"/>
        <w:tabs>
          <w:tab w:pos="569" w:val="left"/>
        </w:tabs>
        <w:bidi w:val="0"/>
        <w:spacing w:before="0" w:after="0" w:line="274" w:lineRule="exact"/>
        <w:ind w:left="0" w:right="0" w:firstLine="0"/>
        <w:jc w:val="left"/>
      </w:pPr>
      <w:bookmarkStart w:id="58" w:name="bookmark58"/>
      <w:r>
        <w:rPr>
          <w:rFonts w:ascii="Times New Roman" w:eastAsia="Times New Roman" w:hAnsi="Times New Roman" w:cs="Times New Roman"/>
          <w:color w:val="000000"/>
          <w:spacing w:val="0"/>
          <w:w w:val="100"/>
          <w:position w:val="0"/>
        </w:rPr>
        <w:t>（</w:t>
      </w:r>
      <w:bookmarkEnd w:id="58"/>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因维持当前业务并完成在建投资项目公司所需的资金需求</w:t>
      </w:r>
    </w:p>
    <w:p>
      <w:pPr>
        <w:pStyle w:val="Style13"/>
        <w:keepNext w:val="0"/>
        <w:keepLines w:val="0"/>
        <w:widowControl w:val="0"/>
        <w:shd w:val="clear" w:color="auto" w:fill="auto"/>
        <w:bidi w:val="0"/>
        <w:spacing w:before="0" w:after="220" w:line="274" w:lineRule="exact"/>
        <w:ind w:left="0" w:right="0" w:firstLine="0"/>
        <w:jc w:val="left"/>
      </w:pPr>
      <w:r>
        <w:rPr>
          <w:color w:val="000000"/>
          <w:spacing w:val="0"/>
          <w:w w:val="100"/>
          <w:position w:val="0"/>
        </w:rPr>
        <w:t>公司目前的资金情况可基本维持当前业务及在建投资项目所需的资金需求。公司未来暂没有重 大的资本支出计划。</w:t>
      </w:r>
    </w:p>
    <w:p>
      <w:pPr>
        <w:pStyle w:val="Style13"/>
        <w:keepNext w:val="0"/>
        <w:keepLines w:val="0"/>
        <w:widowControl w:val="0"/>
        <w:shd w:val="clear" w:color="auto" w:fill="auto"/>
        <w:tabs>
          <w:tab w:pos="569" w:val="left"/>
        </w:tabs>
        <w:bidi w:val="0"/>
        <w:spacing w:before="0" w:after="0" w:line="269" w:lineRule="exact"/>
        <w:ind w:left="0" w:right="0" w:firstLine="0"/>
        <w:jc w:val="left"/>
      </w:pPr>
      <w:bookmarkStart w:id="59" w:name="bookmark59"/>
      <w:r>
        <w:rPr>
          <w:rFonts w:ascii="Times New Roman" w:eastAsia="Times New Roman" w:hAnsi="Times New Roman" w:cs="Times New Roman"/>
          <w:color w:val="000000"/>
          <w:spacing w:val="0"/>
          <w:w w:val="100"/>
          <w:position w:val="0"/>
        </w:rPr>
        <w:t>（</w:t>
      </w:r>
      <w:bookmarkEnd w:id="59"/>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可能面对的风险</w:t>
      </w:r>
    </w:p>
    <w:p>
      <w:pPr>
        <w:pStyle w:val="Style1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、营业收入减少的风险。主要是国内市场消费趋缓、国际市场需求不足，市场竞争激烈、创新 能力不够；</w:t>
      </w:r>
      <w:r>
        <w:rPr>
          <w:rFonts w:ascii="Times New Roman" w:eastAsia="Times New Roman" w:hAnsi="Times New Roman" w:cs="Times New Roman"/>
          <w:color w:val="000000"/>
          <w:spacing w:val="0"/>
          <w:w w:val="100"/>
          <w:position w:val="0"/>
        </w:rPr>
        <w:t>2</w:t>
      </w:r>
      <w:r>
        <w:rPr>
          <w:color w:val="000000"/>
          <w:spacing w:val="0"/>
          <w:w w:val="100"/>
          <w:position w:val="0"/>
        </w:rPr>
        <w:t>、盈利能力下降的风险。主要是资金、劳动力等要素成本上升、环境保护压力增大;</w:t>
      </w:r>
    </w:p>
    <w:p>
      <w:pPr>
        <w:pStyle w:val="Style13"/>
        <w:keepNext w:val="0"/>
        <w:keepLines w:val="0"/>
        <w:widowControl w:val="0"/>
        <w:shd w:val="clear" w:color="auto" w:fill="auto"/>
        <w:bidi w:val="0"/>
        <w:spacing w:before="0" w:after="220" w:line="269"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、综合实力减弱的风险。主要是资本规模不大、行业投资分散、控制能力不强。</w:t>
      </w:r>
    </w:p>
    <w:p>
      <w:pPr>
        <w:pStyle w:val="Style13"/>
        <w:keepNext w:val="0"/>
        <w:keepLines w:val="0"/>
        <w:widowControl w:val="0"/>
        <w:shd w:val="clear" w:color="auto" w:fill="auto"/>
        <w:tabs>
          <w:tab w:pos="569" w:val="left"/>
        </w:tabs>
        <w:bidi w:val="0"/>
        <w:spacing w:before="0" w:after="0" w:line="274" w:lineRule="exact"/>
        <w:ind w:left="0" w:right="0" w:firstLine="0"/>
        <w:jc w:val="left"/>
      </w:pPr>
      <w:bookmarkStart w:id="60" w:name="bookmark60"/>
      <w:r>
        <w:rPr>
          <w:color w:val="000000"/>
          <w:spacing w:val="0"/>
          <w:w w:val="100"/>
          <w:position w:val="0"/>
        </w:rPr>
        <w:t>三</w:t>
      </w:r>
      <w:bookmarkEnd w:id="60"/>
      <w:r>
        <w:rPr>
          <w:color w:val="000000"/>
          <w:spacing w:val="0"/>
          <w:w w:val="100"/>
          <w:position w:val="0"/>
        </w:rPr>
        <w:t>、</w:t>
        <w:tab/>
        <w:t>董事会对会计师事务所“非标准审计报告”的说明</w:t>
      </w:r>
    </w:p>
    <w:p>
      <w:pPr>
        <w:pStyle w:val="Style13"/>
        <w:keepNext w:val="0"/>
        <w:keepLines w:val="0"/>
        <w:widowControl w:val="0"/>
        <w:shd w:val="clear" w:color="auto" w:fill="auto"/>
        <w:tabs>
          <w:tab w:pos="569" w:val="left"/>
        </w:tabs>
        <w:bidi w:val="0"/>
        <w:spacing w:before="0" w:after="0" w:line="274" w:lineRule="exact"/>
        <w:ind w:left="0" w:right="0" w:firstLine="0"/>
        <w:jc w:val="left"/>
      </w:pPr>
      <w:bookmarkStart w:id="61" w:name="bookmark61"/>
      <w:r>
        <w:rPr>
          <w:rFonts w:ascii="Times New Roman" w:eastAsia="Times New Roman" w:hAnsi="Times New Roman" w:cs="Times New Roman"/>
          <w:color w:val="000000"/>
          <w:spacing w:val="0"/>
          <w:w w:val="100"/>
          <w:position w:val="0"/>
        </w:rPr>
        <w:t>（</w:t>
      </w:r>
      <w:bookmarkEnd w:id="61"/>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董事会、监事会对会计师事务所“非标准审计报告”的说明</w:t>
      </w:r>
    </w:p>
    <w:p>
      <w:pPr>
        <w:pStyle w:val="Style13"/>
        <w:keepNext w:val="0"/>
        <w:keepLines w:val="0"/>
        <w:widowControl w:val="0"/>
        <w:shd w:val="clear" w:color="auto" w:fill="auto"/>
        <w:bidi w:val="0"/>
        <w:spacing w:before="0" w:after="220" w:line="274" w:lineRule="exact"/>
        <w:ind w:left="0" w:right="0" w:firstLine="0"/>
        <w:jc w:val="left"/>
      </w:pPr>
      <w:r>
        <w:rPr>
          <w:rFonts w:ascii="Arial Unicode MS" w:eastAsia="Arial Unicode MS" w:hAnsi="Arial Unicode MS" w:cs="Arial Unicode MS"/>
          <w:color w:val="000000"/>
          <w:spacing w:val="0"/>
          <w:w w:val="100"/>
          <w:position w:val="0"/>
          <w:sz w:val="17"/>
          <w:szCs w:val="17"/>
        </w:rPr>
        <w:t>V</w:t>
      </w:r>
      <w:r>
        <w:rPr>
          <w:color w:val="000000"/>
          <w:spacing w:val="0"/>
          <w:w w:val="100"/>
          <w:position w:val="0"/>
        </w:rPr>
        <w:t>不适用</w:t>
      </w:r>
    </w:p>
    <w:p>
      <w:pPr>
        <w:pStyle w:val="Style13"/>
        <w:keepNext w:val="0"/>
        <w:keepLines w:val="0"/>
        <w:widowControl w:val="0"/>
        <w:shd w:val="clear" w:color="auto" w:fill="auto"/>
        <w:tabs>
          <w:tab w:pos="569" w:val="left"/>
        </w:tabs>
        <w:bidi w:val="0"/>
        <w:spacing w:before="0" w:after="0" w:line="274" w:lineRule="exact"/>
        <w:ind w:left="0" w:right="0" w:firstLine="0"/>
        <w:jc w:val="left"/>
      </w:pPr>
      <w:bookmarkStart w:id="62" w:name="bookmark62"/>
      <w:r>
        <w:rPr>
          <w:rFonts w:ascii="Times New Roman" w:eastAsia="Times New Roman" w:hAnsi="Times New Roman" w:cs="Times New Roman"/>
          <w:color w:val="000000"/>
          <w:spacing w:val="0"/>
          <w:w w:val="100"/>
          <w:position w:val="0"/>
        </w:rPr>
        <w:t>（</w:t>
      </w:r>
      <w:bookmarkEnd w:id="6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董事会对会计政策、会计估计或核算方法变更的原因和影响的分析说明</w:t>
      </w:r>
    </w:p>
    <w:p>
      <w:pPr>
        <w:pStyle w:val="Style13"/>
        <w:keepNext w:val="0"/>
        <w:keepLines w:val="0"/>
        <w:widowControl w:val="0"/>
        <w:shd w:val="clear" w:color="auto" w:fill="auto"/>
        <w:bidi w:val="0"/>
        <w:spacing w:before="0" w:after="220" w:line="274" w:lineRule="exact"/>
        <w:ind w:left="0" w:right="0" w:firstLine="0"/>
        <w:jc w:val="left"/>
      </w:pPr>
      <w:r>
        <w:rPr>
          <w:rFonts w:ascii="Arial Unicode MS" w:eastAsia="Arial Unicode MS" w:hAnsi="Arial Unicode MS" w:cs="Arial Unicode MS"/>
          <w:color w:val="000000"/>
          <w:spacing w:val="0"/>
          <w:w w:val="100"/>
          <w:position w:val="0"/>
          <w:sz w:val="17"/>
          <w:szCs w:val="17"/>
        </w:rPr>
        <w:t>V</w:t>
      </w:r>
      <w:r>
        <w:rPr>
          <w:color w:val="000000"/>
          <w:spacing w:val="0"/>
          <w:w w:val="100"/>
          <w:position w:val="0"/>
        </w:rPr>
        <w:t>不适用</w:t>
      </w:r>
    </w:p>
    <w:p>
      <w:pPr>
        <w:pStyle w:val="Style13"/>
        <w:keepNext w:val="0"/>
        <w:keepLines w:val="0"/>
        <w:widowControl w:val="0"/>
        <w:shd w:val="clear" w:color="auto" w:fill="auto"/>
        <w:tabs>
          <w:tab w:pos="569" w:val="left"/>
        </w:tabs>
        <w:bidi w:val="0"/>
        <w:spacing w:before="0" w:after="0" w:line="274" w:lineRule="exact"/>
        <w:ind w:left="0" w:right="0" w:firstLine="0"/>
        <w:jc w:val="left"/>
      </w:pPr>
      <w:bookmarkStart w:id="63" w:name="bookmark63"/>
      <w:r>
        <w:rPr>
          <w:rFonts w:ascii="Times New Roman" w:eastAsia="Times New Roman" w:hAnsi="Times New Roman" w:cs="Times New Roman"/>
          <w:color w:val="000000"/>
          <w:spacing w:val="0"/>
          <w:w w:val="100"/>
          <w:position w:val="0"/>
        </w:rPr>
        <w:t>（</w:t>
      </w:r>
      <w:bookmarkEnd w:id="6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董事会对重要前期差错更正的原因及影响的分析说明</w:t>
      </w:r>
    </w:p>
    <w:p>
      <w:pPr>
        <w:pStyle w:val="Style13"/>
        <w:keepNext w:val="0"/>
        <w:keepLines w:val="0"/>
        <w:widowControl w:val="0"/>
        <w:shd w:val="clear" w:color="auto" w:fill="auto"/>
        <w:bidi w:val="0"/>
        <w:spacing w:before="0" w:after="220" w:line="274" w:lineRule="exact"/>
        <w:ind w:left="0" w:right="0" w:firstLine="0"/>
        <w:jc w:val="left"/>
      </w:pPr>
      <w:r>
        <w:rPr>
          <w:rFonts w:ascii="Arial Unicode MS" w:eastAsia="Arial Unicode MS" w:hAnsi="Arial Unicode MS" w:cs="Arial Unicode MS"/>
          <w:color w:val="000000"/>
          <w:spacing w:val="0"/>
          <w:w w:val="100"/>
          <w:position w:val="0"/>
          <w:sz w:val="17"/>
          <w:szCs w:val="17"/>
        </w:rPr>
        <w:t>V</w:t>
      </w:r>
      <w:r>
        <w:rPr>
          <w:color w:val="000000"/>
          <w:spacing w:val="0"/>
          <w:w w:val="100"/>
          <w:position w:val="0"/>
        </w:rPr>
        <w:t>不适用</w:t>
      </w:r>
    </w:p>
    <w:p>
      <w:pPr>
        <w:pStyle w:val="Style13"/>
        <w:keepNext w:val="0"/>
        <w:keepLines w:val="0"/>
        <w:widowControl w:val="0"/>
        <w:shd w:val="clear" w:color="auto" w:fill="auto"/>
        <w:tabs>
          <w:tab w:pos="569" w:val="left"/>
        </w:tabs>
        <w:bidi w:val="0"/>
        <w:spacing w:before="0" w:after="0" w:line="275" w:lineRule="exact"/>
        <w:ind w:left="0" w:right="0" w:firstLine="0"/>
        <w:jc w:val="left"/>
      </w:pPr>
      <w:bookmarkStart w:id="64" w:name="bookmark64"/>
      <w:r>
        <w:rPr>
          <w:color w:val="000000"/>
          <w:spacing w:val="0"/>
          <w:w w:val="100"/>
          <w:position w:val="0"/>
        </w:rPr>
        <w:t>四</w:t>
      </w:r>
      <w:bookmarkEnd w:id="64"/>
      <w:r>
        <w:rPr>
          <w:color w:val="000000"/>
          <w:spacing w:val="0"/>
          <w:w w:val="100"/>
          <w:position w:val="0"/>
        </w:rPr>
        <w:t>、</w:t>
        <w:tab/>
        <w:t>利润分配或资本公积金转增预案</w:t>
      </w:r>
    </w:p>
    <w:p>
      <w:pPr>
        <w:pStyle w:val="Style13"/>
        <w:keepNext w:val="0"/>
        <w:keepLines w:val="0"/>
        <w:widowControl w:val="0"/>
        <w:shd w:val="clear" w:color="auto" w:fill="auto"/>
        <w:bidi w:val="0"/>
        <w:spacing w:before="0" w:after="0" w:line="275" w:lineRule="exact"/>
        <w:ind w:left="0" w:right="0" w:firstLine="0"/>
        <w:jc w:val="left"/>
      </w:pPr>
      <w:bookmarkStart w:id="65" w:name="bookmark65"/>
      <w:r>
        <w:rPr>
          <w:rFonts w:ascii="Times New Roman" w:eastAsia="Times New Roman" w:hAnsi="Times New Roman" w:cs="Times New Roman"/>
          <w:color w:val="000000"/>
          <w:spacing w:val="0"/>
          <w:w w:val="100"/>
          <w:position w:val="0"/>
        </w:rPr>
        <w:t>（</w:t>
      </w:r>
      <w:bookmarkEnd w:id="65"/>
      <w:r>
        <w:rPr>
          <w:color w:val="000000"/>
          <w:spacing w:val="0"/>
          <w:w w:val="100"/>
          <w:position w:val="0"/>
        </w:rPr>
        <w:t>一</w:t>
      </w:r>
      <w:r>
        <w:rPr>
          <w:color w:val="000000"/>
          <w:spacing w:val="0"/>
          <w:w w:val="100"/>
          <w:position w:val="0"/>
        </w:rPr>
        <w:t>）</w:t>
      </w:r>
      <w:r>
        <w:rPr>
          <w:color w:val="000000"/>
          <w:spacing w:val="0"/>
          <w:w w:val="100"/>
          <w:position w:val="0"/>
        </w:rPr>
        <w:t>现金分红政策的制定、执行或调整情况</w:t>
      </w:r>
    </w:p>
    <w:p>
      <w:pPr>
        <w:pStyle w:val="Style13"/>
        <w:keepNext w:val="0"/>
        <w:keepLines w:val="0"/>
        <w:widowControl w:val="0"/>
        <w:shd w:val="clear" w:color="auto" w:fill="auto"/>
        <w:bidi w:val="0"/>
        <w:spacing w:before="0" w:after="220" w:line="275" w:lineRule="exact"/>
        <w:ind w:left="0" w:right="0" w:firstLine="0"/>
        <w:jc w:val="left"/>
      </w:pPr>
      <w:r>
        <w:rPr>
          <w:color w:val="000000"/>
          <w:spacing w:val="0"/>
          <w:w w:val="100"/>
          <w:position w:val="0"/>
        </w:rPr>
        <w:t>根据中国证监会《关于进一步落实上市公司现金分红有关事项的通知》要求，</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 公司召开</w:t>
      </w:r>
      <w:r>
        <w:rPr>
          <w:rFonts w:ascii="Times New Roman" w:eastAsia="Times New Roman" w:hAnsi="Times New Roman" w:cs="Times New Roman"/>
          <w:color w:val="000000"/>
          <w:spacing w:val="0"/>
          <w:w w:val="100"/>
          <w:position w:val="0"/>
        </w:rPr>
        <w:t>2012</w:t>
      </w:r>
      <w:r>
        <w:rPr>
          <w:color w:val="000000"/>
          <w:spacing w:val="0"/>
          <w:w w:val="100"/>
          <w:position w:val="0"/>
        </w:rPr>
        <w:t>年度第一次临时股东大会，对现金分红政策进行修订，明确</w:t>
      </w:r>
      <w:r>
        <w:rPr>
          <w:rFonts w:ascii="Times New Roman" w:eastAsia="Times New Roman" w:hAnsi="Times New Roman" w:cs="Times New Roman"/>
          <w:color w:val="000000"/>
          <w:spacing w:val="0"/>
          <w:w w:val="100"/>
          <w:position w:val="0"/>
        </w:rPr>
        <w:t>"</w:t>
      </w:r>
      <w:r>
        <w:rPr>
          <w:color w:val="000000"/>
          <w:spacing w:val="0"/>
          <w:w w:val="100"/>
          <w:position w:val="0"/>
        </w:rPr>
        <w:t>公司的利润分配政 策应保持连续性和稳定性</w:t>
      </w:r>
      <w:r>
        <w:rPr>
          <w:color w:val="000000"/>
          <w:spacing w:val="0"/>
          <w:w w:val="100"/>
          <w:position w:val="0"/>
        </w:rPr>
        <w:t>，</w:t>
      </w:r>
      <w:r>
        <w:rPr>
          <w:color w:val="000000"/>
          <w:spacing w:val="0"/>
          <w:w w:val="100"/>
          <w:position w:val="0"/>
        </w:rPr>
        <w:t>重视对投资者的合理投资回报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最近三年以现金方式累计分配的利 润不少于最近三年实现的年均可分配利润的百分之三十</w:t>
      </w:r>
      <w:r>
        <w:rPr>
          <w:rFonts w:ascii="Times New Roman" w:eastAsia="Times New Roman" w:hAnsi="Times New Roman" w:cs="Times New Roman"/>
          <w:color w:val="000000"/>
          <w:spacing w:val="0"/>
          <w:w w:val="100"/>
          <w:position w:val="0"/>
        </w:rPr>
        <w:t>"</w:t>
      </w:r>
      <w:r>
        <w:rPr>
          <w:color w:val="000000"/>
          <w:spacing w:val="0"/>
          <w:w w:val="100"/>
          <w:position w:val="0"/>
        </w:rPr>
        <w:t>等条款。</w:t>
      </w:r>
    </w:p>
    <w:p>
      <w:pPr>
        <w:pStyle w:val="Style13"/>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报告期内，公司严格执行利润分配政策，以公司</w:t>
      </w:r>
      <w:r>
        <w:rPr>
          <w:rFonts w:ascii="Times New Roman" w:eastAsia="Times New Roman" w:hAnsi="Times New Roman" w:cs="Times New Roman"/>
          <w:color w:val="000000"/>
          <w:spacing w:val="0"/>
          <w:w w:val="100"/>
          <w:position w:val="0"/>
        </w:rPr>
        <w:t>2012</w:t>
      </w:r>
      <w:r>
        <w:rPr>
          <w:color w:val="000000"/>
          <w:spacing w:val="0"/>
          <w:w w:val="100"/>
          <w:position w:val="0"/>
        </w:rPr>
        <w:t>年末的总股本为基数，向全体股东每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3.00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，现金分红比例为</w:t>
      </w:r>
      <w:r>
        <w:rPr>
          <w:rFonts w:ascii="Times New Roman" w:eastAsia="Times New Roman" w:hAnsi="Times New Roman" w:cs="Times New Roman"/>
          <w:color w:val="000000"/>
          <w:spacing w:val="0"/>
          <w:w w:val="100"/>
          <w:position w:val="0"/>
        </w:rPr>
        <w:t>43.13%</w:t>
      </w:r>
      <w:r>
        <w:rPr>
          <w:color w:val="000000"/>
          <w:spacing w:val="0"/>
          <w:w w:val="100"/>
          <w:position w:val="0"/>
        </w:rPr>
        <w:t>。</w:t>
      </w:r>
    </w:p>
    <w:p>
      <w:pPr>
        <w:pStyle w:val="Style13"/>
        <w:keepNext w:val="0"/>
        <w:keepLines w:val="0"/>
        <w:widowControl w:val="0"/>
        <w:shd w:val="clear" w:color="auto" w:fill="auto"/>
        <w:tabs>
          <w:tab w:pos="571" w:val="left"/>
        </w:tabs>
        <w:bidi w:val="0"/>
        <w:spacing w:before="0" w:after="0" w:line="269" w:lineRule="exact"/>
        <w:ind w:left="0" w:right="0" w:firstLine="0"/>
        <w:jc w:val="left"/>
      </w:pPr>
      <w:bookmarkStart w:id="66" w:name="bookmark66"/>
      <w:r>
        <w:rPr>
          <w:rFonts w:ascii="Times New Roman" w:eastAsia="Times New Roman" w:hAnsi="Times New Roman" w:cs="Times New Roman"/>
          <w:color w:val="000000"/>
          <w:spacing w:val="0"/>
          <w:w w:val="100"/>
          <w:position w:val="0"/>
        </w:rPr>
        <w:t>（</w:t>
      </w:r>
      <w:bookmarkEnd w:id="66"/>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报告期内盈利且母公司未分配利润为正，但未提出现金红利分配预案的，公司应当详细 披露原因以及未分配利润的用途和使用计划</w:t>
      </w:r>
    </w:p>
    <w:p>
      <w:pPr>
        <w:pStyle w:val="Style13"/>
        <w:keepNext w:val="0"/>
        <w:keepLines w:val="0"/>
        <w:widowControl w:val="0"/>
        <w:shd w:val="clear" w:color="auto" w:fill="auto"/>
        <w:bidi w:val="0"/>
        <w:spacing w:before="0" w:after="200" w:line="283" w:lineRule="auto"/>
        <w:ind w:left="0" w:right="0" w:firstLine="0"/>
        <w:jc w:val="left"/>
      </w:pPr>
      <w:r>
        <w:rPr>
          <w:rFonts w:ascii="Arial Unicode MS" w:eastAsia="Arial Unicode MS" w:hAnsi="Arial Unicode MS" w:cs="Arial Unicode MS"/>
          <w:color w:val="000000"/>
          <w:spacing w:val="0"/>
          <w:w w:val="100"/>
          <w:position w:val="0"/>
          <w:sz w:val="17"/>
          <w:szCs w:val="17"/>
        </w:rPr>
        <w:t>V</w:t>
      </w:r>
      <w:r>
        <w:rPr>
          <w:color w:val="000000"/>
          <w:spacing w:val="0"/>
          <w:w w:val="100"/>
          <w:position w:val="0"/>
        </w:rPr>
        <w:t>不适用</w:t>
      </w:r>
    </w:p>
    <w:p>
      <w:pPr>
        <w:pStyle w:val="Style13"/>
        <w:keepNext w:val="0"/>
        <w:keepLines w:val="0"/>
        <w:widowControl w:val="0"/>
        <w:shd w:val="clear" w:color="auto" w:fill="auto"/>
        <w:tabs>
          <w:tab w:pos="571" w:val="left"/>
        </w:tabs>
        <w:bidi w:val="0"/>
        <w:spacing w:before="0" w:after="0" w:line="271" w:lineRule="exact"/>
        <w:ind w:left="0" w:right="0" w:firstLine="0"/>
        <w:jc w:val="left"/>
      </w:pPr>
      <w:bookmarkStart w:id="67" w:name="bookmark67"/>
      <w:r>
        <w:rPr>
          <w:rFonts w:ascii="Times New Roman" w:eastAsia="Times New Roman" w:hAnsi="Times New Roman" w:cs="Times New Roman"/>
          <w:color w:val="000000"/>
          <w:spacing w:val="0"/>
          <w:w w:val="100"/>
          <w:position w:val="0"/>
        </w:rPr>
        <w:t>（</w:t>
      </w:r>
      <w:bookmarkEnd w:id="67"/>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公司近三年（含报告期）的利润分配方案或预案、资本公积金转增股本方案或预案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2"/>
        <w:gridCol w:w="1267"/>
        <w:gridCol w:w="1272"/>
        <w:gridCol w:w="1267"/>
        <w:gridCol w:w="1426"/>
        <w:gridCol w:w="1526"/>
        <w:gridCol w:w="1282"/>
      </w:tblGrid>
      <w:tr>
        <w:trPr>
          <w:trHeight w:val="13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 红股数（股）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现金分红的 数额（含税）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分红年度合并 报表中归属于 上市公司股东 的净利润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占合并报表 中归属于上 市公司股东 的净利润的 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54,863,546.40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122,469,826.80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54,863,546.40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127,201,501.91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43.13</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42,202,728.00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37,509,816.42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112.51</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五、积极履行社会责任的工作情况</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社会责任工作情况</w:t>
      </w:r>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26" w:right="824" w:bottom="1450" w:left="1580" w:header="0" w:footer="3" w:gutter="0"/>
          <w:cols w:space="720"/>
          <w:noEndnote/>
          <w:rtlGutter w:val="0"/>
          <w:docGrid w:linePitch="360"/>
        </w:sectPr>
      </w:pPr>
      <w:r>
        <w:rPr>
          <w:color w:val="000000"/>
          <w:spacing w:val="0"/>
          <w:w w:val="100"/>
          <w:position w:val="0"/>
        </w:rPr>
        <w:t>公司社会责任工作情况详见与本报告同日在上海证券交易所网站披露的</w:t>
      </w:r>
      <w:r>
        <w:rPr>
          <w:rFonts w:ascii="Times New Roman" w:eastAsia="Times New Roman" w:hAnsi="Times New Roman" w:cs="Times New Roman"/>
          <w:color w:val="000000"/>
          <w:spacing w:val="0"/>
          <w:w w:val="100"/>
          <w:position w:val="0"/>
        </w:rPr>
        <w:t>2013</w:t>
      </w:r>
      <w:r>
        <w:rPr>
          <w:color w:val="000000"/>
          <w:spacing w:val="0"/>
          <w:w w:val="100"/>
          <w:position w:val="0"/>
        </w:rPr>
        <w:t>年度环境报告。</w:t>
      </w:r>
    </w:p>
    <w:p>
      <w:pPr>
        <w:pStyle w:val="Style17"/>
        <w:keepNext/>
        <w:keepLines/>
        <w:widowControl w:val="0"/>
        <w:shd w:val="clear" w:color="auto" w:fill="auto"/>
        <w:bidi w:val="0"/>
        <w:spacing w:before="340" w:after="520" w:line="240" w:lineRule="auto"/>
        <w:ind w:left="0" w:right="0" w:firstLine="0"/>
        <w:jc w:val="left"/>
      </w:pPr>
      <w:bookmarkStart w:id="68" w:name="bookmark68"/>
      <w:bookmarkStart w:id="69" w:name="bookmark69"/>
      <w:bookmarkStart w:id="70" w:name="bookmark70"/>
      <w:r>
        <w:rPr>
          <w:color w:val="000000"/>
          <w:spacing w:val="0"/>
          <w:w w:val="100"/>
          <w:position w:val="0"/>
        </w:rPr>
        <w:t>第五节重要事项</w:t>
      </w:r>
      <w:bookmarkEnd w:id="68"/>
      <w:bookmarkEnd w:id="69"/>
      <w:bookmarkEnd w:id="70"/>
    </w:p>
    <w:p>
      <w:pPr>
        <w:pStyle w:val="Style13"/>
        <w:keepNext w:val="0"/>
        <w:keepLines w:val="0"/>
        <w:widowControl w:val="0"/>
        <w:shd w:val="clear" w:color="auto" w:fill="auto"/>
        <w:tabs>
          <w:tab w:pos="631" w:val="left"/>
        </w:tabs>
        <w:bidi w:val="0"/>
        <w:spacing w:before="0" w:after="220" w:line="274" w:lineRule="exact"/>
        <w:ind w:left="0" w:right="0" w:firstLine="0"/>
        <w:jc w:val="left"/>
      </w:pPr>
      <w:bookmarkStart w:id="71" w:name="bookmark71"/>
      <w:r>
        <w:rPr>
          <w:color w:val="000000"/>
          <w:spacing w:val="0"/>
          <w:w w:val="100"/>
          <w:position w:val="0"/>
        </w:rPr>
        <w:t>一</w:t>
      </w:r>
      <w:bookmarkEnd w:id="71"/>
      <w:r>
        <w:rPr>
          <w:color w:val="000000"/>
          <w:spacing w:val="0"/>
          <w:w w:val="100"/>
          <w:position w:val="0"/>
        </w:rPr>
        <w:t>、</w:t>
        <w:tab/>
        <w:t>重大诉讼、仲裁和媒体普遍质疑的事项 本年度公司无重大诉讼、仲裁和媒体质疑事项。</w:t>
      </w:r>
    </w:p>
    <w:p>
      <w:pPr>
        <w:pStyle w:val="Style13"/>
        <w:keepNext w:val="0"/>
        <w:keepLines w:val="0"/>
        <w:widowControl w:val="0"/>
        <w:shd w:val="clear" w:color="auto" w:fill="auto"/>
        <w:tabs>
          <w:tab w:pos="631" w:val="left"/>
        </w:tabs>
        <w:bidi w:val="0"/>
        <w:spacing w:before="0" w:after="220" w:line="254" w:lineRule="exact"/>
        <w:ind w:left="0" w:right="0" w:firstLine="0"/>
        <w:jc w:val="left"/>
      </w:pPr>
      <w:bookmarkStart w:id="72" w:name="bookmark72"/>
      <w:r>
        <w:rPr>
          <w:color w:val="000000"/>
          <w:spacing w:val="0"/>
          <w:w w:val="100"/>
          <w:position w:val="0"/>
        </w:rPr>
        <w:t>二</w:t>
      </w:r>
      <w:bookmarkEnd w:id="72"/>
      <w:r>
        <w:rPr>
          <w:color w:val="000000"/>
          <w:spacing w:val="0"/>
          <w:w w:val="100"/>
          <w:position w:val="0"/>
        </w:rPr>
        <w:t>、</w:t>
        <w:tab/>
        <w:t xml:space="preserve">报告期内资金被占用情况及清欠进展情况 </w:t>
      </w:r>
      <w:r>
        <w:rPr>
          <w:rFonts w:ascii="Arial Unicode MS" w:eastAsia="Arial Unicode MS" w:hAnsi="Arial Unicode MS" w:cs="Arial Unicode MS"/>
          <w:color w:val="000000"/>
          <w:spacing w:val="0"/>
          <w:w w:val="100"/>
          <w:position w:val="0"/>
          <w:sz w:val="17"/>
          <w:szCs w:val="17"/>
        </w:rPr>
        <w:t>V</w:t>
      </w:r>
      <w:r>
        <w:rPr>
          <w:color w:val="000000"/>
          <w:spacing w:val="0"/>
          <w:w w:val="100"/>
          <w:position w:val="0"/>
        </w:rPr>
        <w:t>不适用</w:t>
      </w:r>
    </w:p>
    <w:p>
      <w:pPr>
        <w:pStyle w:val="Style13"/>
        <w:keepNext w:val="0"/>
        <w:keepLines w:val="0"/>
        <w:widowControl w:val="0"/>
        <w:shd w:val="clear" w:color="auto" w:fill="auto"/>
        <w:tabs>
          <w:tab w:pos="631" w:val="left"/>
        </w:tabs>
        <w:bidi w:val="0"/>
        <w:spacing w:before="0" w:after="40" w:line="264" w:lineRule="exact"/>
        <w:ind w:left="0" w:right="0" w:firstLine="0"/>
        <w:jc w:val="left"/>
      </w:pPr>
      <w:bookmarkStart w:id="73" w:name="bookmark73"/>
      <w:r>
        <w:rPr>
          <w:color w:val="000000"/>
          <w:spacing w:val="0"/>
          <w:w w:val="100"/>
          <w:position w:val="0"/>
        </w:rPr>
        <w:t>三</w:t>
      </w:r>
      <w:bookmarkEnd w:id="73"/>
      <w:r>
        <w:rPr>
          <w:color w:val="000000"/>
          <w:spacing w:val="0"/>
          <w:w w:val="100"/>
          <w:position w:val="0"/>
        </w:rPr>
        <w:t>、</w:t>
        <w:tab/>
        <w:t>破产重整相关事项</w:t>
      </w:r>
    </w:p>
    <w:p>
      <w:pPr>
        <w:pStyle w:val="Style13"/>
        <w:keepNext w:val="0"/>
        <w:keepLines w:val="0"/>
        <w:widowControl w:val="0"/>
        <w:shd w:val="clear" w:color="auto" w:fill="auto"/>
        <w:bidi w:val="0"/>
        <w:spacing w:before="0" w:after="220" w:line="264" w:lineRule="exact"/>
        <w:ind w:left="0" w:right="0" w:firstLine="0"/>
        <w:jc w:val="left"/>
      </w:pPr>
      <w:r>
        <w:rPr>
          <w:color w:val="000000"/>
          <w:spacing w:val="0"/>
          <w:w w:val="100"/>
          <w:position w:val="0"/>
        </w:rPr>
        <w:t>本年度公司无破产重整相关事项。</w:t>
      </w:r>
    </w:p>
    <w:p>
      <w:pPr>
        <w:pStyle w:val="Style13"/>
        <w:keepNext w:val="0"/>
        <w:keepLines w:val="0"/>
        <w:widowControl w:val="0"/>
        <w:shd w:val="clear" w:color="auto" w:fill="auto"/>
        <w:tabs>
          <w:tab w:pos="631" w:val="left"/>
        </w:tabs>
        <w:bidi w:val="0"/>
        <w:spacing w:before="0" w:after="40" w:line="264" w:lineRule="exact"/>
        <w:ind w:left="0" w:right="0" w:firstLine="0"/>
        <w:jc w:val="left"/>
      </w:pPr>
      <w:bookmarkStart w:id="74" w:name="bookmark74"/>
      <w:r>
        <w:rPr>
          <w:color w:val="000000"/>
          <w:spacing w:val="0"/>
          <w:w w:val="100"/>
          <w:position w:val="0"/>
        </w:rPr>
        <w:t>四</w:t>
      </w:r>
      <w:bookmarkEnd w:id="74"/>
      <w:r>
        <w:rPr>
          <w:color w:val="000000"/>
          <w:spacing w:val="0"/>
          <w:w w:val="100"/>
          <w:position w:val="0"/>
        </w:rPr>
        <w:t>、</w:t>
        <w:tab/>
        <w:t>资产交易、企业合并事项</w:t>
      </w:r>
    </w:p>
    <w:p>
      <w:pPr>
        <w:pStyle w:val="Style13"/>
        <w:keepNext w:val="0"/>
        <w:keepLines w:val="0"/>
        <w:widowControl w:val="0"/>
        <w:shd w:val="clear" w:color="auto" w:fill="auto"/>
        <w:bidi w:val="0"/>
        <w:spacing w:before="0" w:after="220" w:line="276" w:lineRule="auto"/>
        <w:ind w:left="0" w:right="0" w:firstLine="0"/>
        <w:jc w:val="left"/>
      </w:pPr>
      <w:r>
        <w:rPr>
          <w:rFonts w:ascii="Arial Unicode MS" w:eastAsia="Arial Unicode MS" w:hAnsi="Arial Unicode MS" w:cs="Arial Unicode MS"/>
          <w:color w:val="000000"/>
          <w:spacing w:val="0"/>
          <w:w w:val="100"/>
          <w:position w:val="0"/>
          <w:sz w:val="17"/>
          <w:szCs w:val="17"/>
        </w:rPr>
        <w:t>V</w:t>
      </w:r>
      <w:r>
        <w:rPr>
          <w:color w:val="000000"/>
          <w:spacing w:val="0"/>
          <w:w w:val="100"/>
          <w:position w:val="0"/>
        </w:rPr>
        <w:t>不适用</w:t>
      </w:r>
    </w:p>
    <w:p>
      <w:pPr>
        <w:pStyle w:val="Style13"/>
        <w:keepNext w:val="0"/>
        <w:keepLines w:val="0"/>
        <w:widowControl w:val="0"/>
        <w:shd w:val="clear" w:color="auto" w:fill="auto"/>
        <w:tabs>
          <w:tab w:pos="631" w:val="left"/>
        </w:tabs>
        <w:bidi w:val="0"/>
        <w:spacing w:before="0" w:after="40" w:line="264" w:lineRule="exact"/>
        <w:ind w:left="0" w:right="0" w:firstLine="0"/>
        <w:jc w:val="left"/>
      </w:pPr>
      <w:bookmarkStart w:id="75" w:name="bookmark75"/>
      <w:r>
        <w:rPr>
          <w:color w:val="000000"/>
          <w:spacing w:val="0"/>
          <w:w w:val="100"/>
          <w:position w:val="0"/>
        </w:rPr>
        <w:t>五</w:t>
      </w:r>
      <w:bookmarkEnd w:id="75"/>
      <w:r>
        <w:rPr>
          <w:color w:val="000000"/>
          <w:spacing w:val="0"/>
          <w:w w:val="100"/>
          <w:position w:val="0"/>
        </w:rPr>
        <w:t>、</w:t>
        <w:tab/>
        <w:t>公司股权激励情况及其影响</w:t>
      </w:r>
    </w:p>
    <w:p>
      <w:pPr>
        <w:pStyle w:val="Style13"/>
        <w:keepNext w:val="0"/>
        <w:keepLines w:val="0"/>
        <w:widowControl w:val="0"/>
        <w:shd w:val="clear" w:color="auto" w:fill="auto"/>
        <w:bidi w:val="0"/>
        <w:spacing w:before="0" w:after="220" w:line="276" w:lineRule="auto"/>
        <w:ind w:left="0" w:right="0" w:firstLine="0"/>
        <w:jc w:val="left"/>
      </w:pPr>
      <w:r>
        <w:rPr>
          <w:rFonts w:ascii="Arial Unicode MS" w:eastAsia="Arial Unicode MS" w:hAnsi="Arial Unicode MS" w:cs="Arial Unicode MS"/>
          <w:color w:val="000000"/>
          <w:spacing w:val="0"/>
          <w:w w:val="100"/>
          <w:position w:val="0"/>
          <w:sz w:val="17"/>
          <w:szCs w:val="17"/>
        </w:rPr>
        <w:t>V</w:t>
      </w:r>
      <w:r>
        <w:rPr>
          <w:color w:val="000000"/>
          <w:spacing w:val="0"/>
          <w:w w:val="100"/>
          <w:position w:val="0"/>
        </w:rPr>
        <w:t>不适用</w:t>
      </w:r>
    </w:p>
    <w:p>
      <w:pPr>
        <w:pStyle w:val="Style13"/>
        <w:keepNext w:val="0"/>
        <w:keepLines w:val="0"/>
        <w:widowControl w:val="0"/>
        <w:shd w:val="clear" w:color="auto" w:fill="auto"/>
        <w:tabs>
          <w:tab w:pos="631" w:val="left"/>
        </w:tabs>
        <w:bidi w:val="0"/>
        <w:spacing w:before="0" w:after="40" w:line="264" w:lineRule="exact"/>
        <w:ind w:left="0" w:right="0" w:firstLine="0"/>
        <w:jc w:val="left"/>
      </w:pPr>
      <w:bookmarkStart w:id="76" w:name="bookmark76"/>
      <w:r>
        <w:rPr>
          <w:color w:val="000000"/>
          <w:spacing w:val="0"/>
          <w:w w:val="100"/>
          <w:position w:val="0"/>
        </w:rPr>
        <w:t>六</w:t>
      </w:r>
      <w:bookmarkEnd w:id="76"/>
      <w:r>
        <w:rPr>
          <w:color w:val="000000"/>
          <w:spacing w:val="0"/>
          <w:w w:val="100"/>
          <w:position w:val="0"/>
        </w:rPr>
        <w:t>、</w:t>
        <w:tab/>
        <w:t>重大关联交易</w:t>
      </w:r>
    </w:p>
    <w:p>
      <w:pPr>
        <w:pStyle w:val="Style13"/>
        <w:keepNext w:val="0"/>
        <w:keepLines w:val="0"/>
        <w:widowControl w:val="0"/>
        <w:numPr>
          <w:ilvl w:val="0"/>
          <w:numId w:val="5"/>
        </w:numPr>
        <w:shd w:val="clear" w:color="auto" w:fill="auto"/>
        <w:tabs>
          <w:tab w:pos="301" w:val="left"/>
        </w:tabs>
        <w:bidi w:val="0"/>
        <w:spacing w:before="0" w:after="220" w:line="276" w:lineRule="auto"/>
        <w:ind w:left="0" w:right="0" w:firstLine="0"/>
        <w:jc w:val="left"/>
      </w:pPr>
      <w:bookmarkStart w:id="77" w:name="bookmark77"/>
      <w:bookmarkEnd w:id="77"/>
      <w:r>
        <w:rPr>
          <w:color w:val="000000"/>
          <w:spacing w:val="0"/>
          <w:w w:val="100"/>
          <w:position w:val="0"/>
        </w:rPr>
        <w:t>不适用</w:t>
      </w:r>
    </w:p>
    <w:p>
      <w:pPr>
        <w:pStyle w:val="Style13"/>
        <w:keepNext w:val="0"/>
        <w:keepLines w:val="0"/>
        <w:widowControl w:val="0"/>
        <w:shd w:val="clear" w:color="auto" w:fill="auto"/>
        <w:tabs>
          <w:tab w:pos="631" w:val="left"/>
        </w:tabs>
        <w:bidi w:val="0"/>
        <w:spacing w:before="0" w:after="40" w:line="264" w:lineRule="exact"/>
        <w:ind w:left="0" w:right="0" w:firstLine="0"/>
        <w:jc w:val="left"/>
      </w:pPr>
      <w:bookmarkStart w:id="78" w:name="bookmark78"/>
      <w:r>
        <w:rPr>
          <w:color w:val="000000"/>
          <w:spacing w:val="0"/>
          <w:w w:val="100"/>
          <w:position w:val="0"/>
        </w:rPr>
        <w:t>七</w:t>
      </w:r>
      <w:bookmarkEnd w:id="78"/>
      <w:r>
        <w:rPr>
          <w:color w:val="000000"/>
          <w:spacing w:val="0"/>
          <w:w w:val="100"/>
          <w:position w:val="0"/>
        </w:rPr>
        <w:t>、</w:t>
        <w:tab/>
        <w:t>重大合同及其履行情况</w:t>
      </w:r>
    </w:p>
    <w:p>
      <w:pPr>
        <w:pStyle w:val="Style13"/>
        <w:keepNext w:val="0"/>
        <w:keepLines w:val="0"/>
        <w:widowControl w:val="0"/>
        <w:shd w:val="clear" w:color="auto" w:fill="auto"/>
        <w:bidi w:val="0"/>
        <w:spacing w:before="0" w:after="0" w:line="276" w:lineRule="auto"/>
        <w:ind w:left="0" w:right="0" w:firstLine="0"/>
        <w:jc w:val="left"/>
      </w:pPr>
      <w:bookmarkStart w:id="79" w:name="bookmark79"/>
      <w:r>
        <w:rPr>
          <w:rFonts w:ascii="Times New Roman" w:eastAsia="Times New Roman" w:hAnsi="Times New Roman" w:cs="Times New Roman"/>
          <w:color w:val="000000"/>
          <w:spacing w:val="0"/>
          <w:w w:val="100"/>
          <w:position w:val="0"/>
        </w:rPr>
        <w:t>（</w:t>
      </w:r>
      <w:bookmarkEnd w:id="79"/>
      <w:r>
        <w:rPr>
          <w:color w:val="000000"/>
          <w:spacing w:val="0"/>
          <w:w w:val="100"/>
          <w:position w:val="0"/>
        </w:rPr>
        <w:t>一</w:t>
      </w:r>
      <w:r>
        <w:rPr>
          <w:color w:val="000000"/>
          <w:spacing w:val="0"/>
          <w:w w:val="100"/>
          <w:position w:val="0"/>
        </w:rPr>
        <w:t>）</w:t>
      </w:r>
      <w:r>
        <w:rPr>
          <w:color w:val="000000"/>
          <w:spacing w:val="0"/>
          <w:w w:val="100"/>
          <w:position w:val="0"/>
        </w:rPr>
        <w:t>托管、承包、租赁事项</w:t>
      </w:r>
    </w:p>
    <w:p>
      <w:pPr>
        <w:pStyle w:val="Style13"/>
        <w:keepNext w:val="0"/>
        <w:keepLines w:val="0"/>
        <w:widowControl w:val="0"/>
        <w:numPr>
          <w:ilvl w:val="0"/>
          <w:numId w:val="5"/>
        </w:numPr>
        <w:shd w:val="clear" w:color="auto" w:fill="auto"/>
        <w:tabs>
          <w:tab w:pos="301" w:val="left"/>
        </w:tabs>
        <w:bidi w:val="0"/>
        <w:spacing w:before="0" w:after="220" w:line="276" w:lineRule="auto"/>
        <w:ind w:left="0" w:right="0" w:firstLine="0"/>
        <w:jc w:val="left"/>
      </w:pPr>
      <w:bookmarkStart w:id="80" w:name="bookmark80"/>
      <w:bookmarkEnd w:id="80"/>
      <w:r>
        <w:rPr>
          <w:color w:val="000000"/>
          <w:spacing w:val="0"/>
          <w:w w:val="100"/>
          <w:position w:val="0"/>
        </w:rPr>
        <w:t>不适用</w:t>
      </w:r>
    </w:p>
    <w:tbl>
      <w:tblPr>
        <w:tblOverlap w:val="never"/>
        <w:jc w:val="left"/>
        <w:tblLayout w:type="fixed"/>
      </w:tblPr>
      <w:tblGrid>
        <w:gridCol w:w="643"/>
        <w:gridCol w:w="629"/>
        <w:gridCol w:w="629"/>
        <w:gridCol w:w="950"/>
        <w:gridCol w:w="634"/>
        <w:gridCol w:w="638"/>
        <w:gridCol w:w="634"/>
        <w:gridCol w:w="590"/>
        <w:gridCol w:w="619"/>
        <w:gridCol w:w="638"/>
        <w:gridCol w:w="629"/>
        <w:gridCol w:w="634"/>
        <w:gridCol w:w="629"/>
        <w:gridCol w:w="826"/>
      </w:tblGrid>
      <w:tr>
        <w:trPr>
          <w:trHeight w:val="298" w:hRule="exact"/>
        </w:trPr>
        <w:tc>
          <w:tcPr>
            <w:gridSpan w:val="9"/>
            <w:tcBorders>
              <w:top w:val="single" w:sz="4"/>
              <w:left w:val="single" w:sz="4"/>
            </w:tcBorders>
            <w:shd w:val="clear" w:color="auto" w:fill="FFFFFF"/>
            <w:vAlign w:val="bottom"/>
          </w:tcPr>
          <w:p>
            <w:pPr>
              <w:pStyle w:val="Style21"/>
              <w:keepNext w:val="0"/>
              <w:keepLines w:val="0"/>
              <w:framePr w:w="9322" w:h="4968" w:vSpace="533" w:wrap="notBeside" w:vAnchor="text" w:hAnchor="text" w:y="534"/>
              <w:widowControl w:val="0"/>
              <w:shd w:val="clear" w:color="auto" w:fill="auto"/>
              <w:bidi w:val="0"/>
              <w:spacing w:before="0" w:after="0" w:line="240" w:lineRule="auto"/>
              <w:ind w:left="0" w:right="0" w:firstLine="0"/>
              <w:jc w:val="right"/>
            </w:pPr>
            <w:r>
              <w:rPr>
                <w:b/>
                <w:bCs/>
                <w:color w:val="000000"/>
                <w:spacing w:val="0"/>
                <w:w w:val="100"/>
                <w:position w:val="0"/>
              </w:rPr>
              <w:t>公司对外担保情况（不包括对子公司</w:t>
            </w:r>
          </w:p>
        </w:tc>
        <w:tc>
          <w:tcPr>
            <w:gridSpan w:val="5"/>
            <w:tcBorders>
              <w:top w:val="single" w:sz="4"/>
              <w:left w:val="single" w:sz="4"/>
              <w:right w:val="single" w:sz="4"/>
            </w:tcBorders>
            <w:shd w:val="clear" w:color="auto" w:fill="FFFFFF"/>
            <w:vAlign w:val="bottom"/>
          </w:tcPr>
          <w:p>
            <w:pPr>
              <w:pStyle w:val="Style21"/>
              <w:keepNext w:val="0"/>
              <w:keepLines w:val="0"/>
              <w:framePr w:w="9322" w:h="4968" w:vSpace="533" w:wrap="notBeside" w:vAnchor="text" w:hAnchor="text" w:y="534"/>
              <w:widowControl w:val="0"/>
              <w:shd w:val="clear" w:color="auto" w:fill="auto"/>
              <w:bidi w:val="0"/>
              <w:spacing w:before="0" w:after="0" w:line="240" w:lineRule="auto"/>
              <w:ind w:left="0" w:right="0" w:firstLine="0"/>
              <w:jc w:val="left"/>
            </w:pPr>
            <w:r>
              <w:rPr>
                <w:b/>
                <w:bCs/>
                <w:color w:val="000000"/>
                <w:spacing w:val="0"/>
                <w:w w:val="100"/>
                <w:position w:val="0"/>
              </w:rPr>
              <w:t>的担保）</w:t>
            </w:r>
          </w:p>
        </w:tc>
      </w:tr>
      <w:tr>
        <w:trPr>
          <w:trHeight w:val="3010" w:hRule="exact"/>
        </w:trPr>
        <w:tc>
          <w:tcPr>
            <w:tcBorders>
              <w:top w:val="single" w:sz="4"/>
              <w:left w:val="single" w:sz="4"/>
            </w:tcBorders>
            <w:shd w:val="clear" w:color="auto" w:fill="FFFFFF"/>
            <w:textDirection w:val="tbRlV"/>
            <w:vAlign w:val="top"/>
          </w:tcPr>
          <w:p>
            <w:pPr>
              <w:pStyle w:val="Style38"/>
              <w:keepNext w:val="0"/>
              <w:keepLines w:val="0"/>
              <w:framePr w:w="9322" w:h="4968" w:vSpace="533" w:wrap="notBeside" w:vAnchor="text" w:hAnchor="text" w:y="534"/>
              <w:widowControl w:val="0"/>
              <w:shd w:val="clear" w:color="auto" w:fill="auto"/>
              <w:bidi w:val="0"/>
              <w:spacing w:before="20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textDirection w:val="tbRlV"/>
            <w:vAlign w:val="top"/>
          </w:tcPr>
          <w:p>
            <w:pPr>
              <w:pStyle w:val="Style38"/>
              <w:keepNext w:val="0"/>
              <w:keepLines w:val="0"/>
              <w:framePr w:w="9322" w:h="4968" w:vSpace="533" w:wrap="notBeside" w:vAnchor="text" w:hAnchor="text" w:y="534"/>
              <w:widowControl w:val="0"/>
              <w:shd w:val="clear" w:color="auto" w:fill="auto"/>
              <w:bidi w:val="0"/>
              <w:spacing w:before="180" w:after="0" w:line="240" w:lineRule="auto"/>
              <w:ind w:left="0" w:right="0" w:firstLine="0"/>
              <w:jc w:val="center"/>
            </w:pPr>
            <w:r>
              <w:rPr>
                <w:color w:val="000000"/>
                <w:spacing w:val="0"/>
                <w:w w:val="100"/>
                <w:position w:val="0"/>
              </w:rPr>
              <w:t>担保方与上市公司的关系</w:t>
            </w:r>
          </w:p>
        </w:tc>
        <w:tc>
          <w:tcPr>
            <w:tcBorders>
              <w:top w:val="single" w:sz="4"/>
              <w:left w:val="single" w:sz="4"/>
            </w:tcBorders>
            <w:shd w:val="clear" w:color="auto" w:fill="FFFFFF"/>
            <w:textDirection w:val="tbRlV"/>
            <w:vAlign w:val="top"/>
          </w:tcPr>
          <w:p>
            <w:pPr>
              <w:pStyle w:val="Style38"/>
              <w:keepNext w:val="0"/>
              <w:keepLines w:val="0"/>
              <w:framePr w:w="9322" w:h="4968" w:vSpace="533" w:wrap="notBeside" w:vAnchor="text" w:hAnchor="text" w:y="534"/>
              <w:widowControl w:val="0"/>
              <w:shd w:val="clear" w:color="auto" w:fill="auto"/>
              <w:bidi w:val="0"/>
              <w:spacing w:before="20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1"/>
              <w:keepNext w:val="0"/>
              <w:keepLines w:val="0"/>
              <w:framePr w:w="9322" w:h="4968" w:vSpace="533" w:wrap="notBeside" w:vAnchor="text" w:hAnchor="text" w:y="534"/>
              <w:widowControl w:val="0"/>
              <w:shd w:val="clear" w:color="auto" w:fill="auto"/>
              <w:bidi w:val="0"/>
              <w:spacing w:before="0" w:after="0" w:line="288" w:lineRule="exact"/>
              <w:ind w:left="0" w:right="0" w:firstLine="0"/>
              <w:jc w:val="center"/>
            </w:pPr>
            <w:r>
              <w:rPr>
                <w:color w:val="000000"/>
                <w:spacing w:val="0"/>
                <w:w w:val="100"/>
                <w:position w:val="0"/>
              </w:rPr>
              <w:t>担保金 额</w:t>
            </w:r>
          </w:p>
        </w:tc>
        <w:tc>
          <w:tcPr>
            <w:tcBorders>
              <w:top w:val="single" w:sz="4"/>
              <w:left w:val="single" w:sz="4"/>
            </w:tcBorders>
            <w:shd w:val="clear" w:color="auto" w:fill="FFFFFF"/>
            <w:vAlign w:val="center"/>
          </w:tcPr>
          <w:p>
            <w:pPr>
              <w:pStyle w:val="Style21"/>
              <w:keepNext w:val="0"/>
              <w:keepLines w:val="0"/>
              <w:framePr w:w="9322" w:h="4968" w:vSpace="533" w:wrap="notBeside" w:vAnchor="text" w:hAnchor="text" w:y="534"/>
              <w:widowControl w:val="0"/>
              <w:shd w:val="clear" w:color="auto" w:fill="auto"/>
              <w:bidi w:val="0"/>
              <w:spacing w:before="0" w:after="0" w:line="282" w:lineRule="exact"/>
              <w:ind w:left="0" w:right="0" w:firstLine="0"/>
              <w:jc w:val="center"/>
            </w:pPr>
            <w:r>
              <w:rPr>
                <w:color w:val="000000"/>
                <w:spacing w:val="0"/>
                <w:w w:val="100"/>
                <w:position w:val="0"/>
              </w:rPr>
              <w:t xml:space="preserve">担保 发生 日期 </w:t>
            </w:r>
            <w:r>
              <w:rPr>
                <w:rFonts w:ascii="Times New Roman" w:eastAsia="Times New Roman" w:hAnsi="Times New Roman" w:cs="Times New Roman"/>
                <w:color w:val="000000"/>
                <w:spacing w:val="0"/>
                <w:w w:val="100"/>
                <w:position w:val="0"/>
              </w:rPr>
              <w:t>（</w:t>
            </w:r>
            <w:r>
              <w:rPr>
                <w:color w:val="000000"/>
                <w:spacing w:val="0"/>
                <w:w w:val="100"/>
                <w:position w:val="0"/>
              </w:rPr>
              <w:t>协</w:t>
            </w:r>
          </w:p>
          <w:p>
            <w:pPr>
              <w:pStyle w:val="Style21"/>
              <w:keepNext w:val="0"/>
              <w:keepLines w:val="0"/>
              <w:framePr w:w="9322" w:h="4968" w:vSpace="533" w:wrap="notBeside" w:vAnchor="text" w:hAnchor="text" w:y="534"/>
              <w:widowControl w:val="0"/>
              <w:shd w:val="clear" w:color="auto" w:fill="auto"/>
              <w:bidi w:val="0"/>
              <w:spacing w:before="0" w:after="0" w:line="282" w:lineRule="exact"/>
              <w:ind w:left="0" w:right="0" w:firstLine="0"/>
              <w:jc w:val="center"/>
            </w:pPr>
            <w:r>
              <w:rPr>
                <w:color w:val="000000"/>
                <w:spacing w:val="0"/>
                <w:w w:val="100"/>
                <w:position w:val="0"/>
              </w:rPr>
              <w:t>议签 署 日</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framePr w:w="9322" w:h="4968" w:vSpace="533" w:wrap="notBeside" w:vAnchor="text" w:hAnchor="text" w:y="534"/>
              <w:widowControl w:val="0"/>
              <w:shd w:val="clear" w:color="auto" w:fill="auto"/>
              <w:bidi w:val="0"/>
              <w:spacing w:before="0" w:after="0" w:line="274" w:lineRule="exact"/>
              <w:ind w:left="0" w:right="0" w:firstLine="0"/>
              <w:jc w:val="center"/>
            </w:pPr>
            <w:r>
              <w:rPr>
                <w:color w:val="000000"/>
                <w:spacing w:val="0"/>
                <w:w w:val="100"/>
                <w:position w:val="0"/>
              </w:rPr>
              <w:t>担保 起始 日</w:t>
            </w:r>
          </w:p>
        </w:tc>
        <w:tc>
          <w:tcPr>
            <w:tcBorders>
              <w:top w:val="single" w:sz="4"/>
              <w:left w:val="single" w:sz="4"/>
            </w:tcBorders>
            <w:shd w:val="clear" w:color="auto" w:fill="FFFFFF"/>
            <w:vAlign w:val="center"/>
          </w:tcPr>
          <w:p>
            <w:pPr>
              <w:pStyle w:val="Style21"/>
              <w:keepNext w:val="0"/>
              <w:keepLines w:val="0"/>
              <w:framePr w:w="9322" w:h="4968" w:vSpace="533" w:wrap="notBeside" w:vAnchor="text" w:hAnchor="text" w:y="534"/>
              <w:widowControl w:val="0"/>
              <w:shd w:val="clear" w:color="auto" w:fill="auto"/>
              <w:bidi w:val="0"/>
              <w:spacing w:before="0" w:after="0" w:line="274" w:lineRule="exact"/>
              <w:ind w:left="0" w:right="0" w:firstLine="0"/>
              <w:jc w:val="center"/>
            </w:pPr>
            <w:r>
              <w:rPr>
                <w:color w:val="000000"/>
                <w:spacing w:val="0"/>
                <w:w w:val="100"/>
                <w:position w:val="0"/>
              </w:rPr>
              <w:t>担保 到期 日</w:t>
            </w:r>
          </w:p>
        </w:tc>
        <w:tc>
          <w:tcPr>
            <w:tcBorders>
              <w:top w:val="single" w:sz="4"/>
              <w:left w:val="single" w:sz="4"/>
            </w:tcBorders>
            <w:shd w:val="clear" w:color="auto" w:fill="FFFFFF"/>
            <w:textDirection w:val="tbRlV"/>
            <w:vAlign w:val="top"/>
          </w:tcPr>
          <w:p>
            <w:pPr>
              <w:pStyle w:val="Style38"/>
              <w:keepNext w:val="0"/>
              <w:keepLines w:val="0"/>
              <w:framePr w:w="9322" w:h="4968" w:vSpace="533" w:wrap="notBeside" w:vAnchor="text" w:hAnchor="text" w:y="534"/>
              <w:widowControl w:val="0"/>
              <w:shd w:val="clear" w:color="auto" w:fill="auto"/>
              <w:bidi w:val="0"/>
              <w:spacing w:before="18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FFFFFF"/>
            <w:textDirection w:val="tbRlV"/>
            <w:vAlign w:val="top"/>
          </w:tcPr>
          <w:p>
            <w:pPr>
              <w:pStyle w:val="Style38"/>
              <w:keepNext w:val="0"/>
              <w:keepLines w:val="0"/>
              <w:framePr w:w="9322" w:h="4968" w:vSpace="533" w:wrap="notBeside" w:vAnchor="text" w:hAnchor="text" w:y="534"/>
              <w:widowControl w:val="0"/>
              <w:shd w:val="clear" w:color="auto" w:fill="auto"/>
              <w:bidi w:val="0"/>
              <w:spacing w:before="180" w:after="0" w:line="240" w:lineRule="auto"/>
              <w:ind w:left="0" w:right="0" w:firstLine="0"/>
              <w:jc w:val="center"/>
            </w:pPr>
            <w:r>
              <w:rPr>
                <w:color w:val="000000"/>
                <w:spacing w:val="0"/>
                <w:w w:val="100"/>
                <w:position w:val="0"/>
              </w:rPr>
              <w:t>担保是否已经履行完毕</w:t>
            </w:r>
          </w:p>
        </w:tc>
        <w:tc>
          <w:tcPr>
            <w:tcBorders>
              <w:top w:val="single" w:sz="4"/>
              <w:left w:val="single" w:sz="4"/>
            </w:tcBorders>
            <w:shd w:val="clear" w:color="auto" w:fill="FFFFFF"/>
            <w:textDirection w:val="tbRlV"/>
            <w:vAlign w:val="top"/>
          </w:tcPr>
          <w:p>
            <w:pPr>
              <w:pStyle w:val="Style38"/>
              <w:keepNext w:val="0"/>
              <w:keepLines w:val="0"/>
              <w:framePr w:w="9322" w:h="4968" w:vSpace="533" w:wrap="notBeside" w:vAnchor="text" w:hAnchor="text" w:y="534"/>
              <w:widowControl w:val="0"/>
              <w:shd w:val="clear" w:color="auto" w:fill="auto"/>
              <w:bidi w:val="0"/>
              <w:spacing w:before="180" w:after="0" w:line="240" w:lineRule="auto"/>
              <w:ind w:left="0" w:right="0" w:firstLine="0"/>
              <w:jc w:val="center"/>
            </w:pPr>
            <w:r>
              <w:rPr>
                <w:color w:val="000000"/>
                <w:spacing w:val="0"/>
                <w:w w:val="100"/>
                <w:position w:val="0"/>
              </w:rPr>
              <w:t>担保是否逾期</w:t>
            </w:r>
          </w:p>
        </w:tc>
        <w:tc>
          <w:tcPr>
            <w:tcBorders>
              <w:top w:val="single" w:sz="4"/>
              <w:left w:val="single" w:sz="4"/>
            </w:tcBorders>
            <w:shd w:val="clear" w:color="auto" w:fill="FFFFFF"/>
            <w:textDirection w:val="tbRlV"/>
            <w:vAlign w:val="top"/>
          </w:tcPr>
          <w:p>
            <w:pPr>
              <w:pStyle w:val="Style38"/>
              <w:keepNext w:val="0"/>
              <w:keepLines w:val="0"/>
              <w:framePr w:w="9322" w:h="4968" w:vSpace="533" w:wrap="notBeside" w:vAnchor="text" w:hAnchor="text" w:y="534"/>
              <w:widowControl w:val="0"/>
              <w:shd w:val="clear" w:color="auto" w:fill="auto"/>
              <w:bidi w:val="0"/>
              <w:spacing w:before="180" w:after="0" w:line="240" w:lineRule="auto"/>
              <w:ind w:left="0" w:right="0" w:firstLine="0"/>
              <w:jc w:val="center"/>
            </w:pPr>
            <w:r>
              <w:rPr>
                <w:color w:val="000000"/>
                <w:spacing w:val="0"/>
                <w:w w:val="100"/>
                <w:position w:val="0"/>
              </w:rPr>
              <w:t>担保逾期金额</w:t>
            </w:r>
          </w:p>
        </w:tc>
        <w:tc>
          <w:tcPr>
            <w:tcBorders>
              <w:top w:val="single" w:sz="4"/>
              <w:left w:val="single" w:sz="4"/>
            </w:tcBorders>
            <w:shd w:val="clear" w:color="auto" w:fill="FFFFFF"/>
            <w:textDirection w:val="tbRlV"/>
            <w:vAlign w:val="top"/>
          </w:tcPr>
          <w:p>
            <w:pPr>
              <w:pStyle w:val="Style38"/>
              <w:keepNext w:val="0"/>
              <w:keepLines w:val="0"/>
              <w:framePr w:w="9322" w:h="4968" w:vSpace="533" w:wrap="notBeside" w:vAnchor="text" w:hAnchor="text" w:y="534"/>
              <w:widowControl w:val="0"/>
              <w:shd w:val="clear" w:color="auto" w:fill="auto"/>
              <w:bidi w:val="0"/>
              <w:spacing w:before="180" w:after="0" w:line="240" w:lineRule="auto"/>
              <w:ind w:left="0" w:right="0" w:firstLine="0"/>
              <w:jc w:val="center"/>
            </w:pPr>
            <w:r>
              <w:rPr>
                <w:color w:val="000000"/>
                <w:spacing w:val="0"/>
                <w:w w:val="100"/>
                <w:position w:val="0"/>
              </w:rPr>
              <w:t>是否存在反担保</w:t>
            </w:r>
          </w:p>
        </w:tc>
        <w:tc>
          <w:tcPr>
            <w:tcBorders>
              <w:top w:val="single" w:sz="4"/>
              <w:left w:val="single" w:sz="4"/>
            </w:tcBorders>
            <w:shd w:val="clear" w:color="auto" w:fill="FFFFFF"/>
            <w:textDirection w:val="tbRlV"/>
            <w:vAlign w:val="top"/>
          </w:tcPr>
          <w:p>
            <w:pPr>
              <w:pStyle w:val="Style38"/>
              <w:keepNext w:val="0"/>
              <w:keepLines w:val="0"/>
              <w:framePr w:w="9322" w:h="4968" w:vSpace="533" w:wrap="notBeside" w:vAnchor="text" w:hAnchor="text" w:y="534"/>
              <w:widowControl w:val="0"/>
              <w:shd w:val="clear" w:color="auto" w:fill="auto"/>
              <w:bidi w:val="0"/>
              <w:spacing w:before="200" w:after="0" w:line="240" w:lineRule="auto"/>
              <w:ind w:left="0" w:right="0" w:firstLine="0"/>
              <w:jc w:val="center"/>
            </w:pPr>
            <w:r>
              <w:rPr>
                <w:color w:val="000000"/>
                <w:spacing w:val="0"/>
                <w:w w:val="100"/>
                <w:position w:val="0"/>
              </w:rPr>
              <w:t>是否为关联方担保</w:t>
            </w:r>
          </w:p>
        </w:tc>
        <w:tc>
          <w:tcPr>
            <w:tcBorders>
              <w:top w:val="single" w:sz="4"/>
              <w:left w:val="single" w:sz="4"/>
              <w:right w:val="single" w:sz="4"/>
            </w:tcBorders>
            <w:shd w:val="clear" w:color="auto" w:fill="FFFFFF"/>
            <w:vAlign w:val="center"/>
          </w:tcPr>
          <w:p>
            <w:pPr>
              <w:pStyle w:val="Style21"/>
              <w:keepNext w:val="0"/>
              <w:keepLines w:val="0"/>
              <w:framePr w:w="9322" w:h="4968" w:vSpace="533" w:wrap="notBeside" w:vAnchor="text" w:hAnchor="text" w:y="534"/>
              <w:widowControl w:val="0"/>
              <w:shd w:val="clear" w:color="auto" w:fill="auto"/>
              <w:bidi w:val="0"/>
              <w:spacing w:before="0" w:after="0" w:line="288" w:lineRule="exact"/>
              <w:ind w:left="0" w:right="0" w:firstLine="0"/>
              <w:jc w:val="center"/>
            </w:pPr>
            <w:r>
              <w:rPr>
                <w:color w:val="000000"/>
                <w:spacing w:val="0"/>
                <w:w w:val="100"/>
                <w:position w:val="0"/>
              </w:rPr>
              <w:t>关联 关系</w:t>
            </w:r>
          </w:p>
        </w:tc>
      </w:tr>
      <w:tr>
        <w:trPr>
          <w:trHeight w:val="1661" w:hRule="exact"/>
        </w:trPr>
        <w:tc>
          <w:tcPr>
            <w:tcBorders>
              <w:top w:val="single" w:sz="4"/>
              <w:left w:val="single" w:sz="4"/>
              <w:bottom w:val="single" w:sz="4"/>
            </w:tcBorders>
            <w:shd w:val="clear" w:color="auto" w:fill="FFFFFF"/>
            <w:textDirection w:val="tbRlV"/>
            <w:vAlign w:val="top"/>
          </w:tcPr>
          <w:p>
            <w:pPr>
              <w:pStyle w:val="Style38"/>
              <w:keepNext w:val="0"/>
              <w:keepLines w:val="0"/>
              <w:framePr w:w="9322" w:h="4968" w:vSpace="533" w:wrap="notBeside" w:vAnchor="text" w:hAnchor="text" w:y="534"/>
              <w:widowControl w:val="0"/>
              <w:shd w:val="clear" w:color="auto" w:fill="auto"/>
              <w:bidi w:val="0"/>
              <w:spacing w:before="300" w:after="0" w:line="240" w:lineRule="auto"/>
              <w:ind w:left="0" w:right="0" w:firstLine="0"/>
              <w:jc w:val="left"/>
            </w:pPr>
            <w:r>
              <w:rPr>
                <w:color w:val="000000"/>
                <w:spacing w:val="0"/>
                <w:w w:val="100"/>
                <w:position w:val="0"/>
              </w:rPr>
              <w:t>浙江富润印染</w:t>
            </w:r>
          </w:p>
        </w:tc>
        <w:tc>
          <w:tcPr>
            <w:tcBorders>
              <w:top w:val="single" w:sz="4"/>
              <w:left w:val="single" w:sz="4"/>
              <w:bottom w:val="single" w:sz="4"/>
            </w:tcBorders>
            <w:shd w:val="clear" w:color="auto" w:fill="FFFFFF"/>
            <w:textDirection w:val="tbRlV"/>
            <w:vAlign w:val="top"/>
          </w:tcPr>
          <w:p>
            <w:pPr>
              <w:pStyle w:val="Style38"/>
              <w:keepNext w:val="0"/>
              <w:keepLines w:val="0"/>
              <w:framePr w:w="9322" w:h="4968" w:vSpace="533" w:wrap="notBeside" w:vAnchor="text" w:hAnchor="text" w:y="534"/>
              <w:widowControl w:val="0"/>
              <w:shd w:val="clear" w:color="auto" w:fill="auto"/>
              <w:bidi w:val="0"/>
              <w:spacing w:before="280" w:after="0" w:line="240" w:lineRule="auto"/>
              <w:ind w:left="0" w:right="0" w:firstLine="0"/>
              <w:jc w:val="center"/>
            </w:pPr>
            <w:r>
              <w:rPr>
                <w:color w:val="000000"/>
                <w:spacing w:val="0"/>
                <w:w w:val="100"/>
                <w:position w:val="0"/>
              </w:rPr>
              <w:t>控股子公司</w:t>
            </w:r>
          </w:p>
        </w:tc>
        <w:tc>
          <w:tcPr>
            <w:tcBorders>
              <w:top w:val="single" w:sz="4"/>
              <w:left w:val="single" w:sz="4"/>
              <w:bottom w:val="single" w:sz="4"/>
            </w:tcBorders>
            <w:shd w:val="clear" w:color="auto" w:fill="FFFFFF"/>
            <w:textDirection w:val="tbRlV"/>
            <w:vAlign w:val="top"/>
          </w:tcPr>
          <w:p>
            <w:pPr>
              <w:pStyle w:val="Style38"/>
              <w:keepNext w:val="0"/>
              <w:keepLines w:val="0"/>
              <w:framePr w:w="9322" w:h="4968" w:vSpace="533" w:wrap="notBeside" w:vAnchor="text" w:hAnchor="text" w:y="534"/>
              <w:widowControl w:val="0"/>
              <w:shd w:val="clear" w:color="auto" w:fill="auto"/>
              <w:bidi w:val="0"/>
              <w:spacing w:before="300" w:after="0" w:line="240" w:lineRule="auto"/>
              <w:ind w:left="0" w:right="0" w:firstLine="0"/>
              <w:jc w:val="left"/>
            </w:pPr>
            <w:r>
              <w:rPr>
                <w:color w:val="000000"/>
                <w:spacing w:val="0"/>
                <w:w w:val="100"/>
                <w:position w:val="0"/>
              </w:rPr>
              <w:t>浙江菲达环保</w:t>
            </w:r>
          </w:p>
        </w:tc>
        <w:tc>
          <w:tcPr>
            <w:tcBorders>
              <w:top w:val="single" w:sz="4"/>
              <w:left w:val="single" w:sz="4"/>
              <w:bottom w:val="single" w:sz="4"/>
            </w:tcBorders>
            <w:shd w:val="clear" w:color="auto" w:fill="FFFFFF"/>
            <w:vAlign w:val="center"/>
          </w:tcPr>
          <w:p>
            <w:pPr>
              <w:pStyle w:val="Style21"/>
              <w:keepNext w:val="0"/>
              <w:keepLines w:val="0"/>
              <w:framePr w:w="9322" w:h="4968" w:vSpace="533" w:wrap="notBeside" w:vAnchor="text" w:hAnchor="text"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1,242.00</w:t>
            </w:r>
          </w:p>
        </w:tc>
        <w:tc>
          <w:tcPr>
            <w:tcBorders>
              <w:top w:val="single" w:sz="4"/>
              <w:left w:val="single" w:sz="4"/>
              <w:bottom w:val="single" w:sz="4"/>
            </w:tcBorders>
            <w:shd w:val="clear" w:color="auto" w:fill="FFFFFF"/>
            <w:vAlign w:val="center"/>
          </w:tcPr>
          <w:p>
            <w:pPr>
              <w:pStyle w:val="Style21"/>
              <w:keepNext w:val="0"/>
              <w:keepLines w:val="0"/>
              <w:framePr w:w="9322" w:h="4968" w:vSpace="533" w:wrap="notBeside" w:vAnchor="text" w:hAnchor="text" w:y="534"/>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2009</w:t>
            </w:r>
          </w:p>
          <w:p>
            <w:pPr>
              <w:pStyle w:val="Style21"/>
              <w:keepNext w:val="0"/>
              <w:keepLines w:val="0"/>
              <w:framePr w:w="9322" w:h="4968" w:vSpace="533" w:wrap="notBeside" w:vAnchor="text" w:hAnchor="text" w:y="534"/>
              <w:widowControl w:val="0"/>
              <w:shd w:val="clear" w:color="auto" w:fill="auto"/>
              <w:bidi w:val="0"/>
              <w:spacing w:before="0" w:after="4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6</w:t>
            </w:r>
          </w:p>
          <w:p>
            <w:pPr>
              <w:pStyle w:val="Style21"/>
              <w:keepNext w:val="0"/>
              <w:keepLines w:val="0"/>
              <w:framePr w:w="9322" w:h="4968" w:vSpace="533" w:wrap="notBeside" w:vAnchor="text" w:hAnchor="text" w:y="534"/>
              <w:widowControl w:val="0"/>
              <w:shd w:val="clear" w:color="auto" w:fill="auto"/>
              <w:bidi w:val="0"/>
              <w:spacing w:before="0" w:after="4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4</w:t>
            </w:r>
          </w:p>
          <w:p>
            <w:pPr>
              <w:pStyle w:val="Style21"/>
              <w:keepNext w:val="0"/>
              <w:keepLines w:val="0"/>
              <w:framePr w:w="9322" w:h="4968" w:vSpace="533" w:wrap="notBeside" w:vAnchor="text" w:hAnchor="text" w:y="534"/>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framePr w:w="9322" w:h="4968" w:vSpace="533" w:wrap="notBeside" w:vAnchor="text" w:hAnchor="text" w:y="534"/>
              <w:widowControl w:val="0"/>
              <w:shd w:val="clear" w:color="auto" w:fill="auto"/>
              <w:bidi w:val="0"/>
              <w:spacing w:before="0" w:after="0" w:line="267" w:lineRule="exact"/>
              <w:ind w:left="0" w:right="0" w:firstLine="0"/>
              <w:jc w:val="both"/>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framePr w:w="9322" w:h="4968" w:vSpace="533" w:wrap="notBeside" w:vAnchor="text" w:hAnchor="text"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p>
            <w:pPr>
              <w:pStyle w:val="Style21"/>
              <w:keepNext w:val="0"/>
              <w:keepLines w:val="0"/>
              <w:framePr w:w="9322" w:h="4968" w:vSpace="533" w:wrap="notBeside" w:vAnchor="text" w:hAnchor="text" w:y="534"/>
              <w:widowControl w:val="0"/>
              <w:shd w:val="clear" w:color="auto" w:fill="auto"/>
              <w:bidi w:val="0"/>
              <w:spacing w:before="0" w:after="0" w:line="288"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p>
          <w:p>
            <w:pPr>
              <w:pStyle w:val="Style21"/>
              <w:keepNext w:val="0"/>
              <w:keepLines w:val="0"/>
              <w:framePr w:w="9322" w:h="4968" w:vSpace="533" w:wrap="notBeside" w:vAnchor="text" w:hAnchor="text"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p>
            <w:pPr>
              <w:pStyle w:val="Style21"/>
              <w:keepNext w:val="0"/>
              <w:keepLines w:val="0"/>
              <w:framePr w:w="9322" w:h="4968"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textDirection w:val="tbRlV"/>
            <w:vAlign w:val="top"/>
          </w:tcPr>
          <w:p>
            <w:pPr>
              <w:pStyle w:val="Style38"/>
              <w:keepNext w:val="0"/>
              <w:keepLines w:val="0"/>
              <w:framePr w:w="9322" w:h="4968" w:vSpace="533" w:wrap="notBeside" w:vAnchor="text" w:hAnchor="text" w:y="534"/>
              <w:widowControl w:val="0"/>
              <w:shd w:val="clear" w:color="auto" w:fill="auto"/>
              <w:bidi w:val="0"/>
              <w:spacing w:before="240" w:after="0" w:line="240" w:lineRule="auto"/>
              <w:ind w:left="0" w:right="0" w:firstLine="0"/>
              <w:jc w:val="left"/>
            </w:pPr>
            <w:r>
              <w:rPr>
                <w:color w:val="000000"/>
                <w:spacing w:val="0"/>
                <w:w w:val="100"/>
                <w:position w:val="0"/>
              </w:rPr>
              <w:t>连带责任担保</w:t>
            </w:r>
          </w:p>
        </w:tc>
        <w:tc>
          <w:tcPr>
            <w:tcBorders>
              <w:top w:val="single" w:sz="4"/>
              <w:left w:val="single" w:sz="4"/>
              <w:bottom w:val="single" w:sz="4"/>
            </w:tcBorders>
            <w:shd w:val="clear" w:color="auto" w:fill="FFFFFF"/>
            <w:vAlign w:val="center"/>
          </w:tcPr>
          <w:p>
            <w:pPr>
              <w:pStyle w:val="Style21"/>
              <w:keepNext w:val="0"/>
              <w:keepLines w:val="0"/>
              <w:framePr w:w="9322" w:h="4968"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framePr w:w="9322" w:h="4968" w:vSpace="533" w:wrap="notBeside" w:vAnchor="text" w:hAnchor="text" w:y="534"/>
              <w:widowControl w:val="0"/>
              <w:shd w:val="clear" w:color="auto" w:fill="auto"/>
              <w:bidi w:val="0"/>
              <w:spacing w:before="0" w:after="0" w:line="240" w:lineRule="auto"/>
              <w:ind w:left="0" w:right="300" w:firstLine="0"/>
              <w:jc w:val="right"/>
            </w:pPr>
            <w:r>
              <w:rPr>
                <w:color w:val="000000"/>
                <w:spacing w:val="0"/>
                <w:w w:val="100"/>
                <w:position w:val="0"/>
              </w:rPr>
              <w:t>否</w:t>
            </w:r>
          </w:p>
        </w:tc>
        <w:tc>
          <w:tcPr>
            <w:tcBorders>
              <w:top w:val="single" w:sz="4"/>
              <w:left w:val="single" w:sz="4"/>
              <w:bottom w:val="single" w:sz="4"/>
            </w:tcBorders>
            <w:shd w:val="clear" w:color="auto" w:fill="FFFFFF"/>
            <w:vAlign w:val="top"/>
          </w:tcPr>
          <w:p>
            <w:pPr>
              <w:framePr w:w="9322" w:h="4968" w:vSpace="533" w:wrap="notBeside" w:vAnchor="text" w:hAnchor="text" w:y="534"/>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9322" w:h="4968" w:vSpace="533" w:wrap="notBeside" w:vAnchor="text" w:hAnchor="text" w:y="534"/>
              <w:widowControl w:val="0"/>
              <w:shd w:val="clear" w:color="auto" w:fill="auto"/>
              <w:bidi w:val="0"/>
              <w:spacing w:before="0" w:after="0" w:line="240" w:lineRule="auto"/>
              <w:ind w:left="0" w:right="30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framePr w:w="9322" w:h="4968"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framePr w:w="9322" w:h="4968" w:vSpace="533" w:wrap="notBeside" w:vAnchor="text" w:hAnchor="text" w:y="534"/>
              <w:widowControl w:val="0"/>
              <w:rPr>
                <w:sz w:val="10"/>
                <w:szCs w:val="10"/>
              </w:rPr>
            </w:pPr>
          </w:p>
        </w:tc>
      </w:tr>
    </w:tbl>
    <w:p>
      <w:pPr>
        <w:pStyle w:val="Style19"/>
        <w:keepNext w:val="0"/>
        <w:keepLines w:val="0"/>
        <w:framePr w:w="1440" w:h="274" w:hSpace="7882"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担保情况</w:t>
      </w:r>
    </w:p>
    <w:p>
      <w:pPr>
        <w:pStyle w:val="Style19"/>
        <w:keepNext w:val="0"/>
        <w:keepLines w:val="0"/>
        <w:framePr w:w="2146" w:h="254" w:hSpace="7176" w:wrap="notBeside" w:vAnchor="text" w:hAnchor="text" w:x="6534" w:y="275"/>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p>
      <w:pPr>
        <w:widowControl w:val="0"/>
        <w:spacing w:line="1" w:lineRule="exact"/>
      </w:pPr>
      <w:r>
        <w:br w:type="page"/>
      </w:r>
    </w:p>
    <w:tbl>
      <w:tblPr>
        <w:tblOverlap w:val="never"/>
        <w:jc w:val="center"/>
        <w:tblLayout w:type="fixed"/>
      </w:tblPr>
      <w:tblGrid>
        <w:gridCol w:w="638"/>
        <w:gridCol w:w="634"/>
        <w:gridCol w:w="629"/>
        <w:gridCol w:w="950"/>
        <w:gridCol w:w="634"/>
        <w:gridCol w:w="638"/>
        <w:gridCol w:w="634"/>
        <w:gridCol w:w="331"/>
        <w:gridCol w:w="259"/>
        <w:gridCol w:w="629"/>
        <w:gridCol w:w="629"/>
        <w:gridCol w:w="629"/>
        <w:gridCol w:w="634"/>
        <w:gridCol w:w="629"/>
        <w:gridCol w:w="826"/>
      </w:tblGrid>
      <w:tr>
        <w:trPr>
          <w:trHeight w:val="22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有 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浙江富润股份有限公司</w:t>
            </w:r>
          </w:p>
        </w:tc>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公司本部</w:t>
            </w:r>
          </w:p>
        </w:tc>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怀宁上峰水泥有限公司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p>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741"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浙江富润股份有限公司</w:t>
            </w:r>
          </w:p>
        </w:tc>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公司本部</w:t>
            </w:r>
          </w:p>
        </w:tc>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怀宁上峰水泥有限公司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p>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p>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p>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p>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日</w:t>
            </w:r>
          </w:p>
        </w:tc>
        <w:tc>
          <w:tcPr>
            <w:gridSpan w:val="2"/>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24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textDirection w:val="tbRlV"/>
            <w:vAlign w:val="center"/>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浙江富润股份有限公司</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300" w:after="0" w:line="240" w:lineRule="auto"/>
              <w:ind w:left="0" w:right="0" w:firstLine="0"/>
              <w:jc w:val="center"/>
            </w:pPr>
            <w:r>
              <w:rPr>
                <w:color w:val="000000"/>
                <w:spacing w:val="0"/>
                <w:w w:val="100"/>
                <w:position w:val="0"/>
              </w:rPr>
              <w:t>公司本部</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300" w:after="0" w:line="240" w:lineRule="auto"/>
              <w:ind w:left="0" w:right="0" w:firstLine="0"/>
              <w:jc w:val="center"/>
            </w:pPr>
            <w:r>
              <w:rPr>
                <w:color w:val="000000"/>
                <w:spacing w:val="0"/>
                <w:w w:val="100"/>
                <w:position w:val="0"/>
              </w:rPr>
              <w:t>怀宁上峰水泥有限公司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2010</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2</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2010</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2</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日</w:t>
            </w:r>
          </w:p>
        </w:tc>
        <w:tc>
          <w:tcPr>
            <w:gridSpan w:val="2"/>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24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gridSpan w:val="7"/>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月内担保发生额合计（不包括对子公司的担保）</w:t>
            </w:r>
          </w:p>
        </w:tc>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6,027</w:t>
            </w:r>
          </w:p>
        </w:tc>
      </w:tr>
      <w:tr>
        <w:trPr>
          <w:trHeight w:val="288" w:hRule="exact"/>
        </w:trPr>
        <w:tc>
          <w:tcPr>
            <w:gridSpan w:val="8"/>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（不包括对子公司的担保）</w:t>
            </w:r>
          </w:p>
        </w:tc>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6,027</w:t>
            </w:r>
          </w:p>
        </w:tc>
      </w:tr>
      <w:tr>
        <w:trPr>
          <w:trHeight w:val="288" w:hRule="exact"/>
        </w:trPr>
        <w:tc>
          <w:tcPr>
            <w:gridSpan w:val="15"/>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公司对子公司的担保情况</w:t>
            </w:r>
          </w:p>
        </w:tc>
      </w:tr>
      <w:tr>
        <w:trPr>
          <w:trHeight w:val="288" w:hRule="exact"/>
        </w:trPr>
        <w:tc>
          <w:tcPr>
            <w:gridSpan w:val="8"/>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2,300</w:t>
            </w:r>
          </w:p>
        </w:tc>
      </w:tr>
      <w:tr>
        <w:trPr>
          <w:trHeight w:val="283" w:hRule="exact"/>
        </w:trPr>
        <w:tc>
          <w:tcPr>
            <w:gridSpan w:val="8"/>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2,300</w:t>
            </w:r>
          </w:p>
        </w:tc>
      </w:tr>
      <w:tr>
        <w:trPr>
          <w:trHeight w:val="288" w:hRule="exact"/>
        </w:trPr>
        <w:tc>
          <w:tcPr>
            <w:gridSpan w:val="15"/>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公司担保总额情况（包括对子公司的担保）</w:t>
            </w:r>
          </w:p>
        </w:tc>
      </w:tr>
      <w:tr>
        <w:trPr>
          <w:trHeight w:val="288" w:hRule="exact"/>
        </w:trPr>
        <w:tc>
          <w:tcPr>
            <w:gridSpan w:val="8"/>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8,327</w:t>
            </w:r>
          </w:p>
        </w:tc>
      </w:tr>
      <w:tr>
        <w:trPr>
          <w:trHeight w:val="298" w:hRule="exact"/>
        </w:trPr>
        <w:tc>
          <w:tcPr>
            <w:gridSpan w:val="8"/>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w:t>
            </w:r>
          </w:p>
        </w:tc>
      </w:tr>
    </w:tbl>
    <w:p>
      <w:pPr>
        <w:widowControl w:val="0"/>
        <w:spacing w:line="1" w:lineRule="exact"/>
      </w:pPr>
      <w:r>
        <w:br w:type="page"/>
      </w:r>
    </w:p>
    <w:tbl>
      <w:tblPr>
        <w:tblOverlap w:val="never"/>
        <w:jc w:val="center"/>
        <w:tblLayout w:type="fixed"/>
      </w:tblPr>
      <w:tblGrid>
        <w:gridCol w:w="5088"/>
        <w:gridCol w:w="4234"/>
      </w:tblGrid>
      <w:tr>
        <w:trPr>
          <w:trHeight w:val="293"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 的债务担保金额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bookmarkStart w:id="81" w:name="bookmark81"/>
      <w:r>
        <w:rPr>
          <w:rFonts w:ascii="Times New Roman" w:eastAsia="Times New Roman" w:hAnsi="Times New Roman" w:cs="Times New Roman"/>
          <w:color w:val="000000"/>
          <w:spacing w:val="0"/>
          <w:w w:val="100"/>
          <w:position w:val="0"/>
        </w:rPr>
        <w:t>（</w:t>
      </w:r>
      <w:bookmarkEnd w:id="81"/>
      <w:r>
        <w:rPr>
          <w:color w:val="000000"/>
          <w:spacing w:val="0"/>
          <w:w w:val="100"/>
          <w:position w:val="0"/>
        </w:rPr>
        <w:t>三</w:t>
      </w:r>
      <w:r>
        <w:rPr>
          <w:color w:val="000000"/>
          <w:spacing w:val="0"/>
          <w:w w:val="100"/>
          <w:position w:val="0"/>
        </w:rPr>
        <w:t>）</w:t>
      </w:r>
      <w:r>
        <w:rPr>
          <w:color w:val="000000"/>
          <w:spacing w:val="0"/>
          <w:w w:val="100"/>
          <w:position w:val="0"/>
        </w:rPr>
        <w:t>其他重大合同</w:t>
      </w:r>
    </w:p>
    <w:p>
      <w:pPr>
        <w:pStyle w:val="Style13"/>
        <w:keepNext w:val="0"/>
        <w:keepLines w:val="0"/>
        <w:widowControl w:val="0"/>
        <w:shd w:val="clear" w:color="auto" w:fill="auto"/>
        <w:bidi w:val="0"/>
        <w:spacing w:before="0" w:after="240" w:line="240" w:lineRule="auto"/>
        <w:ind w:left="0" w:right="0" w:firstLine="220"/>
        <w:jc w:val="left"/>
      </w:pPr>
      <w:r>
        <w:rPr>
          <w:color w:val="000000"/>
          <w:spacing w:val="0"/>
          <w:w w:val="100"/>
          <w:position w:val="0"/>
        </w:rPr>
        <w:t>本年度公司无其他重大合同。</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八、承诺事项履行情况</w:t>
      </w:r>
    </w:p>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上市公司、持股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以上的股东、控股股东及实际控制人在报告期内或持续到报告期内的 承诺事项</w:t>
      </w:r>
    </w:p>
    <w:tbl>
      <w:tblPr>
        <w:tblOverlap w:val="never"/>
        <w:jc w:val="center"/>
        <w:tblLayout w:type="fixed"/>
      </w:tblPr>
      <w:tblGrid>
        <w:gridCol w:w="950"/>
        <w:gridCol w:w="1008"/>
        <w:gridCol w:w="907"/>
        <w:gridCol w:w="907"/>
        <w:gridCol w:w="907"/>
        <w:gridCol w:w="427"/>
        <w:gridCol w:w="427"/>
        <w:gridCol w:w="2294"/>
        <w:gridCol w:w="1493"/>
      </w:tblGrid>
      <w:tr>
        <w:trPr>
          <w:trHeight w:val="22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承诺背 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承诺类 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承诺内 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textDirection w:val="tbRlV"/>
            <w:vAlign w:val="center"/>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是否有履行期限</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是否及时严格履行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如未能及时履行应说 明未完成履行的具体 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如未能及时 履行应说明 下一步计划</w:t>
            </w:r>
          </w:p>
        </w:tc>
      </w:tr>
      <w:tr>
        <w:trPr>
          <w:trHeight w:val="384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3" w:lineRule="exact"/>
              <w:ind w:left="160" w:right="0" w:firstLine="0"/>
              <w:jc w:val="left"/>
            </w:pPr>
            <w:r>
              <w:rPr>
                <w:color w:val="000000"/>
                <w:spacing w:val="0"/>
                <w:w w:val="100"/>
                <w:position w:val="0"/>
              </w:rPr>
              <w:t>收购报 告书或 权益变 动报告 书中所 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控股股 东富润 控股集 团有限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在《富 润控股 集团有 限公司 </w:t>
            </w:r>
            <w:r>
              <w:rPr>
                <w:rFonts w:ascii="Times New Roman" w:eastAsia="Times New Roman" w:hAnsi="Times New Roman" w:cs="Times New Roman"/>
                <w:color w:val="000000"/>
                <w:spacing w:val="0"/>
                <w:w w:val="100"/>
                <w:position w:val="0"/>
              </w:rPr>
              <w:t>81%</w:t>
            </w:r>
            <w:r>
              <w:rPr>
                <w:color w:val="000000"/>
                <w:spacing w:val="0"/>
                <w:w w:val="100"/>
                <w:position w:val="0"/>
              </w:rPr>
              <w:t>国 有股权 转让合 同》生 效之日 起</w:t>
            </w:r>
            <w:r>
              <w:rPr>
                <w:rFonts w:ascii="Times New Roman" w:eastAsia="Times New Roman" w:hAnsi="Times New Roman" w:cs="Times New Roman"/>
                <w:color w:val="000000"/>
                <w:spacing w:val="0"/>
                <w:w w:val="100"/>
                <w:position w:val="0"/>
              </w:rPr>
              <w:t>36</w:t>
            </w:r>
            <w:r>
              <w:rPr>
                <w:color w:val="000000"/>
                <w:spacing w:val="0"/>
                <w:w w:val="100"/>
                <w:position w:val="0"/>
              </w:rPr>
              <w:t>个 月内， 不减持 公司股 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日，期 限</w:t>
            </w:r>
            <w:r>
              <w:rPr>
                <w:rFonts w:ascii="Times New Roman" w:eastAsia="Times New Roman" w:hAnsi="Times New Roman" w:cs="Times New Roman"/>
                <w:color w:val="000000"/>
                <w:spacing w:val="0"/>
                <w:w w:val="100"/>
                <w:position w:val="0"/>
              </w:rPr>
              <w:t>36</w:t>
            </w:r>
            <w:r>
              <w:rPr>
                <w:color w:val="000000"/>
                <w:spacing w:val="0"/>
                <w:w w:val="100"/>
                <w:position w:val="0"/>
              </w:rPr>
              <w:t>个</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5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实际控 制人浙 江诸暨 惠风创 业投资 有限公 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在《富 润控股 集团有 限公司 </w:t>
            </w:r>
            <w:r>
              <w:rPr>
                <w:rFonts w:ascii="Times New Roman" w:eastAsia="Times New Roman" w:hAnsi="Times New Roman" w:cs="Times New Roman"/>
                <w:color w:val="000000"/>
                <w:spacing w:val="0"/>
                <w:w w:val="100"/>
                <w:position w:val="0"/>
              </w:rPr>
              <w:t>81%</w:t>
            </w:r>
            <w:r>
              <w:rPr>
                <w:color w:val="000000"/>
                <w:spacing w:val="0"/>
                <w:w w:val="100"/>
                <w:position w:val="0"/>
              </w:rPr>
              <w:t>国 有股权 转让合 同》生 效之日 起</w:t>
            </w:r>
            <w:r>
              <w:rPr>
                <w:rFonts w:ascii="Times New Roman" w:eastAsia="Times New Roman" w:hAnsi="Times New Roman" w:cs="Times New Roman"/>
                <w:color w:val="000000"/>
                <w:spacing w:val="0"/>
                <w:w w:val="100"/>
                <w:position w:val="0"/>
              </w:rPr>
              <w:t>36</w:t>
            </w:r>
            <w:r>
              <w:rPr>
                <w:color w:val="000000"/>
                <w:spacing w:val="0"/>
                <w:w w:val="100"/>
                <w:position w:val="0"/>
              </w:rPr>
              <w:t>个 月内， 不减持 公司股 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日，期 限</w:t>
            </w:r>
            <w:r>
              <w:rPr>
                <w:rFonts w:ascii="Times New Roman" w:eastAsia="Times New Roman" w:hAnsi="Times New Roman" w:cs="Times New Roman"/>
                <w:color w:val="000000"/>
                <w:spacing w:val="0"/>
                <w:w w:val="100"/>
                <w:position w:val="0"/>
              </w:rPr>
              <w:t>36</w:t>
            </w:r>
            <w:r>
              <w:rPr>
                <w:color w:val="000000"/>
                <w:spacing w:val="0"/>
                <w:w w:val="100"/>
                <w:position w:val="0"/>
              </w:rPr>
              <w:t>个</w:t>
            </w:r>
          </w:p>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九、聘任、解聘会计师事务所情况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bl>
    <w:p>
      <w:pPr>
        <w:widowControl w:val="0"/>
        <w:spacing w:after="439" w:line="1" w:lineRule="exact"/>
      </w:pPr>
    </w:p>
    <w:p>
      <w:pPr>
        <w:pStyle w:val="Style13"/>
        <w:keepNext w:val="0"/>
        <w:keepLines w:val="0"/>
        <w:widowControl w:val="0"/>
        <w:shd w:val="clear" w:color="auto" w:fill="auto"/>
        <w:bidi w:val="0"/>
        <w:spacing w:before="0" w:after="0" w:line="281" w:lineRule="exact"/>
        <w:ind w:left="0" w:right="0" w:firstLine="0"/>
        <w:jc w:val="left"/>
      </w:pPr>
      <w:r>
        <w:rPr>
          <w:color w:val="000000"/>
          <w:spacing w:val="0"/>
          <w:w w:val="100"/>
          <w:position w:val="0"/>
        </w:rPr>
        <w:t>十、上市公司及其董事、监事、高级管理人员、持有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 人处罚及整改情况</w:t>
      </w:r>
    </w:p>
    <w:p>
      <w:pPr>
        <w:pStyle w:val="Style13"/>
        <w:keepNext w:val="0"/>
        <w:keepLines w:val="0"/>
        <w:widowControl w:val="0"/>
        <w:shd w:val="clear" w:color="auto" w:fill="auto"/>
        <w:bidi w:val="0"/>
        <w:spacing w:before="0" w:after="0" w:line="281" w:lineRule="exact"/>
        <w:ind w:left="0" w:right="0" w:firstLine="0"/>
        <w:jc w:val="left"/>
      </w:pPr>
      <w:r>
        <w:rPr>
          <w:color w:val="000000"/>
          <w:spacing w:val="0"/>
          <w:w w:val="100"/>
          <w:position w:val="0"/>
        </w:rPr>
        <w:t>本年度公司及其董事、监事、高级管理人员、持有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以上股份的股东、实际控制人、收购人均 未受中国证监会的稽查、行政处罚、通报批评及证券交易所的公开谴责。</w:t>
      </w:r>
    </w:p>
    <w:p>
      <w:pPr>
        <w:pStyle w:val="Style13"/>
        <w:keepNext w:val="0"/>
        <w:keepLines w:val="0"/>
        <w:widowControl w:val="0"/>
        <w:shd w:val="clear" w:color="auto" w:fill="auto"/>
        <w:bidi w:val="0"/>
        <w:spacing w:before="0" w:after="0" w:line="281" w:lineRule="exact"/>
        <w:ind w:left="0" w:right="0" w:firstLine="0"/>
        <w:jc w:val="left"/>
      </w:pPr>
      <w:r>
        <w:rPr>
          <w:color w:val="000000"/>
          <w:spacing w:val="0"/>
          <w:w w:val="100"/>
          <w:position w:val="0"/>
        </w:rPr>
        <w:t>十一、其他重大事项的说明</w:t>
      </w:r>
    </w:p>
    <w:p>
      <w:pPr>
        <w:pStyle w:val="Style13"/>
        <w:keepNext w:val="0"/>
        <w:keepLines w:val="0"/>
        <w:widowControl w:val="0"/>
        <w:shd w:val="clear" w:color="auto" w:fill="auto"/>
        <w:bidi w:val="0"/>
        <w:spacing w:before="0" w:after="0" w:line="281" w:lineRule="exact"/>
        <w:ind w:left="0" w:right="0" w:firstLine="0"/>
        <w:jc w:val="left"/>
      </w:pPr>
      <w:r>
        <w:rPr>
          <w:color w:val="000000"/>
          <w:spacing w:val="0"/>
          <w:w w:val="100"/>
          <w:position w:val="0"/>
        </w:rPr>
        <w:t>报告期内公司无其他重大事项。</w:t>
      </w:r>
      <w:r>
        <w:br w:type="page"/>
      </w:r>
    </w:p>
    <w:p>
      <w:pPr>
        <w:pStyle w:val="Style17"/>
        <w:keepNext/>
        <w:keepLines/>
        <w:widowControl w:val="0"/>
        <w:shd w:val="clear" w:color="auto" w:fill="auto"/>
        <w:bidi w:val="0"/>
        <w:spacing w:before="0" w:after="780" w:line="240" w:lineRule="auto"/>
        <w:ind w:left="0" w:right="0" w:firstLine="0"/>
        <w:jc w:val="left"/>
      </w:pPr>
      <w:r>
        <mc:AlternateContent>
          <mc:Choice Requires="wps">
            <w:drawing>
              <wp:anchor distT="0" distB="0" distL="0" distR="0" simplePos="0" relativeHeight="125829404" behindDoc="0" locked="0" layoutInCell="1" allowOverlap="1">
                <wp:simplePos x="0" y="0"/>
                <wp:positionH relativeFrom="page">
                  <wp:posOffset>1117600</wp:posOffset>
                </wp:positionH>
                <wp:positionV relativeFrom="paragraph">
                  <wp:posOffset>838200</wp:posOffset>
                </wp:positionV>
                <wp:extent cx="1313815" cy="527050"/>
                <wp:wrapSquare wrapText="bothSides"/>
                <wp:docPr id="38" name="Shape 38"/>
                <a:graphic xmlns:a="http://schemas.openxmlformats.org/drawingml/2006/main">
                  <a:graphicData uri="http://schemas.microsoft.com/office/word/2010/wordprocessingShape">
                    <wps:wsp>
                      <wps:cNvSpPr txBox="1"/>
                      <wps:spPr>
                        <a:xfrm>
                          <a:ext cx="1313815" cy="527050"/>
                        </a:xfrm>
                        <a:prstGeom prst="rect"/>
                        <a:noFill/>
                      </wps:spPr>
                      <wps:txbx>
                        <w:txbxContent>
                          <w:p>
                            <w:pPr>
                              <w:pStyle w:val="Style13"/>
                              <w:keepNext w:val="0"/>
                              <w:keepLines w:val="0"/>
                              <w:widowControl w:val="0"/>
                              <w:shd w:val="clear" w:color="auto" w:fill="auto"/>
                              <w:bidi w:val="0"/>
                              <w:spacing w:before="0" w:after="0" w:line="269" w:lineRule="exact"/>
                              <w:ind w:left="0" w:right="0" w:firstLine="640"/>
                              <w:jc w:val="left"/>
                            </w:pPr>
                            <w:r>
                              <w:rPr>
                                <w:color w:val="000000"/>
                                <w:spacing w:val="0"/>
                                <w:w w:val="100"/>
                                <w:position w:val="0"/>
                              </w:rPr>
                              <w:t>股本变动情况</w:t>
                            </w:r>
                          </w:p>
                          <w:p>
                            <w:pPr>
                              <w:pStyle w:val="Style13"/>
                              <w:keepNext w:val="0"/>
                              <w:keepLines w:val="0"/>
                              <w:widowControl w:val="0"/>
                              <w:shd w:val="clear" w:color="auto" w:fill="auto"/>
                              <w:bidi w:val="0"/>
                              <w:spacing w:before="0" w:after="0" w:line="26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股份变动情况表 股份变动情况表</w:t>
                            </w:r>
                          </w:p>
                        </w:txbxContent>
                      </wps:txbx>
                      <wps:bodyPr lIns="0" tIns="0" rIns="0" bIns="0">
                        <a:noAutoFit/>
                      </wps:bodyPr>
                    </wps:wsp>
                  </a:graphicData>
                </a:graphic>
              </wp:anchor>
            </w:drawing>
          </mc:Choice>
          <mc:Fallback>
            <w:pict>
              <v:shape id="_x0000_s1064" type="#_x0000_t202" style="position:absolute;margin-left:88.pt;margin-top:66.pt;width:103.45pt;height:41.5pt;z-index:-125829349;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69" w:lineRule="exact"/>
                        <w:ind w:left="0" w:right="0" w:firstLine="640"/>
                        <w:jc w:val="left"/>
                      </w:pPr>
                      <w:r>
                        <w:rPr>
                          <w:color w:val="000000"/>
                          <w:spacing w:val="0"/>
                          <w:w w:val="100"/>
                          <w:position w:val="0"/>
                        </w:rPr>
                        <w:t>股本变动情况</w:t>
                      </w:r>
                    </w:p>
                    <w:p>
                      <w:pPr>
                        <w:pStyle w:val="Style13"/>
                        <w:keepNext w:val="0"/>
                        <w:keepLines w:val="0"/>
                        <w:widowControl w:val="0"/>
                        <w:shd w:val="clear" w:color="auto" w:fill="auto"/>
                        <w:bidi w:val="0"/>
                        <w:spacing w:before="0" w:after="0" w:line="26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股份变动情况表 股份变动情况表</w:t>
                      </w:r>
                    </w:p>
                  </w:txbxContent>
                </v:textbox>
                <w10:wrap type="square" anchorx="page"/>
              </v:shape>
            </w:pict>
          </mc:Fallback>
        </mc:AlternateContent>
      </w:r>
      <w:r>
        <mc:AlternateContent>
          <mc:Choice Requires="wps">
            <w:drawing>
              <wp:anchor distT="0" distB="0" distL="114300" distR="114300" simplePos="0" relativeHeight="125829406" behindDoc="0" locked="0" layoutInCell="1" allowOverlap="1">
                <wp:simplePos x="0" y="0"/>
                <wp:positionH relativeFrom="page">
                  <wp:posOffset>1120775</wp:posOffset>
                </wp:positionH>
                <wp:positionV relativeFrom="paragraph">
                  <wp:posOffset>850900</wp:posOffset>
                </wp:positionV>
                <wp:extent cx="286385" cy="158750"/>
                <wp:wrapTopAndBottom/>
                <wp:docPr id="40" name="Shape 40"/>
                <a:graphic xmlns:a="http://schemas.openxmlformats.org/drawingml/2006/main">
                  <a:graphicData uri="http://schemas.microsoft.com/office/word/2010/wordprocessingShape">
                    <wps:wsp>
                      <wps:cNvSpPr txBox="1"/>
                      <wps:spPr>
                        <a:xfrm>
                          <a:ext cx="286385" cy="1587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xbxContent>
                      </wps:txbx>
                      <wps:bodyPr wrap="none" lIns="0" tIns="0" rIns="0" bIns="0">
                        <a:noAutoFit/>
                      </wps:bodyPr>
                    </wps:wsp>
                  </a:graphicData>
                </a:graphic>
              </wp:anchor>
            </w:drawing>
          </mc:Choice>
          <mc:Fallback>
            <w:pict>
              <v:shape id="_x0000_s1066" type="#_x0000_t202" style="position:absolute;margin-left:88.25pt;margin-top:67.pt;width:22.550000000000001pt;height:12.5pt;z-index:-125829347;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xbxContent>
                </v:textbox>
                <w10:wrap type="topAndBottom" anchorx="page"/>
              </v:shape>
            </w:pict>
          </mc:Fallback>
        </mc:AlternateContent>
      </w:r>
      <w:bookmarkStart w:id="82" w:name="bookmark82"/>
      <w:bookmarkStart w:id="83" w:name="bookmark83"/>
      <w:bookmarkStart w:id="84" w:name="bookmark84"/>
      <w:r>
        <w:rPr>
          <w:color w:val="000000"/>
          <w:spacing w:val="0"/>
          <w:w w:val="100"/>
          <w:position w:val="0"/>
        </w:rPr>
        <w:t>第六节股份变动及股东情况</w:t>
      </w:r>
      <w:bookmarkEnd w:id="82"/>
      <w:bookmarkEnd w:id="83"/>
      <w:bookmarkEnd w:id="84"/>
    </w:p>
    <w:tbl>
      <w:tblPr>
        <w:tblOverlap w:val="never"/>
        <w:jc w:val="left"/>
        <w:tblLayout w:type="fixed"/>
      </w:tblPr>
      <w:tblGrid>
        <w:gridCol w:w="2021"/>
        <w:gridCol w:w="1267"/>
        <w:gridCol w:w="754"/>
        <w:gridCol w:w="763"/>
        <w:gridCol w:w="538"/>
        <w:gridCol w:w="874"/>
        <w:gridCol w:w="538"/>
        <w:gridCol w:w="538"/>
        <w:gridCol w:w="1267"/>
        <w:gridCol w:w="763"/>
      </w:tblGrid>
      <w:tr>
        <w:trPr>
          <w:trHeight w:val="293" w:hRule="exact"/>
        </w:trPr>
        <w:tc>
          <w:tcPr>
            <w:vMerge w:val="restart"/>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gridSpan w:val="2"/>
            <w:tcBorders>
              <w:top w:val="single" w:sz="4"/>
              <w:left w:val="single" w:sz="4"/>
            </w:tcBorders>
            <w:shd w:val="clear" w:color="auto" w:fill="FFFFFF"/>
            <w:vAlign w:val="bottom"/>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62" w:hRule="exact"/>
        </w:trPr>
        <w:tc>
          <w:tcPr>
            <w:vMerge/>
            <w:tcBorders>
              <w:left w:val="single" w:sz="4"/>
            </w:tcBorders>
            <w:shd w:val="clear" w:color="auto" w:fill="FFFFFF"/>
            <w:vAlign w:val="top"/>
          </w:tcPr>
          <w:p>
            <w:pPr>
              <w:framePr w:w="9322" w:h="7080" w:vSpace="533" w:wrap="notBeside" w:vAnchor="text" w:hAnchor="text" w:y="534"/>
            </w:pPr>
          </w:p>
        </w:tc>
        <w:tc>
          <w:tcPr>
            <w:tcBorders>
              <w:top w:val="single" w:sz="4"/>
              <w:left w:val="single" w:sz="4"/>
            </w:tcBorders>
            <w:shd w:val="clear" w:color="auto" w:fill="FFFFFF"/>
            <w:vAlign w:val="center"/>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bottom"/>
          </w:tcPr>
          <w:p>
            <w:pPr>
              <w:pStyle w:val="Style21"/>
              <w:keepNext w:val="0"/>
              <w:keepLines w:val="0"/>
              <w:framePr w:w="9322" w:h="7080" w:vSpace="533" w:wrap="notBeside" w:vAnchor="text" w:hAnchor="text" w:y="534"/>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framePr w:w="9322" w:h="7080" w:vSpace="533" w:wrap="notBeside" w:vAnchor="text" w:hAnchor="text" w:y="534"/>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bottom"/>
          </w:tcPr>
          <w:p>
            <w:pPr>
              <w:pStyle w:val="Style21"/>
              <w:keepNext w:val="0"/>
              <w:keepLines w:val="0"/>
              <w:framePr w:w="9322" w:h="7080" w:vSpace="533" w:wrap="notBeside" w:vAnchor="text" w:hAnchor="text" w:y="534"/>
              <w:widowControl w:val="0"/>
              <w:shd w:val="clear" w:color="auto" w:fill="auto"/>
              <w:bidi w:val="0"/>
              <w:spacing w:before="0" w:after="0" w:line="283" w:lineRule="exact"/>
              <w:ind w:left="0" w:right="0" w:firstLine="0"/>
              <w:jc w:val="center"/>
            </w:pPr>
            <w:r>
              <w:rPr>
                <w:color w:val="000000"/>
                <w:spacing w:val="0"/>
                <w:w w:val="100"/>
                <w:position w:val="0"/>
              </w:rPr>
              <w:t>送 股</w:t>
            </w:r>
          </w:p>
        </w:tc>
        <w:tc>
          <w:tcPr>
            <w:tcBorders>
              <w:top w:val="single" w:sz="4"/>
              <w:left w:val="single" w:sz="4"/>
            </w:tcBorders>
            <w:shd w:val="clear" w:color="auto" w:fill="FFFFFF"/>
            <w:vAlign w:val="bottom"/>
          </w:tcPr>
          <w:p>
            <w:pPr>
              <w:pStyle w:val="Style21"/>
              <w:keepNext w:val="0"/>
              <w:keepLines w:val="0"/>
              <w:framePr w:w="9322" w:h="7080" w:vSpace="533" w:wrap="notBeside" w:vAnchor="text" w:hAnchor="text" w:y="534"/>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textDirection w:val="tbRlV"/>
            <w:vAlign w:val="top"/>
          </w:tcPr>
          <w:p>
            <w:pPr>
              <w:pStyle w:val="Style38"/>
              <w:keepNext w:val="0"/>
              <w:keepLines w:val="0"/>
              <w:framePr w:w="9322" w:h="7080" w:vSpace="533" w:wrap="notBeside" w:vAnchor="text" w:hAnchor="text" w:y="534"/>
              <w:widowControl w:val="0"/>
              <w:shd w:val="clear" w:color="auto" w:fill="auto"/>
              <w:bidi w:val="0"/>
              <w:spacing w:before="16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textDirection w:val="tbRlV"/>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bottom"/>
          </w:tcPr>
          <w:p>
            <w:pPr>
              <w:pStyle w:val="Style21"/>
              <w:keepNext w:val="0"/>
              <w:keepLines w:val="0"/>
              <w:framePr w:w="9322" w:h="7080" w:vSpace="533" w:wrap="notBeside" w:vAnchor="text" w:hAnchor="text" w:y="534"/>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9322" w:h="7080" w:vSpace="533" w:wrap="notBeside" w:vAnchor="text" w:hAnchor="text"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9322" w:h="7080" w:vSpace="533" w:wrap="notBeside" w:vAnchor="text" w:hAnchor="text"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9322" w:h="7080" w:vSpace="533" w:wrap="notBeside" w:vAnchor="text" w:hAnchor="text" w:y="534"/>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9322" w:h="7080" w:vSpace="533" w:wrap="notBeside" w:vAnchor="text" w:hAnchor="text" w:y="534"/>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framePr w:w="9322" w:h="7080" w:vSpace="533" w:wrap="notBeside" w:vAnchor="text" w:hAnchor="text" w:y="534"/>
              <w:widowControl w:val="0"/>
              <w:shd w:val="clear" w:color="auto" w:fill="auto"/>
              <w:bidi w:val="0"/>
              <w:spacing w:before="0" w:after="0" w:line="259" w:lineRule="exact"/>
              <w:ind w:left="0" w:right="0" w:firstLine="0"/>
              <w:jc w:val="left"/>
            </w:pPr>
            <w:r>
              <w:rPr>
                <w:color w:val="000000"/>
                <w:spacing w:val="0"/>
                <w:w w:val="100"/>
                <w:position w:val="0"/>
              </w:rPr>
              <w:t>其中：境内非国有 法人持股</w:t>
            </w: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9322" w:h="7080" w:vSpace="533" w:wrap="notBeside" w:vAnchor="text" w:hAnchor="text" w:y="534"/>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framePr w:w="9322" w:h="7080" w:vSpace="533" w:wrap="notBeside" w:vAnchor="text" w:hAnchor="text" w:y="534"/>
              <w:widowControl w:val="0"/>
              <w:shd w:val="clear" w:color="auto" w:fill="auto"/>
              <w:bidi w:val="0"/>
              <w:spacing w:before="0" w:after="0" w:line="274" w:lineRule="exact"/>
              <w:ind w:left="0" w:right="0" w:firstLine="760"/>
              <w:jc w:val="left"/>
            </w:pPr>
            <w:r>
              <w:rPr>
                <w:color w:val="000000"/>
                <w:spacing w:val="0"/>
                <w:w w:val="100"/>
                <w:position w:val="0"/>
              </w:rPr>
              <w:t>境内自然人 持股</w:t>
            </w: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9322" w:h="7080" w:vSpace="533" w:wrap="notBeside" w:vAnchor="text" w:hAnchor="text"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7"/>
                <w:szCs w:val="17"/>
              </w:rPr>
              <w:t>4</w:t>
            </w:r>
            <w:r>
              <w:rPr>
                <w:color w:val="000000"/>
                <w:spacing w:val="0"/>
                <w:w w:val="100"/>
                <w:position w:val="0"/>
              </w:rPr>
              <w:t>、外资持股</w:t>
            </w: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9322" w:h="7080" w:vSpace="533" w:wrap="notBeside" w:vAnchor="text" w:hAnchor="text" w:y="534"/>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framePr w:w="9322" w:h="7080" w:vSpace="533" w:wrap="notBeside" w:vAnchor="text" w:hAnchor="text" w:y="534"/>
              <w:widowControl w:val="0"/>
              <w:shd w:val="clear" w:color="auto" w:fill="auto"/>
              <w:bidi w:val="0"/>
              <w:spacing w:before="0" w:after="0" w:line="278" w:lineRule="exact"/>
              <w:ind w:left="0" w:right="0" w:firstLine="0"/>
              <w:jc w:val="left"/>
            </w:pPr>
            <w:r>
              <w:rPr>
                <w:color w:val="000000"/>
                <w:spacing w:val="0"/>
                <w:w w:val="100"/>
                <w:position w:val="0"/>
              </w:rPr>
              <w:t>其中：境外法人持 股</w:t>
            </w: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9322" w:h="7080" w:vSpace="533" w:wrap="notBeside" w:vAnchor="text" w:hAnchor="text" w:y="534"/>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framePr w:w="9322" w:h="7080" w:vSpace="533" w:wrap="notBeside" w:vAnchor="text" w:hAnchor="text" w:y="534"/>
              <w:widowControl w:val="0"/>
              <w:shd w:val="clear" w:color="auto" w:fill="auto"/>
              <w:bidi w:val="0"/>
              <w:spacing w:before="0" w:after="0" w:line="269" w:lineRule="exact"/>
              <w:ind w:left="0" w:right="0" w:firstLine="760"/>
              <w:jc w:val="left"/>
            </w:pPr>
            <w:r>
              <w:rPr>
                <w:color w:val="000000"/>
                <w:spacing w:val="0"/>
                <w:w w:val="100"/>
                <w:position w:val="0"/>
              </w:rPr>
              <w:t>境外自然人 持股</w:t>
            </w: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9322" w:h="7080" w:vSpace="533" w:wrap="notBeside" w:vAnchor="text" w:hAnchor="text" w:y="534"/>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framePr w:w="9322" w:h="7080" w:vSpace="533" w:wrap="notBeside" w:vAnchor="text" w:hAnchor="text" w:y="534"/>
              <w:widowControl w:val="0"/>
              <w:shd w:val="clear" w:color="auto" w:fill="auto"/>
              <w:bidi w:val="0"/>
              <w:spacing w:before="0" w:after="0" w:line="278" w:lineRule="exact"/>
              <w:ind w:left="0" w:right="0" w:firstLine="0"/>
              <w:jc w:val="both"/>
            </w:pPr>
            <w:r>
              <w:rPr>
                <w:color w:val="000000"/>
                <w:spacing w:val="0"/>
                <w:w w:val="100"/>
                <w:position w:val="0"/>
              </w:rPr>
              <w:t>二、无限售条件流通 股份</w:t>
            </w:r>
          </w:p>
        </w:tc>
        <w:tc>
          <w:tcPr>
            <w:tcBorders>
              <w:top w:val="single" w:sz="4"/>
              <w:left w:val="single" w:sz="4"/>
            </w:tcBorders>
            <w:shd w:val="clear" w:color="auto" w:fill="FFFFFF"/>
            <w:vAlign w:val="center"/>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182,878,488</w:t>
            </w:r>
          </w:p>
        </w:tc>
        <w:tc>
          <w:tcPr>
            <w:tcBorders>
              <w:top w:val="single" w:sz="4"/>
              <w:left w:val="single" w:sz="4"/>
            </w:tcBorders>
            <w:shd w:val="clear" w:color="auto" w:fill="FFFFFF"/>
            <w:vAlign w:val="center"/>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182,878,488</w:t>
            </w:r>
          </w:p>
        </w:tc>
        <w:tc>
          <w:tcPr>
            <w:tcBorders>
              <w:top w:val="single" w:sz="4"/>
              <w:left w:val="single" w:sz="4"/>
              <w:right w:val="single" w:sz="4"/>
            </w:tcBorders>
            <w:shd w:val="clear" w:color="auto" w:fill="FFFFFF"/>
            <w:vAlign w:val="center"/>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182,878,488</w:t>
            </w:r>
          </w:p>
        </w:tc>
        <w:tc>
          <w:tcPr>
            <w:tcBorders>
              <w:top w:val="single" w:sz="4"/>
              <w:left w:val="single" w:sz="4"/>
            </w:tcBorders>
            <w:shd w:val="clear" w:color="auto" w:fill="FFFFFF"/>
            <w:vAlign w:val="bottom"/>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182,878,488</w:t>
            </w:r>
          </w:p>
        </w:tc>
        <w:tc>
          <w:tcPr>
            <w:tcBorders>
              <w:top w:val="single" w:sz="4"/>
              <w:left w:val="single" w:sz="4"/>
              <w:right w:val="single" w:sz="4"/>
            </w:tcBorders>
            <w:shd w:val="clear" w:color="auto" w:fill="FFFFFF"/>
            <w:vAlign w:val="bottom"/>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562" w:hRule="exact"/>
        </w:trPr>
        <w:tc>
          <w:tcPr>
            <w:tcBorders>
              <w:top w:val="single" w:sz="4"/>
              <w:left w:val="single" w:sz="4"/>
            </w:tcBorders>
            <w:shd w:val="clear" w:color="auto" w:fill="FFFFFF"/>
            <w:vAlign w:val="top"/>
          </w:tcPr>
          <w:p>
            <w:pPr>
              <w:pStyle w:val="Style21"/>
              <w:keepNext w:val="0"/>
              <w:keepLines w:val="0"/>
              <w:framePr w:w="9322" w:h="7080" w:vSpace="533" w:wrap="notBeside" w:vAnchor="text" w:hAnchor="text" w:y="534"/>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 股</w:t>
            </w: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9322" w:h="7080" w:vSpace="533" w:wrap="notBeside" w:vAnchor="text" w:hAnchor="text" w:y="534"/>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framePr w:w="9322" w:h="7080" w:vSpace="533" w:wrap="notBeside" w:vAnchor="text" w:hAnchor="text" w:y="534"/>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 股</w:t>
            </w: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9322" w:h="7080" w:vSpace="533" w:wrap="notBeside" w:vAnchor="text" w:hAnchor="text"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9322" w:h="7080" w:vSpace="533" w:wrap="notBeside" w:vAnchor="text" w:hAnchor="text" w:y="534"/>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both"/>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182,878,488</w:t>
            </w:r>
          </w:p>
        </w:tc>
        <w:tc>
          <w:tcPr>
            <w:tcBorders>
              <w:top w:val="single" w:sz="4"/>
              <w:left w:val="single" w:sz="4"/>
              <w:bottom w:val="single" w:sz="4"/>
            </w:tcBorders>
            <w:shd w:val="clear" w:color="auto" w:fill="FFFFFF"/>
            <w:vAlign w:val="center"/>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bottom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bottom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bottom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bottom w:val="single" w:sz="4"/>
            </w:tcBorders>
            <w:shd w:val="clear" w:color="auto" w:fill="FFFFFF"/>
            <w:vAlign w:val="top"/>
          </w:tcPr>
          <w:p>
            <w:pPr>
              <w:framePr w:w="9322" w:h="7080" w:vSpace="533" w:wrap="notBeside" w:vAnchor="text" w:hAnchor="text" w:y="534"/>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182,878,488</w:t>
            </w:r>
          </w:p>
        </w:tc>
        <w:tc>
          <w:tcPr>
            <w:tcBorders>
              <w:top w:val="single" w:sz="4"/>
              <w:left w:val="single" w:sz="4"/>
              <w:bottom w:val="single" w:sz="4"/>
              <w:right w:val="single" w:sz="4"/>
            </w:tcBorders>
            <w:shd w:val="clear" w:color="auto" w:fill="FFFFFF"/>
            <w:vAlign w:val="center"/>
          </w:tcPr>
          <w:p>
            <w:pPr>
              <w:pStyle w:val="Style21"/>
              <w:keepNext w:val="0"/>
              <w:keepLines w:val="0"/>
              <w:framePr w:w="9322" w:h="7080" w:vSpace="533" w:wrap="notBeside" w:vAnchor="text" w:hAnchor="text"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19"/>
        <w:keepNext w:val="0"/>
        <w:keepLines w:val="0"/>
        <w:framePr w:w="341" w:h="264" w:hSpace="8981" w:wrap="notBeside" w:vAnchor="text" w:hAnchor="text" w:x="15"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9"/>
        <w:keepNext w:val="0"/>
        <w:keepLines w:val="0"/>
        <w:framePr w:w="874" w:h="259" w:hSpace="8448" w:wrap="notBeside" w:vAnchor="text" w:hAnchor="text" w:x="7806" w:y="270"/>
        <w:widowControl w:val="0"/>
        <w:shd w:val="clear" w:color="auto" w:fill="auto"/>
        <w:bidi w:val="0"/>
        <w:spacing w:before="0" w:after="0" w:line="240" w:lineRule="auto"/>
        <w:ind w:left="0" w:right="0" w:firstLine="0"/>
        <w:jc w:val="left"/>
      </w:pPr>
      <w:r>
        <w:rPr>
          <w:color w:val="000000"/>
          <w:spacing w:val="0"/>
          <w:w w:val="100"/>
          <w:position w:val="0"/>
        </w:rPr>
        <w:t>单位：股</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限售股份变动情况</w:t>
      </w:r>
    </w:p>
    <w:p>
      <w:pPr>
        <w:pStyle w:val="Style13"/>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报告期内，本公司限售股份无变动情况。</w:t>
      </w:r>
    </w:p>
    <w:p>
      <w:pPr>
        <w:pStyle w:val="Style13"/>
        <w:keepNext w:val="0"/>
        <w:keepLines w:val="0"/>
        <w:widowControl w:val="0"/>
        <w:shd w:val="clear" w:color="auto" w:fill="auto"/>
        <w:bidi w:val="0"/>
        <w:spacing w:before="0" w:after="0" w:line="240" w:lineRule="auto"/>
        <w:ind w:left="0" w:right="0" w:firstLine="0"/>
        <w:jc w:val="left"/>
      </w:pPr>
      <w:bookmarkStart w:id="85" w:name="bookmark85"/>
      <w:r>
        <w:rPr>
          <w:color w:val="000000"/>
          <w:spacing w:val="0"/>
          <w:w w:val="100"/>
          <w:position w:val="0"/>
        </w:rPr>
        <w:t>二</w:t>
      </w:r>
      <w:bookmarkEnd w:id="85"/>
      <w:r>
        <w:rPr>
          <w:color w:val="000000"/>
          <w:spacing w:val="0"/>
          <w:w w:val="100"/>
          <w:position w:val="0"/>
        </w:rPr>
        <w:t>、证券发行与上市情况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截至报告期末近</w:t>
      </w:r>
      <w:r>
        <w:rPr>
          <w:rFonts w:ascii="Times New Roman" w:eastAsia="Times New Roman" w:hAnsi="Times New Roman" w:cs="Times New Roman"/>
          <w:color w:val="000000"/>
          <w:spacing w:val="0"/>
          <w:w w:val="100"/>
          <w:position w:val="0"/>
        </w:rPr>
        <w:t>3</w:t>
      </w:r>
      <w:r>
        <w:rPr>
          <w:color w:val="000000"/>
          <w:spacing w:val="0"/>
          <w:w w:val="100"/>
          <w:position w:val="0"/>
        </w:rPr>
        <w:t>年历次证券发行情况</w:t>
      </w:r>
    </w:p>
    <w:p>
      <w:pPr>
        <w:pStyle w:val="Style13"/>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截止本报告期末至前三年，公司未有证券发行与上市情况。</w:t>
      </w:r>
    </w:p>
    <w:p>
      <w:pPr>
        <w:pStyle w:val="Style13"/>
        <w:keepNext w:val="0"/>
        <w:keepLines w:val="0"/>
        <w:widowControl w:val="0"/>
        <w:shd w:val="clear" w:color="auto" w:fill="auto"/>
        <w:bidi w:val="0"/>
        <w:spacing w:before="0" w:after="260" w:line="283" w:lineRule="exact"/>
        <w:ind w:left="220" w:right="0" w:hanging="220"/>
        <w:jc w:val="left"/>
      </w:pPr>
      <w:bookmarkStart w:id="86" w:name="bookmark86"/>
      <w:r>
        <w:rPr>
          <w:rFonts w:ascii="Times New Roman" w:eastAsia="Times New Roman" w:hAnsi="Times New Roman" w:cs="Times New Roman"/>
          <w:color w:val="000000"/>
          <w:spacing w:val="0"/>
          <w:w w:val="100"/>
          <w:position w:val="0"/>
        </w:rPr>
        <w:t>（</w:t>
      </w:r>
      <w:bookmarkEnd w:id="86"/>
      <w:r>
        <w:rPr>
          <w:color w:val="000000"/>
          <w:spacing w:val="0"/>
          <w:w w:val="100"/>
          <w:position w:val="0"/>
        </w:rPr>
        <w:t>二</w:t>
      </w:r>
      <w:r>
        <w:rPr>
          <w:color w:val="000000"/>
          <w:spacing w:val="0"/>
          <w:w w:val="100"/>
          <w:position w:val="0"/>
        </w:rPr>
        <w:t>）</w:t>
      </w:r>
      <w:r>
        <w:rPr>
          <w:color w:val="000000"/>
          <w:spacing w:val="0"/>
          <w:w w:val="100"/>
          <w:position w:val="0"/>
        </w:rPr>
        <w:t>公司股份总数及股东结构变动及公司资产和负债结构的变动情况 报告期内没有因送股、配股等原因引起公司股份总数及结构的变动。</w:t>
      </w:r>
      <w:r>
        <w:br w:type="page"/>
      </w:r>
    </w:p>
    <w:p>
      <w:pPr>
        <w:pStyle w:val="Style13"/>
        <w:keepNext w:val="0"/>
        <w:keepLines w:val="0"/>
        <w:widowControl w:val="0"/>
        <w:shd w:val="clear" w:color="auto" w:fill="auto"/>
        <w:bidi w:val="0"/>
        <w:spacing w:before="0" w:after="220" w:line="274" w:lineRule="exact"/>
        <w:ind w:left="220" w:right="0" w:hanging="220"/>
        <w:jc w:val="left"/>
      </w:pPr>
      <w:bookmarkStart w:id="87" w:name="bookmark87"/>
      <w:r>
        <w:rPr>
          <w:rFonts w:ascii="Times New Roman" w:eastAsia="Times New Roman" w:hAnsi="Times New Roman" w:cs="Times New Roman"/>
          <w:color w:val="000000"/>
          <w:spacing w:val="0"/>
          <w:w w:val="100"/>
          <w:position w:val="0"/>
        </w:rPr>
        <w:t>（</w:t>
      </w:r>
      <w:bookmarkEnd w:id="87"/>
      <w:r>
        <w:rPr>
          <w:color w:val="000000"/>
          <w:spacing w:val="0"/>
          <w:w w:val="100"/>
          <w:position w:val="0"/>
        </w:rPr>
        <w:t>三</w:t>
      </w:r>
      <w:r>
        <w:rPr>
          <w:color w:val="000000"/>
          <w:spacing w:val="0"/>
          <w:w w:val="100"/>
          <w:position w:val="0"/>
        </w:rPr>
        <w:t>）</w:t>
      </w:r>
      <w:r>
        <w:rPr>
          <w:color w:val="000000"/>
          <w:spacing w:val="0"/>
          <w:w w:val="100"/>
          <w:position w:val="0"/>
        </w:rPr>
        <w:t>现存的内部职工股情况 本报告期末公司无内部职工股。</w:t>
      </w:r>
    </w:p>
    <w:p>
      <w:pPr>
        <w:pStyle w:val="Style13"/>
        <w:keepNext w:val="0"/>
        <w:keepLines w:val="0"/>
        <w:widowControl w:val="0"/>
        <w:shd w:val="clear" w:color="auto" w:fill="auto"/>
        <w:bidi w:val="0"/>
        <w:spacing w:before="0" w:after="0" w:line="274" w:lineRule="exact"/>
        <w:ind w:left="0" w:right="0" w:firstLine="0"/>
        <w:jc w:val="left"/>
      </w:pPr>
      <w:bookmarkStart w:id="88" w:name="bookmark88"/>
      <w:r>
        <w:rPr>
          <w:color w:val="000000"/>
          <w:spacing w:val="0"/>
          <w:w w:val="100"/>
          <w:position w:val="0"/>
        </w:rPr>
        <w:t>三</w:t>
      </w:r>
      <w:bookmarkEnd w:id="88"/>
      <w:r>
        <w:rPr>
          <w:color w:val="000000"/>
          <w:spacing w:val="0"/>
          <w:w w:val="100"/>
          <w:position w:val="0"/>
        </w:rPr>
        <w:t>、股东和实际控制人情况</w:t>
      </w: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股东数量和持股情况</w:t>
      </w:r>
    </w:p>
    <w:p>
      <w:pPr>
        <w:pStyle w:val="Style19"/>
        <w:keepNext w:val="0"/>
        <w:keepLines w:val="0"/>
        <w:widowControl w:val="0"/>
        <w:shd w:val="clear" w:color="auto" w:fill="auto"/>
        <w:bidi w:val="0"/>
        <w:spacing w:before="0" w:after="0" w:line="240" w:lineRule="auto"/>
        <w:ind w:left="7805" w:right="0" w:firstLine="0"/>
        <w:jc w:val="left"/>
      </w:pPr>
      <w:r>
        <w:rPr>
          <w:color w:val="000000"/>
          <w:spacing w:val="0"/>
          <w:w w:val="100"/>
          <w:position w:val="0"/>
        </w:rPr>
        <w:t>单位：股</w:t>
      </w:r>
    </w:p>
    <w:tbl>
      <w:tblPr>
        <w:tblOverlap w:val="never"/>
        <w:jc w:val="center"/>
        <w:tblLayout w:type="fixed"/>
      </w:tblPr>
      <w:tblGrid>
        <w:gridCol w:w="984"/>
        <w:gridCol w:w="792"/>
        <w:gridCol w:w="965"/>
        <w:gridCol w:w="1291"/>
        <w:gridCol w:w="1320"/>
        <w:gridCol w:w="1925"/>
        <w:gridCol w:w="2045"/>
      </w:tblGrid>
      <w:tr>
        <w:trPr>
          <w:trHeight w:val="571"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截止报告期末股东总数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18,795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 末股东总数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17,751</w:t>
            </w:r>
          </w:p>
        </w:tc>
      </w:tr>
      <w:tr>
        <w:trPr>
          <w:trHeight w:val="283" w:hRule="exact"/>
        </w:trPr>
        <w:tc>
          <w:tcPr>
            <w:gridSpan w:val="4"/>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44" w:lineRule="exact"/>
              <w:ind w:left="0" w:right="0" w:firstLine="0"/>
              <w:jc w:val="right"/>
            </w:pPr>
            <w:r>
              <w:rPr>
                <w:rFonts w:ascii="Times New Roman" w:eastAsia="Times New Roman" w:hAnsi="Times New Roman" w:cs="Times New Roman"/>
                <w:color w:val="000000"/>
                <w:spacing w:val="0"/>
                <w:w w:val="100"/>
                <w:position w:val="0"/>
                <w:sz w:val="16"/>
                <w:szCs w:val="16"/>
              </w:rPr>
              <w:t xml:space="preserve">_AZ_- </w:t>
            </w:r>
            <w:r>
              <w:rPr>
                <w:color w:val="000000"/>
                <w:spacing w:val="0"/>
                <w:w w:val="100"/>
                <w:position w:val="0"/>
              </w:rPr>
              <w:t>刖十</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卜名股东持股情况</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股东名 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 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持股总数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报告期内增 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持有有限售条件股 份数量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质押或冻结的股份 数量</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富润控 股集团 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 非国 有法</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50,745,623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3,656,448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730" w:val="left"/>
              </w:tabs>
              <w:bidi w:val="0"/>
              <w:spacing w:before="0" w:after="0" w:line="240" w:lineRule="auto"/>
              <w:ind w:left="0" w:right="0" w:firstLine="0"/>
              <w:jc w:val="left"/>
            </w:pPr>
            <w:r>
              <w:rPr>
                <w:color w:val="000000"/>
                <w:spacing w:val="0"/>
                <w:w w:val="100"/>
                <w:position w:val="0"/>
              </w:rPr>
              <w:t>质押</w:t>
              <w:tab/>
            </w:r>
            <w:r>
              <w:rPr>
                <w:rFonts w:ascii="Times New Roman" w:eastAsia="Times New Roman" w:hAnsi="Times New Roman" w:cs="Times New Roman"/>
                <w:color w:val="000000"/>
                <w:spacing w:val="0"/>
                <w:w w:val="100"/>
                <w:position w:val="0"/>
              </w:rPr>
              <w:t>36,030,000</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郑宏俊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境内 自然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6,157,394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6,157,394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11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八方控 股集团 有限公 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 非国 有法</w:t>
            </w:r>
          </w:p>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1,915,215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杜景葱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 自然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杭州青 春工贸 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境内 非国 有法</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1,116,440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境内 自然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1,019,437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郑桂龙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 自然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961,555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961,555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汪本海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 自然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839,200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839,200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蓝水木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境内 自然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772,736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卜俊波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 自然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665,000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298" w:hRule="exact"/>
        </w:trPr>
        <w:tc>
          <w:tcPr>
            <w:gridSpan w:val="5"/>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w:t>
            </w:r>
          </w:p>
        </w:tc>
        <w:tc>
          <w:tcPr>
            <w:gridSpan w:val="2"/>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寺股情况</w:t>
            </w:r>
          </w:p>
        </w:tc>
      </w:tr>
    </w:tbl>
    <w:p>
      <w:pPr>
        <w:widowControl w:val="0"/>
        <w:spacing w:line="1" w:lineRule="exact"/>
      </w:pPr>
      <w:r>
        <w:br w:type="page"/>
      </w:r>
    </w:p>
    <w:tbl>
      <w:tblPr>
        <w:tblOverlap w:val="never"/>
        <w:jc w:val="center"/>
        <w:tblLayout w:type="fixed"/>
      </w:tblPr>
      <w:tblGrid>
        <w:gridCol w:w="2218"/>
        <w:gridCol w:w="2496"/>
        <w:gridCol w:w="4608"/>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持有无限售条件股份的 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富润控股集团有限公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50,745,623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郑宏俊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6,157,394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八方控股集团有限公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1,915,215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杜景葱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1,810,000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杭州青春工贸有限公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1,116,440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1,019,437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郑桂龙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961,555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汪本海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839,200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蓝水木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772,736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卜俊波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665,000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上述股东关联关系或 一致行动的说明</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公司控股股东富润控股集 致行动关系，未知其他股东</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团有限公司与其他股东之间不存在关联关系或一 长之间是否存在关联关系或一致行动关系。</w:t>
            </w:r>
          </w:p>
        </w:tc>
      </w:tr>
    </w:tbl>
    <w:p>
      <w:pPr>
        <w:widowControl w:val="0"/>
        <w:spacing w:after="479" w:line="1" w:lineRule="exact"/>
      </w:pPr>
    </w:p>
    <w:p>
      <w:pPr>
        <w:pStyle w:val="Style13"/>
        <w:keepNext w:val="0"/>
        <w:keepLines w:val="0"/>
        <w:widowControl w:val="0"/>
        <w:shd w:val="clear" w:color="auto" w:fill="auto"/>
        <w:bidi w:val="0"/>
        <w:spacing w:before="0" w:after="0" w:line="240" w:lineRule="auto"/>
        <w:ind w:left="0" w:right="0" w:firstLine="0"/>
        <w:jc w:val="left"/>
      </w:pPr>
      <w:bookmarkStart w:id="89" w:name="bookmark89"/>
      <w:r>
        <w:rPr>
          <w:color w:val="000000"/>
          <w:spacing w:val="0"/>
          <w:w w:val="100"/>
          <w:position w:val="0"/>
        </w:rPr>
        <w:t>四</w:t>
      </w:r>
      <w:bookmarkEnd w:id="89"/>
      <w:r>
        <w:rPr>
          <w:color w:val="000000"/>
          <w:spacing w:val="0"/>
          <w:w w:val="100"/>
          <w:position w:val="0"/>
        </w:rPr>
        <w:t>、控股股东及实际控制人情况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控股股东情况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法人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1995</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72721859-6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实业投资</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经营成果</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年实现营业收入</w:t>
            </w:r>
            <w:r>
              <w:rPr>
                <w:rFonts w:ascii="Times New Roman" w:eastAsia="Times New Roman" w:hAnsi="Times New Roman" w:cs="Times New Roman"/>
                <w:color w:val="000000"/>
                <w:spacing w:val="0"/>
                <w:w w:val="100"/>
                <w:position w:val="0"/>
              </w:rPr>
              <w:t>290,794</w:t>
            </w:r>
            <w:r>
              <w:rPr>
                <w:color w:val="000000"/>
                <w:spacing w:val="0"/>
                <w:w w:val="100"/>
                <w:position w:val="0"/>
              </w:rPr>
              <w:t>万元，利润</w:t>
            </w:r>
            <w:r>
              <w:rPr>
                <w:rFonts w:ascii="Times New Roman" w:eastAsia="Times New Roman" w:hAnsi="Times New Roman" w:cs="Times New Roman"/>
                <w:color w:val="000000"/>
                <w:spacing w:val="0"/>
                <w:w w:val="100"/>
                <w:position w:val="0"/>
              </w:rPr>
              <w:t xml:space="preserve">4,526.32 </w:t>
            </w:r>
            <w:r>
              <w:rPr>
                <w:color w:val="000000"/>
                <w:spacing w:val="0"/>
                <w:w w:val="100"/>
                <w:position w:val="0"/>
              </w:rPr>
              <w:t>万元（未经审计）。</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财务状况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日的资产总额</w:t>
            </w:r>
            <w:r>
              <w:rPr>
                <w:rFonts w:ascii="Times New Roman" w:eastAsia="Times New Roman" w:hAnsi="Times New Roman" w:cs="Times New Roman"/>
                <w:color w:val="000000"/>
                <w:spacing w:val="0"/>
                <w:w w:val="100"/>
                <w:position w:val="0"/>
              </w:rPr>
              <w:t>488,421</w:t>
            </w:r>
            <w:r>
              <w:rPr>
                <w:color w:val="000000"/>
                <w:spacing w:val="0"/>
                <w:w w:val="100"/>
                <w:position w:val="0"/>
              </w:rPr>
              <w:t>万元， 净资产</w:t>
            </w:r>
            <w:r>
              <w:rPr>
                <w:rFonts w:ascii="Times New Roman" w:eastAsia="Times New Roman" w:hAnsi="Times New Roman" w:cs="Times New Roman"/>
                <w:color w:val="000000"/>
                <w:spacing w:val="0"/>
                <w:w w:val="100"/>
                <w:position w:val="0"/>
              </w:rPr>
              <w:t>80,689</w:t>
            </w:r>
            <w:r>
              <w:rPr>
                <w:color w:val="000000"/>
                <w:spacing w:val="0"/>
                <w:w w:val="100"/>
                <w:position w:val="0"/>
              </w:rPr>
              <w:t>万元（未经审计）。</w:t>
            </w:r>
          </w:p>
        </w:tc>
      </w:tr>
      <w:tr>
        <w:trPr>
          <w:trHeight w:val="11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现金流和未来发展战略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资产负债率较低，现金流充足。未来战略：以“稳 中创先”为指导思想，实业投资和资本运作“两 轮驱动”，打造永久、本分、和谐的综合性企业集 团。</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报告期内控股和参股的其他境内外上市公司的股 权情况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rPr>
              <w:t>601328</w:t>
            </w:r>
            <w:r>
              <w:rPr>
                <w:color w:val="000000"/>
                <w:spacing w:val="0"/>
                <w:w w:val="100"/>
                <w:position w:val="0"/>
              </w:rPr>
              <w:t>交通银行股份有限公司</w:t>
            </w:r>
            <w:r>
              <w:rPr>
                <w:rFonts w:ascii="Times New Roman" w:eastAsia="Times New Roman" w:hAnsi="Times New Roman" w:cs="Times New Roman"/>
                <w:color w:val="000000"/>
                <w:spacing w:val="0"/>
                <w:w w:val="100"/>
                <w:position w:val="0"/>
              </w:rPr>
              <w:t>37950</w:t>
            </w:r>
            <w:r>
              <w:rPr>
                <w:color w:val="000000"/>
                <w:spacing w:val="0"/>
                <w:w w:val="100"/>
                <w:position w:val="0"/>
              </w:rPr>
              <w:t>股。</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实际控制人情况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法人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浙江诸暨惠风创业投资有限公司</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67842835-0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经营成果</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年实现投资收益</w:t>
            </w:r>
            <w:r>
              <w:rPr>
                <w:rFonts w:ascii="Times New Roman" w:eastAsia="Times New Roman" w:hAnsi="Times New Roman" w:cs="Times New Roman"/>
                <w:color w:val="000000"/>
                <w:spacing w:val="0"/>
                <w:w w:val="100"/>
                <w:position w:val="0"/>
              </w:rPr>
              <w:t>1356.78</w:t>
            </w:r>
            <w:r>
              <w:rPr>
                <w:color w:val="000000"/>
                <w:spacing w:val="0"/>
                <w:w w:val="100"/>
                <w:position w:val="0"/>
              </w:rPr>
              <w:t>万元（未经审计）。</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财务状况</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日的资产总额</w:t>
            </w:r>
            <w:r>
              <w:rPr>
                <w:rFonts w:ascii="Times New Roman" w:eastAsia="Times New Roman" w:hAnsi="Times New Roman" w:cs="Times New Roman"/>
                <w:color w:val="000000"/>
                <w:spacing w:val="0"/>
                <w:w w:val="100"/>
                <w:position w:val="0"/>
              </w:rPr>
              <w:t>59,139.57</w:t>
            </w:r>
            <w:r>
              <w:rPr>
                <w:color w:val="000000"/>
                <w:spacing w:val="0"/>
                <w:w w:val="100"/>
                <w:position w:val="0"/>
              </w:rPr>
              <w:t>万 元，净资产</w:t>
            </w:r>
            <w:r>
              <w:rPr>
                <w:rFonts w:ascii="Times New Roman" w:eastAsia="Times New Roman" w:hAnsi="Times New Roman" w:cs="Times New Roman"/>
                <w:color w:val="000000"/>
                <w:spacing w:val="0"/>
                <w:w w:val="100"/>
                <w:position w:val="0"/>
              </w:rPr>
              <w:t>5382.56</w:t>
            </w:r>
            <w:r>
              <w:rPr>
                <w:color w:val="000000"/>
                <w:spacing w:val="0"/>
                <w:w w:val="100"/>
                <w:position w:val="0"/>
              </w:rPr>
              <w:t>万元（未经审计）。</w:t>
            </w:r>
          </w:p>
        </w:tc>
      </w:tr>
      <w:tr>
        <w:trPr>
          <w:trHeight w:val="84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现金流和未来发展战略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资产负债率较高，现金流一般。未来发展战略： 以股权投资为主要手段，继续寻找合适的创业投 资项目。</w:t>
            </w:r>
          </w:p>
        </w:tc>
      </w:tr>
    </w:tbl>
    <w:p>
      <w:pPr>
        <w:widowControl w:val="0"/>
        <w:spacing w:after="23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 公司与实际控制人之间的产权及控制关系的方框图</w:t>
      </w:r>
    </w:p>
    <w:p>
      <w:pPr>
        <w:widowControl w:val="0"/>
        <w:jc w:val="left"/>
        <w:rPr>
          <w:sz w:val="2"/>
          <w:szCs w:val="2"/>
        </w:rPr>
      </w:pPr>
      <w:r>
        <w:drawing>
          <wp:inline>
            <wp:extent cx="4535170" cy="2541905"/>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1"/>
                    <a:stretch/>
                  </pic:blipFill>
                  <pic:spPr>
                    <a:xfrm>
                      <a:ext cx="4535170" cy="2541905"/>
                    </a:xfrm>
                    <a:prstGeom prst="rect"/>
                  </pic:spPr>
                </pic:pic>
              </a:graphicData>
            </a:graphic>
          </wp:inline>
        </w:drawing>
      </w:r>
    </w:p>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bookmarkStart w:id="90" w:name="bookmark90"/>
      <w:r>
        <w:rPr>
          <w:color w:val="000000"/>
          <w:spacing w:val="0"/>
          <w:w w:val="100"/>
          <w:position w:val="0"/>
        </w:rPr>
        <w:t>五</w:t>
      </w:r>
      <w:bookmarkEnd w:id="90"/>
      <w:r>
        <w:rPr>
          <w:color w:val="000000"/>
          <w:spacing w:val="0"/>
          <w:w w:val="100"/>
          <w:position w:val="0"/>
        </w:rPr>
        <w:t>、其他持股在百分之十以上的法人股东</w:t>
      </w:r>
    </w:p>
    <w:p>
      <w:pPr>
        <w:pStyle w:val="Style13"/>
        <w:keepNext w:val="0"/>
        <w:keepLines w:val="0"/>
        <w:widowControl w:val="0"/>
        <w:shd w:val="clear" w:color="auto" w:fill="auto"/>
        <w:bidi w:val="0"/>
        <w:spacing w:before="0" w:after="240" w:line="240" w:lineRule="auto"/>
        <w:ind w:left="0" w:right="0" w:firstLine="220"/>
        <w:jc w:val="left"/>
      </w:pPr>
      <w:r>
        <w:rPr>
          <w:color w:val="000000"/>
          <w:spacing w:val="0"/>
          <w:w w:val="100"/>
          <w:position w:val="0"/>
        </w:rPr>
        <w:t>截止本报告期末公司无其他持股在百分之十以上的法人股东。</w:t>
      </w:r>
      <w:r>
        <w:br w:type="page"/>
      </w:r>
    </w:p>
    <w:p>
      <w:pPr>
        <w:pStyle w:val="Style17"/>
        <w:keepNext/>
        <w:keepLines/>
        <w:widowControl w:val="0"/>
        <w:shd w:val="clear" w:color="auto" w:fill="auto"/>
        <w:bidi w:val="0"/>
        <w:spacing w:before="0" w:after="100" w:line="240" w:lineRule="auto"/>
        <w:ind w:left="0" w:right="0" w:firstLine="0"/>
        <w:jc w:val="left"/>
      </w:pPr>
      <w:bookmarkStart w:id="91" w:name="bookmark91"/>
      <w:bookmarkStart w:id="92" w:name="bookmark92"/>
      <w:bookmarkStart w:id="93" w:name="bookmark93"/>
      <w:r>
        <w:rPr>
          <w:color w:val="000000"/>
          <w:spacing w:val="0"/>
          <w:w w:val="100"/>
          <w:position w:val="0"/>
        </w:rPr>
        <w:t>第七节 董事、监事、高级管理人员和员</w:t>
      </w:r>
      <w:bookmarkEnd w:id="91"/>
      <w:bookmarkEnd w:id="92"/>
      <w:bookmarkEnd w:id="93"/>
    </w:p>
    <w:p>
      <w:pPr>
        <w:pStyle w:val="Style17"/>
        <w:keepNext/>
        <w:keepLines/>
        <w:widowControl w:val="0"/>
        <w:shd w:val="clear" w:color="auto" w:fill="auto"/>
        <w:bidi w:val="0"/>
        <w:spacing w:before="0" w:after="560" w:line="240" w:lineRule="auto"/>
        <w:ind w:left="0" w:right="0" w:firstLine="0"/>
        <w:jc w:val="left"/>
      </w:pPr>
      <w:bookmarkStart w:id="91" w:name="bookmark91"/>
      <w:bookmarkStart w:id="92" w:name="bookmark92"/>
      <w:bookmarkStart w:id="94" w:name="bookmark94"/>
      <w:r>
        <w:rPr>
          <w:color w:val="000000"/>
          <w:spacing w:val="0"/>
          <w:w w:val="100"/>
          <w:position w:val="0"/>
        </w:rPr>
        <w:t>工情况</w:t>
      </w:r>
      <w:bookmarkEnd w:id="91"/>
      <w:bookmarkEnd w:id="92"/>
      <w:bookmarkEnd w:id="94"/>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 持股变动及报酬情况</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p>
    <w:p>
      <w:pPr>
        <w:pStyle w:val="Style13"/>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单位：股</w:t>
      </w:r>
    </w:p>
    <w:tbl>
      <w:tblPr>
        <w:tblOverlap w:val="never"/>
        <w:jc w:val="center"/>
        <w:tblLayout w:type="fixed"/>
      </w:tblPr>
      <w:tblGrid>
        <w:gridCol w:w="802"/>
        <w:gridCol w:w="787"/>
        <w:gridCol w:w="792"/>
        <w:gridCol w:w="787"/>
        <w:gridCol w:w="787"/>
        <w:gridCol w:w="792"/>
        <w:gridCol w:w="802"/>
        <w:gridCol w:w="797"/>
        <w:gridCol w:w="768"/>
        <w:gridCol w:w="797"/>
        <w:gridCol w:w="782"/>
        <w:gridCol w:w="629"/>
      </w:tblGrid>
      <w:tr>
        <w:trPr>
          <w:trHeight w:val="259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性别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年龄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任期起 始日期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任期终 止日期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年初持 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年末持 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年度内 股份增 减变动 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增减变 动原因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报告期 内从公 司领取 的应付 报酬总 额（万 元）（税 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报告 期从 股东 单位 获得 的应 付报 酬总 额</w:t>
            </w:r>
          </w:p>
          <w:p>
            <w:pPr>
              <w:pStyle w:val="Style21"/>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（万 元）</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赵林中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二级市 场购买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陈黎伟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副董事 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二级市 场购买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卢伯军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董事、 董秘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二级市 场购买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章凤仙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童宏怀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郭晓映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二级市 场购买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骆丹君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监事会 副主席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二级市 场购买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17.89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徐航芳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w:t>
            </w:r>
          </w:p>
        </w:tc>
      </w:tr>
      <w:tr>
        <w:trPr>
          <w:trHeight w:val="26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蔡育清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二级市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87"/>
        <w:gridCol w:w="792"/>
        <w:gridCol w:w="787"/>
        <w:gridCol w:w="787"/>
        <w:gridCol w:w="792"/>
        <w:gridCol w:w="802"/>
        <w:gridCol w:w="797"/>
        <w:gridCol w:w="768"/>
        <w:gridCol w:w="787"/>
        <w:gridCol w:w="792"/>
        <w:gridCol w:w="629"/>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场购买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赏冠军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傅国柱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应叶华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二级市 场购买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何四新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二级市 场购买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胡佩伦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二级市 场购买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19.65</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财务负 责人、</w:t>
            </w:r>
          </w:p>
          <w:p>
            <w:pPr>
              <w:pStyle w:val="Style21"/>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财务总 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二级市 场购买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37.78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34.48</w:t>
            </w:r>
          </w:p>
        </w:tc>
      </w:tr>
    </w:tbl>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赵林中</w:t>
      </w:r>
      <w:r>
        <w:rPr>
          <w:color w:val="000000"/>
          <w:spacing w:val="0"/>
          <w:w w:val="100"/>
          <w:position w:val="0"/>
          <w:sz w:val="17"/>
          <w:szCs w:val="17"/>
        </w:rPr>
        <w:t>：</w:t>
      </w:r>
      <w:r>
        <w:rPr>
          <w:color w:val="000000"/>
          <w:spacing w:val="0"/>
          <w:w w:val="100"/>
          <w:position w:val="0"/>
        </w:rPr>
        <w:t>历任公司董事长、总经理，现任公司第六届董事会董事长，富润控股集团有限公司党 委书记、董事局主席。</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陈黎伟</w:t>
      </w:r>
      <w:r>
        <w:rPr>
          <w:color w:val="000000"/>
          <w:spacing w:val="0"/>
          <w:w w:val="100"/>
          <w:position w:val="0"/>
          <w:sz w:val="17"/>
          <w:szCs w:val="17"/>
        </w:rPr>
        <w:t>：</w:t>
      </w:r>
      <w:r>
        <w:rPr>
          <w:color w:val="000000"/>
          <w:spacing w:val="0"/>
          <w:w w:val="100"/>
          <w:position w:val="0"/>
        </w:rPr>
        <w:t>历任公司董事会秘书、董事、副董事长等职，现任公司第六届董事会副董事长。</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卢伯军</w:t>
      </w:r>
      <w:r>
        <w:rPr>
          <w:color w:val="000000"/>
          <w:spacing w:val="0"/>
          <w:w w:val="100"/>
          <w:position w:val="0"/>
          <w:sz w:val="17"/>
          <w:szCs w:val="17"/>
        </w:rPr>
        <w:t>：</w:t>
      </w:r>
      <w:r>
        <w:rPr>
          <w:color w:val="000000"/>
          <w:spacing w:val="0"/>
          <w:w w:val="100"/>
          <w:position w:val="0"/>
        </w:rPr>
        <w:t>历任公司监事、证券事务代表，现任公司第六届董事会董事、董事会秘书。</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章凤仙</w:t>
      </w:r>
      <w:r>
        <w:rPr>
          <w:color w:val="000000"/>
          <w:spacing w:val="0"/>
          <w:w w:val="100"/>
          <w:position w:val="0"/>
          <w:sz w:val="17"/>
          <w:szCs w:val="17"/>
        </w:rPr>
        <w:t>：</w:t>
      </w:r>
      <w:r>
        <w:rPr>
          <w:color w:val="000000"/>
          <w:spacing w:val="0"/>
          <w:w w:val="100"/>
          <w:position w:val="0"/>
        </w:rPr>
        <w:t>历任杭州市商业局副局长、浙江省财贸工会主席等职，现任浙江省劳模协会会长，公 司第六届董事会独立董事。</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陈建设</w:t>
      </w:r>
      <w:r>
        <w:rPr>
          <w:color w:val="000000"/>
          <w:spacing w:val="0"/>
          <w:w w:val="100"/>
          <w:position w:val="0"/>
          <w:sz w:val="17"/>
          <w:szCs w:val="17"/>
        </w:rPr>
        <w:t>：</w:t>
      </w:r>
      <w:r>
        <w:rPr>
          <w:color w:val="000000"/>
          <w:spacing w:val="0"/>
          <w:w w:val="100"/>
          <w:position w:val="0"/>
        </w:rPr>
        <w:t>历任公司独立董事，浙江省绍兴市副市长、绍兴市政协常务副主席等职。现任浙江永 建置业集团有限公司董事长、总经理，现任公司第六届董事会独立董事。</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童宏怀</w:t>
      </w:r>
      <w:r>
        <w:rPr>
          <w:color w:val="000000"/>
          <w:spacing w:val="0"/>
          <w:w w:val="100"/>
          <w:position w:val="0"/>
          <w:sz w:val="17"/>
          <w:szCs w:val="17"/>
        </w:rPr>
        <w:t>：</w:t>
      </w:r>
      <w:r>
        <w:rPr>
          <w:color w:val="000000"/>
          <w:spacing w:val="0"/>
          <w:w w:val="100"/>
          <w:position w:val="0"/>
        </w:rPr>
        <w:t>历任诸暨天阳会计师事务所有限公司副主任会计师等职。现任诸暨天阳会计师事务所 有限公司主任会计师，公司第六届董事会独立董事。</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郭晓映</w:t>
      </w:r>
      <w:r>
        <w:rPr>
          <w:color w:val="000000"/>
          <w:spacing w:val="0"/>
          <w:w w:val="100"/>
          <w:position w:val="0"/>
          <w:sz w:val="17"/>
          <w:szCs w:val="17"/>
        </w:rPr>
        <w:t>：</w:t>
      </w:r>
      <w:r>
        <w:rPr>
          <w:color w:val="000000"/>
          <w:spacing w:val="0"/>
          <w:w w:val="100"/>
          <w:position w:val="0"/>
        </w:rPr>
        <w:t>历任公司监事、监事会主席，现任公司第六届监事会主席。</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骆丹君</w:t>
      </w:r>
      <w:r>
        <w:rPr>
          <w:color w:val="000000"/>
          <w:spacing w:val="0"/>
          <w:w w:val="100"/>
          <w:position w:val="0"/>
          <w:sz w:val="17"/>
          <w:szCs w:val="17"/>
        </w:rPr>
        <w:t>：</w:t>
      </w:r>
      <w:r>
        <w:rPr>
          <w:color w:val="000000"/>
          <w:spacing w:val="0"/>
          <w:w w:val="100"/>
          <w:position w:val="0"/>
        </w:rPr>
        <w:t>历任公司监事会监事、富润控股集团有限公司党委副书记、档案馆馆长，现任公司第 六届监事会副主席。</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王燕</w:t>
      </w:r>
      <w:r>
        <w:rPr>
          <w:color w:val="000000"/>
          <w:spacing w:val="0"/>
          <w:w w:val="100"/>
          <w:position w:val="0"/>
          <w:sz w:val="17"/>
          <w:szCs w:val="17"/>
        </w:rPr>
        <w:t>：</w:t>
      </w:r>
      <w:r>
        <w:rPr>
          <w:color w:val="000000"/>
          <w:spacing w:val="0"/>
          <w:w w:val="100"/>
          <w:position w:val="0"/>
        </w:rPr>
        <w:t>历任公司财务部副经理，现任公司第六届监事会监事。</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徐航芳</w:t>
      </w:r>
      <w:r>
        <w:rPr>
          <w:color w:val="000000"/>
          <w:spacing w:val="0"/>
          <w:w w:val="100"/>
          <w:position w:val="0"/>
          <w:sz w:val="17"/>
          <w:szCs w:val="17"/>
        </w:rPr>
        <w:t>：</w:t>
      </w:r>
      <w:r>
        <w:rPr>
          <w:color w:val="000000"/>
          <w:spacing w:val="0"/>
          <w:w w:val="100"/>
          <w:position w:val="0"/>
        </w:rPr>
        <w:t>历任富润控股集团有限公司财务科科长，现任公司第六届监事会监事。</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蔡育清</w:t>
      </w:r>
      <w:r>
        <w:rPr>
          <w:color w:val="000000"/>
          <w:spacing w:val="0"/>
          <w:w w:val="100"/>
          <w:position w:val="0"/>
          <w:sz w:val="17"/>
          <w:szCs w:val="17"/>
        </w:rPr>
        <w:t>：</w:t>
      </w:r>
      <w:r>
        <w:rPr>
          <w:color w:val="000000"/>
          <w:spacing w:val="0"/>
          <w:w w:val="100"/>
          <w:position w:val="0"/>
        </w:rPr>
        <w:t>历任公司审计部经理，现任公司第六届监事会监事。</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高静</w:t>
      </w:r>
      <w:r>
        <w:rPr>
          <w:color w:val="000000"/>
          <w:spacing w:val="0"/>
          <w:w w:val="100"/>
          <w:position w:val="0"/>
          <w:sz w:val="17"/>
          <w:szCs w:val="17"/>
        </w:rPr>
        <w:t>：</w:t>
      </w:r>
      <w:r>
        <w:rPr>
          <w:color w:val="000000"/>
          <w:spacing w:val="0"/>
          <w:w w:val="100"/>
          <w:position w:val="0"/>
        </w:rPr>
        <w:t>历任公司监事，现任公司第六届监事会职工监事。</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赏冠军</w:t>
      </w:r>
      <w:r>
        <w:rPr>
          <w:color w:val="000000"/>
          <w:spacing w:val="0"/>
          <w:w w:val="100"/>
          <w:position w:val="0"/>
          <w:sz w:val="17"/>
          <w:szCs w:val="17"/>
        </w:rPr>
        <w:t>：</w:t>
      </w:r>
      <w:r>
        <w:rPr>
          <w:color w:val="000000"/>
          <w:spacing w:val="0"/>
          <w:w w:val="100"/>
          <w:position w:val="0"/>
        </w:rPr>
        <w:t>历任富润控股集团有限公司工会联合会主席、公司工会主席，现任公司第六届监事会 职工监事。</w:t>
      </w:r>
    </w:p>
    <w:p>
      <w:pPr>
        <w:pStyle w:val="Style13"/>
        <w:keepNext w:val="0"/>
        <w:keepLines w:val="0"/>
        <w:widowControl w:val="0"/>
        <w:shd w:val="clear" w:color="auto" w:fill="auto"/>
        <w:bidi w:val="0"/>
        <w:spacing w:before="0" w:after="0" w:line="298" w:lineRule="exact"/>
        <w:ind w:left="0" w:right="0" w:firstLine="0"/>
        <w:jc w:val="left"/>
      </w:pPr>
      <w:r>
        <w:rPr>
          <w:color w:val="000000"/>
          <w:spacing w:val="0"/>
          <w:w w:val="100"/>
          <w:position w:val="0"/>
        </w:rPr>
        <w:t>傅国柱</w:t>
      </w:r>
      <w:r>
        <w:rPr>
          <w:color w:val="000000"/>
          <w:spacing w:val="0"/>
          <w:w w:val="100"/>
          <w:position w:val="0"/>
          <w:sz w:val="17"/>
          <w:szCs w:val="17"/>
        </w:rPr>
        <w:t>：</w:t>
      </w:r>
      <w:r>
        <w:rPr>
          <w:color w:val="000000"/>
          <w:spacing w:val="0"/>
          <w:w w:val="100"/>
          <w:position w:val="0"/>
        </w:rPr>
        <w:t>历任公司董事、总经理等职，现任公司总经理，富润控股集团有限公司董事，浙江富 润印染有限公司董事长。</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应叶华</w:t>
      </w:r>
      <w:r>
        <w:rPr>
          <w:color w:val="000000"/>
          <w:spacing w:val="0"/>
          <w:w w:val="100"/>
          <w:position w:val="0"/>
          <w:sz w:val="17"/>
          <w:szCs w:val="17"/>
        </w:rPr>
        <w:t>：</w:t>
      </w:r>
      <w:r>
        <w:rPr>
          <w:color w:val="000000"/>
          <w:spacing w:val="0"/>
          <w:w w:val="100"/>
          <w:position w:val="0"/>
        </w:rPr>
        <w:t>历任公司董事会董事、副总经理，现任公司副总经理、浙江富润纺织有限公司董事长。</w:t>
        <w:br w:type="page"/>
      </w:r>
      <w:r>
        <w:rPr>
          <w:color w:val="000000"/>
          <w:spacing w:val="0"/>
          <w:w w:val="100"/>
          <w:position w:val="0"/>
        </w:rPr>
        <w:t>何四新</w:t>
      </w:r>
      <w:r>
        <w:rPr>
          <w:color w:val="000000"/>
          <w:spacing w:val="0"/>
          <w:w w:val="100"/>
          <w:position w:val="0"/>
          <w:sz w:val="17"/>
          <w:szCs w:val="17"/>
        </w:rPr>
        <w:t>：</w:t>
      </w:r>
      <w:r>
        <w:rPr>
          <w:color w:val="000000"/>
          <w:spacing w:val="0"/>
          <w:w w:val="100"/>
          <w:position w:val="0"/>
        </w:rPr>
        <w:t>历任公司董事会董事、副总经理，现任公司副总经理、浙江富润海茂纺织布艺有限公 司董事长。</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何平</w:t>
      </w:r>
      <w:r>
        <w:rPr>
          <w:color w:val="000000"/>
          <w:spacing w:val="0"/>
          <w:w w:val="100"/>
          <w:position w:val="0"/>
          <w:sz w:val="17"/>
          <w:szCs w:val="17"/>
        </w:rPr>
        <w:t>：</w:t>
      </w:r>
      <w:r>
        <w:rPr>
          <w:color w:val="000000"/>
          <w:spacing w:val="0"/>
          <w:w w:val="100"/>
          <w:position w:val="0"/>
        </w:rPr>
        <w:t>历任公司副总经理、企管部经理，现任公司副总经理。</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胡佩伦</w:t>
      </w:r>
      <w:r>
        <w:rPr>
          <w:color w:val="000000"/>
          <w:spacing w:val="0"/>
          <w:w w:val="100"/>
          <w:position w:val="0"/>
          <w:sz w:val="17"/>
          <w:szCs w:val="17"/>
        </w:rPr>
        <w:t>：</w:t>
      </w:r>
      <w:r>
        <w:rPr>
          <w:color w:val="000000"/>
          <w:spacing w:val="0"/>
          <w:w w:val="100"/>
          <w:position w:val="0"/>
        </w:rPr>
        <w:t>历任公司副总经理、环保部经理，现任公司副总经理。</w:t>
      </w:r>
    </w:p>
    <w:p>
      <w:pPr>
        <w:pStyle w:val="Style13"/>
        <w:keepNext w:val="0"/>
        <w:keepLines w:val="0"/>
        <w:widowControl w:val="0"/>
        <w:shd w:val="clear" w:color="auto" w:fill="auto"/>
        <w:bidi w:val="0"/>
        <w:spacing w:before="0" w:after="240" w:line="274" w:lineRule="exact"/>
        <w:ind w:left="0" w:right="0" w:firstLine="0"/>
        <w:jc w:val="left"/>
      </w:pPr>
      <w:r>
        <w:rPr>
          <w:color w:val="000000"/>
          <w:spacing w:val="0"/>
          <w:w w:val="100"/>
          <w:position w:val="0"/>
        </w:rPr>
        <w:t>王坚</w:t>
      </w:r>
      <w:r>
        <w:rPr>
          <w:color w:val="000000"/>
          <w:spacing w:val="0"/>
          <w:w w:val="100"/>
          <w:position w:val="0"/>
          <w:sz w:val="17"/>
          <w:szCs w:val="17"/>
        </w:rPr>
        <w:t>：</w:t>
      </w:r>
      <w:r>
        <w:rPr>
          <w:color w:val="000000"/>
          <w:spacing w:val="0"/>
          <w:w w:val="100"/>
          <w:position w:val="0"/>
        </w:rPr>
        <w:t>历任公司董事、证券事务代表、证券部经理、财务部经理等职，现任公司财务负责人、 财务总监。</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二、现任及报告期内离任董事、监事和高级管理人员的任职情况</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在股东单位任职情况</w:t>
      </w:r>
    </w:p>
    <w:tbl>
      <w:tblPr>
        <w:tblOverlap w:val="never"/>
        <w:jc w:val="center"/>
        <w:tblLayout w:type="fixed"/>
      </w:tblPr>
      <w:tblGrid>
        <w:gridCol w:w="1507"/>
        <w:gridCol w:w="1718"/>
        <w:gridCol w:w="1954"/>
        <w:gridCol w:w="2069"/>
        <w:gridCol w:w="2074"/>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富润控股集团有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董事局主席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傅国柱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富润控股集团有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富润控股集团有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赏冠军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富润控股集团有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工会联合会主席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骆丹君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富润控股集团有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党委副书记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徐航芳</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富润控股集团有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财务科科长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在其他单位任职情况</w:t>
      </w:r>
    </w:p>
    <w:tbl>
      <w:tblPr>
        <w:tblOverlap w:val="never"/>
        <w:jc w:val="center"/>
        <w:tblLayout w:type="fixed"/>
      </w:tblPr>
      <w:tblGrid>
        <w:gridCol w:w="1560"/>
        <w:gridCol w:w="1670"/>
        <w:gridCol w:w="1910"/>
        <w:gridCol w:w="2026"/>
        <w:gridCol w:w="2155"/>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山东泰山宝盛 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山东泰山宝盛 大酒店有限公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诸暨长城国际 影视网游动漫 创意园有限公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三、董事、监事、高级管理人员报酬情况</w:t>
      </w:r>
    </w:p>
    <w:tbl>
      <w:tblPr>
        <w:tblOverlap w:val="never"/>
        <w:jc w:val="center"/>
        <w:tblLayout w:type="fixed"/>
      </w:tblPr>
      <w:tblGrid>
        <w:gridCol w:w="2549"/>
        <w:gridCol w:w="6773"/>
      </w:tblGrid>
      <w:tr>
        <w:trPr>
          <w:trHeight w:val="57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董事、监事的报酬由董事会薪酬委员会考核、股东大会决定；高级管理 人员报酬由董事会决定。</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按基本工资加效益工资加业绩嘉奖考核确定。</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董事、监事和高级管理人 员报酬的应付报酬情况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总计应付</w:t>
            </w:r>
            <w:r>
              <w:rPr>
                <w:rFonts w:ascii="Times New Roman" w:eastAsia="Times New Roman" w:hAnsi="Times New Roman" w:cs="Times New Roman"/>
                <w:color w:val="000000"/>
                <w:spacing w:val="0"/>
                <w:w w:val="100"/>
                <w:position w:val="0"/>
              </w:rPr>
              <w:t>392.25</w:t>
            </w:r>
            <w:r>
              <w:rPr>
                <w:color w:val="000000"/>
                <w:spacing w:val="0"/>
                <w:w w:val="100"/>
                <w:position w:val="0"/>
              </w:rPr>
              <w:t>万元。</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 和高级管理人员实际获得</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总计支付</w:t>
            </w:r>
            <w:r>
              <w:rPr>
                <w:rFonts w:ascii="Times New Roman" w:eastAsia="Times New Roman" w:hAnsi="Times New Roman" w:cs="Times New Roman"/>
                <w:color w:val="000000"/>
                <w:spacing w:val="0"/>
                <w:w w:val="100"/>
                <w:position w:val="0"/>
              </w:rPr>
              <w:t>392.25</w:t>
            </w:r>
            <w:r>
              <w:rPr>
                <w:color w:val="000000"/>
                <w:spacing w:val="0"/>
                <w:w w:val="100"/>
                <w:position w:val="0"/>
              </w:rPr>
              <w:t>万元。</w:t>
            </w:r>
          </w:p>
        </w:tc>
      </w:tr>
    </w:tbl>
    <w:p>
      <w:pPr>
        <w:widowControl w:val="0"/>
        <w:spacing w:line="1" w:lineRule="exact"/>
      </w:pPr>
      <w:r>
        <w:br w:type="page"/>
      </w:r>
    </w:p>
    <w:tbl>
      <w:tblPr>
        <w:tblOverlap w:val="never"/>
        <w:jc w:val="center"/>
        <w:tblLayout w:type="fixed"/>
      </w:tblPr>
      <w:tblGrid>
        <w:gridCol w:w="2549"/>
        <w:gridCol w:w="6773"/>
      </w:tblGrid>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的报酬合计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593" w:val="left"/>
        </w:tabs>
        <w:bidi w:val="0"/>
        <w:spacing w:before="0" w:after="40" w:line="240" w:lineRule="auto"/>
        <w:ind w:left="0" w:right="0" w:firstLine="0"/>
        <w:jc w:val="left"/>
      </w:pPr>
      <w:bookmarkStart w:id="95" w:name="bookmark95"/>
      <w:r>
        <w:rPr>
          <w:color w:val="000000"/>
          <w:spacing w:val="0"/>
          <w:w w:val="100"/>
          <w:position w:val="0"/>
        </w:rPr>
        <w:t>四</w:t>
      </w:r>
      <w:bookmarkEnd w:id="95"/>
      <w:r>
        <w:rPr>
          <w:color w:val="000000"/>
          <w:spacing w:val="0"/>
          <w:w w:val="100"/>
          <w:position w:val="0"/>
        </w:rPr>
        <w:t>、</w:t>
        <w:tab/>
        <w:t>公司董事、监事、高级管理人员变动情况</w:t>
      </w:r>
    </w:p>
    <w:p>
      <w:pPr>
        <w:pStyle w:val="Style13"/>
        <w:keepNext w:val="0"/>
        <w:keepLines w:val="0"/>
        <w:widowControl w:val="0"/>
        <w:shd w:val="clear" w:color="auto" w:fill="auto"/>
        <w:bidi w:val="0"/>
        <w:spacing w:before="0" w:after="240" w:line="240" w:lineRule="auto"/>
        <w:ind w:left="0" w:right="0" w:firstLine="220"/>
        <w:jc w:val="left"/>
      </w:pPr>
      <w:r>
        <w:rPr>
          <w:color w:val="000000"/>
          <w:spacing w:val="0"/>
          <w:w w:val="100"/>
          <w:position w:val="0"/>
        </w:rPr>
        <w:t>本报告期内公司无董事、监事、高管人员变动。</w:t>
      </w:r>
    </w:p>
    <w:p>
      <w:pPr>
        <w:pStyle w:val="Style13"/>
        <w:keepNext w:val="0"/>
        <w:keepLines w:val="0"/>
        <w:widowControl w:val="0"/>
        <w:shd w:val="clear" w:color="auto" w:fill="auto"/>
        <w:tabs>
          <w:tab w:pos="593" w:val="left"/>
        </w:tabs>
        <w:bidi w:val="0"/>
        <w:spacing w:before="0" w:after="40" w:line="240" w:lineRule="auto"/>
        <w:ind w:left="0" w:right="0" w:firstLine="0"/>
        <w:jc w:val="left"/>
      </w:pPr>
      <w:bookmarkStart w:id="96" w:name="bookmark96"/>
      <w:r>
        <w:rPr>
          <w:color w:val="000000"/>
          <w:spacing w:val="0"/>
          <w:w w:val="100"/>
          <w:position w:val="0"/>
        </w:rPr>
        <w:t>五</w:t>
      </w:r>
      <w:bookmarkEnd w:id="96"/>
      <w:r>
        <w:rPr>
          <w:color w:val="000000"/>
          <w:spacing w:val="0"/>
          <w:w w:val="100"/>
          <w:position w:val="0"/>
        </w:rPr>
        <w:t>、</w:t>
        <w:tab/>
        <w:t>公司核心技术团队或关键技术人员情况</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报告期内，公司核心技术团队或关键技术人员未发生变动。</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六、母公司和主要子公司的员工情况</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员工情况</w:t>
      </w:r>
    </w:p>
    <w:tbl>
      <w:tblPr>
        <w:tblOverlap w:val="never"/>
        <w:jc w:val="center"/>
        <w:tblLayout w:type="fixed"/>
      </w:tblPr>
      <w:tblGrid>
        <w:gridCol w:w="4570"/>
        <w:gridCol w:w="4752"/>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53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2,822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2,875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55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w:t>
            </w:r>
            <w:r>
              <w:rPr>
                <w:color w:val="000000"/>
                <w:spacing w:val="0"/>
                <w:w w:val="100"/>
                <w:position w:val="0"/>
              </w:rPr>
              <w:t>构成</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2,187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112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480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33</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both"/>
            </w:pPr>
            <w:r>
              <w:rPr>
                <w:rFonts w:ascii="Times New Roman" w:eastAsia="Times New Roman" w:hAnsi="Times New Roman" w:cs="Times New Roman"/>
                <w:color w:val="000000"/>
                <w:spacing w:val="0"/>
                <w:w w:val="100"/>
                <w:position w:val="0"/>
              </w:rPr>
              <w:t>63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2,875</w:t>
            </w:r>
          </w:p>
        </w:tc>
      </w:tr>
      <w:tr>
        <w:trPr>
          <w:trHeight w:val="28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本科及以上学历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225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293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中专及高中以下学历</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2,357</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2,875</w:t>
            </w:r>
          </w:p>
        </w:tc>
      </w:tr>
    </w:tbl>
    <w:p>
      <w:pPr>
        <w:widowControl w:val="0"/>
        <w:spacing w:after="239" w:line="1" w:lineRule="exact"/>
      </w:pPr>
    </w:p>
    <w:p>
      <w:pPr>
        <w:pStyle w:val="Style1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薪酬政策</w:t>
      </w:r>
    </w:p>
    <w:p>
      <w:pPr>
        <w:pStyle w:val="Style13"/>
        <w:keepNext w:val="0"/>
        <w:keepLines w:val="0"/>
        <w:widowControl w:val="0"/>
        <w:shd w:val="clear" w:color="auto" w:fill="auto"/>
        <w:bidi w:val="0"/>
        <w:spacing w:before="0" w:after="240" w:line="269" w:lineRule="exact"/>
        <w:ind w:left="0" w:right="0" w:firstLine="0"/>
        <w:jc w:val="left"/>
      </w:pPr>
      <w:r>
        <w:rPr>
          <w:color w:val="000000"/>
          <w:spacing w:val="0"/>
          <w:w w:val="100"/>
          <w:position w:val="0"/>
        </w:rPr>
        <w:t>员工薪酬分配按照公司《薪酬考核管理制度》执行。薪酬由基本工资和绩效工资两部分组成, 基本工资按月发放，绩效工资根据业绩按月考核和按年考核。</w:t>
      </w:r>
    </w:p>
    <w:p>
      <w:pPr>
        <w:pStyle w:val="Style13"/>
        <w:keepNext w:val="0"/>
        <w:keepLines w:val="0"/>
        <w:widowControl w:val="0"/>
        <w:shd w:val="clear" w:color="auto" w:fill="auto"/>
        <w:tabs>
          <w:tab w:pos="593" w:val="left"/>
        </w:tabs>
        <w:bidi w:val="0"/>
        <w:spacing w:before="0" w:after="0" w:line="276" w:lineRule="exact"/>
        <w:ind w:left="0" w:right="0" w:firstLine="0"/>
        <w:jc w:val="left"/>
      </w:pPr>
      <w:bookmarkStart w:id="97" w:name="bookmark97"/>
      <w:r>
        <w:rPr>
          <w:rFonts w:ascii="Times New Roman" w:eastAsia="Times New Roman" w:hAnsi="Times New Roman" w:cs="Times New Roman"/>
          <w:color w:val="000000"/>
          <w:spacing w:val="0"/>
          <w:w w:val="100"/>
          <w:position w:val="0"/>
        </w:rPr>
        <w:t>（</w:t>
      </w:r>
      <w:bookmarkEnd w:id="97"/>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培训计划</w:t>
      </w:r>
    </w:p>
    <w:p>
      <w:pPr>
        <w:pStyle w:val="Style13"/>
        <w:keepNext w:val="0"/>
        <w:keepLines w:val="0"/>
        <w:widowControl w:val="0"/>
        <w:shd w:val="clear" w:color="auto" w:fill="auto"/>
        <w:bidi w:val="0"/>
        <w:spacing w:before="0" w:after="240" w:line="276" w:lineRule="exact"/>
        <w:ind w:left="0" w:right="0" w:firstLine="0"/>
        <w:jc w:val="left"/>
      </w:pPr>
      <w:r>
        <w:rPr>
          <w:color w:val="000000"/>
          <w:spacing w:val="0"/>
          <w:w w:val="100"/>
          <w:position w:val="0"/>
        </w:rPr>
        <w:t>根据公司制定的《员工培训考察计划》，人力资源部每年制订培训计划，组织新员工入职培训、 安全生产培训、专业技能培训、管理能力培训等培训活动，鼓励员工利用业务时间进行学历提 升。按照职级不同每年可享受不同时间的外出学习考察，费用由公司和个人分担。</w:t>
      </w:r>
    </w:p>
    <w:p>
      <w:pPr>
        <w:pStyle w:val="Style13"/>
        <w:keepNext w:val="0"/>
        <w:keepLines w:val="0"/>
        <w:widowControl w:val="0"/>
        <w:shd w:val="clear" w:color="auto" w:fill="auto"/>
        <w:tabs>
          <w:tab w:pos="593" w:val="left"/>
        </w:tabs>
        <w:bidi w:val="0"/>
        <w:spacing w:before="0" w:after="240" w:line="276" w:lineRule="exact"/>
        <w:ind w:left="0" w:right="0" w:firstLine="0"/>
        <w:jc w:val="left"/>
      </w:pPr>
      <w:bookmarkStart w:id="98" w:name="bookmark98"/>
      <w:r>
        <w:rPr>
          <w:rFonts w:ascii="Times New Roman" w:eastAsia="Times New Roman" w:hAnsi="Times New Roman" w:cs="Times New Roman"/>
          <w:color w:val="000000"/>
          <w:spacing w:val="0"/>
          <w:w w:val="100"/>
          <w:position w:val="0"/>
        </w:rPr>
        <w:t>（</w:t>
      </w:r>
      <w:bookmarkEnd w:id="98"/>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专业构成统计图：</w:t>
      </w:r>
      <w:r>
        <w:br w:type="page"/>
      </w:r>
    </w:p>
    <w:p>
      <w:pPr>
        <w:pStyle w:val="Style21"/>
        <w:keepNext w:val="0"/>
        <w:keepLines w:val="0"/>
        <w:widowControl w:val="0"/>
        <w:shd w:val="clear" w:color="auto" w:fill="auto"/>
        <w:bidi w:val="0"/>
        <w:spacing w:before="0" w:after="0" w:line="240" w:lineRule="auto"/>
        <w:ind w:left="2040" w:right="0" w:firstLine="0"/>
        <w:jc w:val="left"/>
        <w:rPr>
          <w:sz w:val="19"/>
          <w:szCs w:val="19"/>
        </w:rPr>
      </w:pPr>
      <w:r>
        <w:drawing>
          <wp:anchor distT="0" distB="1880870" distL="126365" distR="135890" simplePos="0" relativeHeight="125829408" behindDoc="0" locked="0" layoutInCell="1" allowOverlap="1">
            <wp:simplePos x="0" y="0"/>
            <wp:positionH relativeFrom="page">
              <wp:posOffset>1300480</wp:posOffset>
            </wp:positionH>
            <wp:positionV relativeFrom="margin">
              <wp:posOffset>15240</wp:posOffset>
            </wp:positionV>
            <wp:extent cx="3639185" cy="240157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13"/>
                    <a:stretch/>
                  </pic:blipFill>
                  <pic:spPr>
                    <a:xfrm>
                      <a:ext cx="3639185" cy="24015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2062480</wp:posOffset>
                </wp:positionH>
                <wp:positionV relativeFrom="margin">
                  <wp:posOffset>951230</wp:posOffset>
                </wp:positionV>
                <wp:extent cx="247015" cy="146050"/>
                <wp:wrapNone/>
                <wp:docPr id="45" name="Shape 45"/>
                <a:graphic xmlns:a="http://schemas.openxmlformats.org/drawingml/2006/main">
                  <a:graphicData uri="http://schemas.microsoft.com/office/word/2010/wordprocessingShape">
                    <wps:wsp>
                      <wps:cNvSpPr txBox="1"/>
                      <wps:spPr>
                        <a:xfrm>
                          <a:ext cx="247015" cy="1460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2B4113"/>
                                <w:spacing w:val="0"/>
                                <w:w w:val="100"/>
                                <w:position w:val="0"/>
                                <w:sz w:val="20"/>
                                <w:szCs w:val="20"/>
                              </w:rPr>
                              <w:t>17%</w:t>
                            </w:r>
                          </w:p>
                        </w:txbxContent>
                      </wps:txbx>
                      <wps:bodyPr lIns="0" tIns="0" rIns="0" bIns="0">
                        <a:noAutoFit/>
                      </wps:bodyPr>
                    </wps:wsp>
                  </a:graphicData>
                </a:graphic>
              </wp:anchor>
            </w:drawing>
          </mc:Choice>
          <mc:Fallback>
            <w:pict>
              <v:shape id="_x0000_s1071" type="#_x0000_t202" style="position:absolute;margin-left:162.40000000000001pt;margin-top:74.900000000000006pt;width:19.449999999999999pt;height:11.5pt;z-index:251657729;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2B4113"/>
                          <w:spacing w:val="0"/>
                          <w:w w:val="100"/>
                          <w:position w:val="0"/>
                          <w:sz w:val="20"/>
                          <w:szCs w:val="20"/>
                        </w:rPr>
                        <w:t>17%</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2635250</wp:posOffset>
                </wp:positionH>
                <wp:positionV relativeFrom="margin">
                  <wp:posOffset>137160</wp:posOffset>
                </wp:positionV>
                <wp:extent cx="975360" cy="262255"/>
                <wp:wrapNone/>
                <wp:docPr id="47" name="Shape 47"/>
                <a:graphic xmlns:a="http://schemas.openxmlformats.org/drawingml/2006/main">
                  <a:graphicData uri="http://schemas.microsoft.com/office/word/2010/wordprocessingShape">
                    <wps:wsp>
                      <wps:cNvSpPr txBox="1"/>
                      <wps:spPr>
                        <a:xfrm>
                          <a:ext cx="975360" cy="2622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rPr>
                              <w:t>专业构成</w:t>
                            </w:r>
                          </w:p>
                        </w:txbxContent>
                      </wps:txbx>
                      <wps:bodyPr lIns="0" tIns="0" rIns="0" bIns="0">
                        <a:noAutoFit/>
                      </wps:bodyPr>
                    </wps:wsp>
                  </a:graphicData>
                </a:graphic>
              </wp:anchor>
            </w:drawing>
          </mc:Choice>
          <mc:Fallback>
            <w:pict>
              <v:shape id="_x0000_s1073" type="#_x0000_t202" style="position:absolute;margin-left:207.5pt;margin-top:10.800000000000001pt;width:76.799999999999997pt;height:20.650000000000002pt;z-index:251657731;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rPr>
                        <w:t>专业构成</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3872865</wp:posOffset>
                </wp:positionH>
                <wp:positionV relativeFrom="margin">
                  <wp:posOffset>871855</wp:posOffset>
                </wp:positionV>
                <wp:extent cx="953770" cy="173990"/>
                <wp:wrapNone/>
                <wp:docPr id="49" name="Shape 49"/>
                <a:graphic xmlns:a="http://schemas.openxmlformats.org/drawingml/2006/main">
                  <a:graphicData uri="http://schemas.microsoft.com/office/word/2010/wordprocessingShape">
                    <wps:wsp>
                      <wps:cNvSpPr txBox="1"/>
                      <wps:spPr>
                        <a:xfrm>
                          <a:ext cx="953770" cy="1739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4A5D75"/>
                                <w:spacing w:val="0"/>
                                <w:w w:val="100"/>
                                <w:position w:val="0"/>
                                <w:sz w:val="19"/>
                                <w:szCs w:val="19"/>
                              </w:rPr>
                              <w:t>■生</w:t>
                            </w:r>
                            <w:r>
                              <w:rPr>
                                <w:rFonts w:ascii="SimHei" w:eastAsia="SimHei" w:hAnsi="SimHei" w:cs="SimHei"/>
                                <w:color w:val="212121"/>
                                <w:spacing w:val="0"/>
                                <w:w w:val="100"/>
                                <w:position w:val="0"/>
                                <w:sz w:val="19"/>
                                <w:szCs w:val="19"/>
                              </w:rPr>
                              <w:t>产人员</w:t>
                            </w:r>
                            <w:r>
                              <w:rPr>
                                <w:rFonts w:ascii="Calibri" w:eastAsia="Calibri" w:hAnsi="Calibri" w:cs="Calibri"/>
                                <w:color w:val="414141"/>
                                <w:spacing w:val="0"/>
                                <w:w w:val="100"/>
                                <w:position w:val="0"/>
                                <w:sz w:val="20"/>
                                <w:szCs w:val="20"/>
                              </w:rPr>
                              <w:t>2187</w:t>
                            </w:r>
                          </w:p>
                        </w:txbxContent>
                      </wps:txbx>
                      <wps:bodyPr lIns="0" tIns="0" rIns="0" bIns="0">
                        <a:noAutoFit/>
                      </wps:bodyPr>
                    </wps:wsp>
                  </a:graphicData>
                </a:graphic>
              </wp:anchor>
            </w:drawing>
          </mc:Choice>
          <mc:Fallback>
            <w:pict>
              <v:shape id="_x0000_s1075" type="#_x0000_t202" style="position:absolute;margin-left:304.94999999999999pt;margin-top:68.650000000000006pt;width:75.100000000000009pt;height:13.700000000000001pt;z-index:251657733;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4A5D75"/>
                          <w:spacing w:val="0"/>
                          <w:w w:val="100"/>
                          <w:position w:val="0"/>
                          <w:sz w:val="19"/>
                          <w:szCs w:val="19"/>
                        </w:rPr>
                        <w:t>■生</w:t>
                      </w:r>
                      <w:r>
                        <w:rPr>
                          <w:rFonts w:ascii="SimHei" w:eastAsia="SimHei" w:hAnsi="SimHei" w:cs="SimHei"/>
                          <w:color w:val="212121"/>
                          <w:spacing w:val="0"/>
                          <w:w w:val="100"/>
                          <w:position w:val="0"/>
                          <w:sz w:val="19"/>
                          <w:szCs w:val="19"/>
                        </w:rPr>
                        <w:t>产人员</w:t>
                      </w:r>
                      <w:r>
                        <w:rPr>
                          <w:rFonts w:ascii="Calibri" w:eastAsia="Calibri" w:hAnsi="Calibri" w:cs="Calibri"/>
                          <w:color w:val="414141"/>
                          <w:spacing w:val="0"/>
                          <w:w w:val="100"/>
                          <w:position w:val="0"/>
                          <w:sz w:val="20"/>
                          <w:szCs w:val="20"/>
                        </w:rPr>
                        <w:t>2187</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3872865</wp:posOffset>
                </wp:positionH>
                <wp:positionV relativeFrom="margin">
                  <wp:posOffset>1100455</wp:posOffset>
                </wp:positionV>
                <wp:extent cx="887095" cy="173990"/>
                <wp:wrapNone/>
                <wp:docPr id="51" name="Shape 51"/>
                <a:graphic xmlns:a="http://schemas.openxmlformats.org/drawingml/2006/main">
                  <a:graphicData uri="http://schemas.microsoft.com/office/word/2010/wordprocessingShape">
                    <wps:wsp>
                      <wps:cNvSpPr txBox="1"/>
                      <wps:spPr>
                        <a:xfrm>
                          <a:ext cx="887095" cy="1739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6F4143"/>
                                <w:spacing w:val="0"/>
                                <w:w w:val="100"/>
                                <w:position w:val="0"/>
                                <w:sz w:val="19"/>
                                <w:szCs w:val="19"/>
                              </w:rPr>
                              <w:t>■销</w:t>
                            </w:r>
                            <w:r>
                              <w:rPr>
                                <w:rFonts w:ascii="SimHei" w:eastAsia="SimHei" w:hAnsi="SimHei" w:cs="SimHei"/>
                                <w:color w:val="212121"/>
                                <w:spacing w:val="0"/>
                                <w:w w:val="100"/>
                                <w:position w:val="0"/>
                                <w:sz w:val="19"/>
                                <w:szCs w:val="19"/>
                              </w:rPr>
                              <w:t>售人员</w:t>
                            </w:r>
                            <w:r>
                              <w:rPr>
                                <w:rFonts w:ascii="Calibri" w:eastAsia="Calibri" w:hAnsi="Calibri" w:cs="Calibri"/>
                                <w:color w:val="212121"/>
                                <w:spacing w:val="0"/>
                                <w:w w:val="100"/>
                                <w:position w:val="0"/>
                                <w:sz w:val="20"/>
                                <w:szCs w:val="20"/>
                              </w:rPr>
                              <w:t>112</w:t>
                            </w:r>
                          </w:p>
                        </w:txbxContent>
                      </wps:txbx>
                      <wps:bodyPr lIns="0" tIns="0" rIns="0" bIns="0">
                        <a:noAutoFit/>
                      </wps:bodyPr>
                    </wps:wsp>
                  </a:graphicData>
                </a:graphic>
              </wp:anchor>
            </w:drawing>
          </mc:Choice>
          <mc:Fallback>
            <w:pict>
              <v:shape id="_x0000_s1077" type="#_x0000_t202" style="position:absolute;margin-left:304.94999999999999pt;margin-top:86.650000000000006pt;width:69.850000000000009pt;height:13.700000000000001pt;z-index:251657735;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6F4143"/>
                          <w:spacing w:val="0"/>
                          <w:w w:val="100"/>
                          <w:position w:val="0"/>
                          <w:sz w:val="19"/>
                          <w:szCs w:val="19"/>
                        </w:rPr>
                        <w:t>■销</w:t>
                      </w:r>
                      <w:r>
                        <w:rPr>
                          <w:rFonts w:ascii="SimHei" w:eastAsia="SimHei" w:hAnsi="SimHei" w:cs="SimHei"/>
                          <w:color w:val="212121"/>
                          <w:spacing w:val="0"/>
                          <w:w w:val="100"/>
                          <w:position w:val="0"/>
                          <w:sz w:val="19"/>
                          <w:szCs w:val="19"/>
                        </w:rPr>
                        <w:t>售人员</w:t>
                      </w:r>
                      <w:r>
                        <w:rPr>
                          <w:rFonts w:ascii="Calibri" w:eastAsia="Calibri" w:hAnsi="Calibri" w:cs="Calibri"/>
                          <w:color w:val="212121"/>
                          <w:spacing w:val="0"/>
                          <w:w w:val="100"/>
                          <w:position w:val="0"/>
                          <w:sz w:val="20"/>
                          <w:szCs w:val="20"/>
                        </w:rPr>
                        <w:t>112</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3872865</wp:posOffset>
                </wp:positionH>
                <wp:positionV relativeFrom="margin">
                  <wp:posOffset>1329055</wp:posOffset>
                </wp:positionV>
                <wp:extent cx="890270" cy="173990"/>
                <wp:wrapNone/>
                <wp:docPr id="53" name="Shape 53"/>
                <a:graphic xmlns:a="http://schemas.openxmlformats.org/drawingml/2006/main">
                  <a:graphicData uri="http://schemas.microsoft.com/office/word/2010/wordprocessingShape">
                    <wps:wsp>
                      <wps:cNvSpPr txBox="1"/>
                      <wps:spPr>
                        <a:xfrm>
                          <a:ext cx="890270" cy="1739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68724F"/>
                                <w:spacing w:val="0"/>
                                <w:w w:val="100"/>
                                <w:position w:val="0"/>
                                <w:sz w:val="19"/>
                                <w:szCs w:val="19"/>
                              </w:rPr>
                              <w:t>■技</w:t>
                            </w:r>
                            <w:r>
                              <w:rPr>
                                <w:rFonts w:ascii="SimHei" w:eastAsia="SimHei" w:hAnsi="SimHei" w:cs="SimHei"/>
                                <w:color w:val="212121"/>
                                <w:spacing w:val="0"/>
                                <w:w w:val="100"/>
                                <w:position w:val="0"/>
                                <w:sz w:val="19"/>
                                <w:szCs w:val="19"/>
                              </w:rPr>
                              <w:t>术人员</w:t>
                            </w:r>
                            <w:r>
                              <w:rPr>
                                <w:rFonts w:ascii="Calibri" w:eastAsia="Calibri" w:hAnsi="Calibri" w:cs="Calibri"/>
                                <w:color w:val="414141"/>
                                <w:spacing w:val="0"/>
                                <w:w w:val="100"/>
                                <w:position w:val="0"/>
                                <w:sz w:val="20"/>
                                <w:szCs w:val="20"/>
                              </w:rPr>
                              <w:t>480</w:t>
                            </w:r>
                          </w:p>
                        </w:txbxContent>
                      </wps:txbx>
                      <wps:bodyPr lIns="0" tIns="0" rIns="0" bIns="0">
                        <a:noAutoFit/>
                      </wps:bodyPr>
                    </wps:wsp>
                  </a:graphicData>
                </a:graphic>
              </wp:anchor>
            </w:drawing>
          </mc:Choice>
          <mc:Fallback>
            <w:pict>
              <v:shape id="_x0000_s1079" type="#_x0000_t202" style="position:absolute;margin-left:304.94999999999999pt;margin-top:104.65000000000001pt;width:70.100000000000009pt;height:13.700000000000001pt;z-index:251657737;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68724F"/>
                          <w:spacing w:val="0"/>
                          <w:w w:val="100"/>
                          <w:position w:val="0"/>
                          <w:sz w:val="19"/>
                          <w:szCs w:val="19"/>
                        </w:rPr>
                        <w:t>■技</w:t>
                      </w:r>
                      <w:r>
                        <w:rPr>
                          <w:rFonts w:ascii="SimHei" w:eastAsia="SimHei" w:hAnsi="SimHei" w:cs="SimHei"/>
                          <w:color w:val="212121"/>
                          <w:spacing w:val="0"/>
                          <w:w w:val="100"/>
                          <w:position w:val="0"/>
                          <w:sz w:val="19"/>
                          <w:szCs w:val="19"/>
                        </w:rPr>
                        <w:t>术人员</w:t>
                      </w:r>
                      <w:r>
                        <w:rPr>
                          <w:rFonts w:ascii="Calibri" w:eastAsia="Calibri" w:hAnsi="Calibri" w:cs="Calibri"/>
                          <w:color w:val="414141"/>
                          <w:spacing w:val="0"/>
                          <w:w w:val="100"/>
                          <w:position w:val="0"/>
                          <w:sz w:val="20"/>
                          <w:szCs w:val="20"/>
                        </w:rPr>
                        <w:t>480</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3872865</wp:posOffset>
                </wp:positionH>
                <wp:positionV relativeFrom="margin">
                  <wp:posOffset>1557655</wp:posOffset>
                </wp:positionV>
                <wp:extent cx="819785" cy="173990"/>
                <wp:wrapNone/>
                <wp:docPr id="55" name="Shape 55"/>
                <a:graphic xmlns:a="http://schemas.openxmlformats.org/drawingml/2006/main">
                  <a:graphicData uri="http://schemas.microsoft.com/office/word/2010/wordprocessingShape">
                    <wps:wsp>
                      <wps:cNvSpPr txBox="1"/>
                      <wps:spPr>
                        <a:xfrm>
                          <a:ext cx="819785" cy="1739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524D5B"/>
                                <w:spacing w:val="0"/>
                                <w:w w:val="100"/>
                                <w:position w:val="0"/>
                                <w:sz w:val="19"/>
                                <w:szCs w:val="19"/>
                              </w:rPr>
                              <w:t>■财</w:t>
                            </w:r>
                            <w:r>
                              <w:rPr>
                                <w:rFonts w:ascii="SimHei" w:eastAsia="SimHei" w:hAnsi="SimHei" w:cs="SimHei"/>
                                <w:color w:val="212121"/>
                                <w:spacing w:val="0"/>
                                <w:w w:val="100"/>
                                <w:position w:val="0"/>
                                <w:sz w:val="19"/>
                                <w:szCs w:val="19"/>
                              </w:rPr>
                              <w:t>务人员</w:t>
                            </w:r>
                            <w:r>
                              <w:rPr>
                                <w:rFonts w:ascii="Calibri" w:eastAsia="Calibri" w:hAnsi="Calibri" w:cs="Calibri"/>
                                <w:color w:val="524D5B"/>
                                <w:spacing w:val="0"/>
                                <w:w w:val="100"/>
                                <w:position w:val="0"/>
                                <w:sz w:val="20"/>
                                <w:szCs w:val="20"/>
                              </w:rPr>
                              <w:t>33</w:t>
                            </w:r>
                          </w:p>
                        </w:txbxContent>
                      </wps:txbx>
                      <wps:bodyPr lIns="0" tIns="0" rIns="0" bIns="0">
                        <a:noAutoFit/>
                      </wps:bodyPr>
                    </wps:wsp>
                  </a:graphicData>
                </a:graphic>
              </wp:anchor>
            </w:drawing>
          </mc:Choice>
          <mc:Fallback>
            <w:pict>
              <v:shape id="_x0000_s1081" type="#_x0000_t202" style="position:absolute;margin-left:304.94999999999999pt;margin-top:122.65000000000001pt;width:64.549999999999997pt;height:13.700000000000001pt;z-index:251657739;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524D5B"/>
                          <w:spacing w:val="0"/>
                          <w:w w:val="100"/>
                          <w:position w:val="0"/>
                          <w:sz w:val="19"/>
                          <w:szCs w:val="19"/>
                        </w:rPr>
                        <w:t>■财</w:t>
                      </w:r>
                      <w:r>
                        <w:rPr>
                          <w:rFonts w:ascii="SimHei" w:eastAsia="SimHei" w:hAnsi="SimHei" w:cs="SimHei"/>
                          <w:color w:val="212121"/>
                          <w:spacing w:val="0"/>
                          <w:w w:val="100"/>
                          <w:position w:val="0"/>
                          <w:sz w:val="19"/>
                          <w:szCs w:val="19"/>
                        </w:rPr>
                        <w:t>务人员</w:t>
                      </w:r>
                      <w:r>
                        <w:rPr>
                          <w:rFonts w:ascii="Calibri" w:eastAsia="Calibri" w:hAnsi="Calibri" w:cs="Calibri"/>
                          <w:color w:val="524D5B"/>
                          <w:spacing w:val="0"/>
                          <w:w w:val="100"/>
                          <w:position w:val="0"/>
                          <w:sz w:val="20"/>
                          <w:szCs w:val="20"/>
                        </w:rPr>
                        <w:t>33</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3872865</wp:posOffset>
                </wp:positionH>
                <wp:positionV relativeFrom="margin">
                  <wp:posOffset>1786255</wp:posOffset>
                </wp:positionV>
                <wp:extent cx="819785" cy="173990"/>
                <wp:wrapNone/>
                <wp:docPr id="57" name="Shape 57"/>
                <a:graphic xmlns:a="http://schemas.openxmlformats.org/drawingml/2006/main">
                  <a:graphicData uri="http://schemas.microsoft.com/office/word/2010/wordprocessingShape">
                    <wps:wsp>
                      <wps:cNvSpPr txBox="1"/>
                      <wps:spPr>
                        <a:xfrm>
                          <a:ext cx="819785" cy="1739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4A7B82"/>
                                <w:spacing w:val="0"/>
                                <w:w w:val="100"/>
                                <w:position w:val="0"/>
                                <w:sz w:val="19"/>
                                <w:szCs w:val="19"/>
                              </w:rPr>
                              <w:t>■行</w:t>
                            </w:r>
                            <w:r>
                              <w:rPr>
                                <w:rFonts w:ascii="SimHei" w:eastAsia="SimHei" w:hAnsi="SimHei" w:cs="SimHei"/>
                                <w:color w:val="212121"/>
                                <w:spacing w:val="0"/>
                                <w:w w:val="100"/>
                                <w:position w:val="0"/>
                                <w:sz w:val="19"/>
                                <w:szCs w:val="19"/>
                              </w:rPr>
                              <w:t>政人员</w:t>
                            </w:r>
                            <w:r>
                              <w:rPr>
                                <w:rFonts w:ascii="Calibri" w:eastAsia="Calibri" w:hAnsi="Calibri" w:cs="Calibri"/>
                                <w:color w:val="414141"/>
                                <w:spacing w:val="0"/>
                                <w:w w:val="100"/>
                                <w:position w:val="0"/>
                                <w:sz w:val="20"/>
                                <w:szCs w:val="20"/>
                              </w:rPr>
                              <w:t>63</w:t>
                            </w:r>
                          </w:p>
                        </w:txbxContent>
                      </wps:txbx>
                      <wps:bodyPr lIns="0" tIns="0" rIns="0" bIns="0">
                        <a:noAutoFit/>
                      </wps:bodyPr>
                    </wps:wsp>
                  </a:graphicData>
                </a:graphic>
              </wp:anchor>
            </w:drawing>
          </mc:Choice>
          <mc:Fallback>
            <w:pict>
              <v:shape id="_x0000_s1083" type="#_x0000_t202" style="position:absolute;margin-left:304.94999999999999pt;margin-top:140.65000000000001pt;width:64.549999999999997pt;height:13.700000000000001pt;z-index:251657741;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4A7B82"/>
                          <w:spacing w:val="0"/>
                          <w:w w:val="100"/>
                          <w:position w:val="0"/>
                          <w:sz w:val="19"/>
                          <w:szCs w:val="19"/>
                        </w:rPr>
                        <w:t>■行</w:t>
                      </w:r>
                      <w:r>
                        <w:rPr>
                          <w:rFonts w:ascii="SimHei" w:eastAsia="SimHei" w:hAnsi="SimHei" w:cs="SimHei"/>
                          <w:color w:val="212121"/>
                          <w:spacing w:val="0"/>
                          <w:w w:val="100"/>
                          <w:position w:val="0"/>
                          <w:sz w:val="19"/>
                          <w:szCs w:val="19"/>
                        </w:rPr>
                        <w:t>政人员</w:t>
                      </w:r>
                      <w:r>
                        <w:rPr>
                          <w:rFonts w:ascii="Calibri" w:eastAsia="Calibri" w:hAnsi="Calibri" w:cs="Calibri"/>
                          <w:color w:val="414141"/>
                          <w:spacing w:val="0"/>
                          <w:w w:val="100"/>
                          <w:position w:val="0"/>
                          <w:sz w:val="20"/>
                          <w:szCs w:val="20"/>
                        </w:rPr>
                        <w:t>63</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1288415</wp:posOffset>
                </wp:positionH>
                <wp:positionV relativeFrom="margin">
                  <wp:posOffset>2575560</wp:posOffset>
                </wp:positionV>
                <wp:extent cx="1447800" cy="179705"/>
                <wp:wrapNone/>
                <wp:docPr id="59" name="Shape 59"/>
                <a:graphic xmlns:a="http://schemas.openxmlformats.org/drawingml/2006/main">
                  <a:graphicData uri="http://schemas.microsoft.com/office/word/2010/wordprocessingShape">
                    <wps:wsp>
                      <wps:cNvSpPr txBox="1"/>
                      <wps:spPr>
                        <a:xfrm>
                          <a:ext cx="1447800" cy="17970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教育程度统计图:</w:t>
                            </w:r>
                          </w:p>
                        </w:txbxContent>
                      </wps:txbx>
                      <wps:bodyPr lIns="0" tIns="0" rIns="0" bIns="0">
                        <a:noAutoFit/>
                      </wps:bodyPr>
                    </wps:wsp>
                  </a:graphicData>
                </a:graphic>
              </wp:anchor>
            </w:drawing>
          </mc:Choice>
          <mc:Fallback>
            <w:pict>
              <v:shape id="_x0000_s1085" type="#_x0000_t202" style="position:absolute;margin-left:101.45pt;margin-top:202.80000000000001pt;width:114.pt;height:14.15pt;z-index:251657743;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教育程度统计图:</w:t>
                      </w:r>
                    </w:p>
                  </w:txbxContent>
                </v:textbox>
                <w10:wrap anchorx="page" anchory="margin"/>
              </v:shape>
            </w:pict>
          </mc:Fallback>
        </mc:AlternateContent>
      </w:r>
      <w:r>
        <mc:AlternateContent>
          <mc:Choice Requires="wps">
            <w:drawing>
              <wp:anchor distT="2840990" distB="1170305" distL="1650365" distR="1284605" simplePos="0" relativeHeight="125829409" behindDoc="0" locked="0" layoutInCell="1" allowOverlap="1">
                <wp:simplePos x="0" y="0"/>
                <wp:positionH relativeFrom="page">
                  <wp:posOffset>2824480</wp:posOffset>
                </wp:positionH>
                <wp:positionV relativeFrom="margin">
                  <wp:posOffset>2856230</wp:posOffset>
                </wp:positionV>
                <wp:extent cx="966470" cy="271145"/>
                <wp:wrapTopAndBottom/>
                <wp:docPr id="61" name="Shape 61"/>
                <a:graphic xmlns:a="http://schemas.openxmlformats.org/drawingml/2006/main">
                  <a:graphicData uri="http://schemas.microsoft.com/office/word/2010/wordprocessingShape">
                    <wps:wsp>
                      <wps:cNvSpPr txBox="1"/>
                      <wps:spPr>
                        <a:xfrm>
                          <a:ext cx="966470" cy="27114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rPr>
                              <w:t>教育程度</w:t>
                            </w:r>
                          </w:p>
                        </w:txbxContent>
                      </wps:txbx>
                      <wps:bodyPr wrap="none" lIns="0" tIns="0" rIns="0" bIns="0">
                        <a:noAutoFit/>
                      </wps:bodyPr>
                    </wps:wsp>
                  </a:graphicData>
                </a:graphic>
              </wp:anchor>
            </w:drawing>
          </mc:Choice>
          <mc:Fallback>
            <w:pict>
              <v:shape id="_x0000_s1087" type="#_x0000_t202" style="position:absolute;margin-left:222.40000000000001pt;margin-top:224.90000000000001pt;width:76.100000000000009pt;height:21.350000000000001pt;z-index:-125829344;mso-wrap-distance-left:129.94999999999999pt;mso-wrap-distance-top:223.70000000000002pt;mso-wrap-distance-right:101.15000000000001pt;mso-wrap-distance-bottom:92.150000000000006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both"/>
                        <w:rPr>
                          <w:sz w:val="34"/>
                          <w:szCs w:val="34"/>
                        </w:rPr>
                      </w:pPr>
                      <w:r>
                        <w:rPr>
                          <w:color w:val="000000"/>
                          <w:spacing w:val="0"/>
                          <w:w w:val="100"/>
                          <w:position w:val="0"/>
                          <w:sz w:val="34"/>
                          <w:szCs w:val="34"/>
                        </w:rPr>
                        <w:t>教育程度</w:t>
                      </w:r>
                    </w:p>
                  </w:txbxContent>
                </v:textbox>
                <w10:wrap type="topAndBottom" anchorx="page" anchory="margin"/>
              </v:shape>
            </w:pict>
          </mc:Fallback>
        </mc:AlternateContent>
      </w:r>
      <w:r>
        <w:drawing>
          <wp:anchor distT="3395345" distB="161925" distL="699770" distR="1772285" simplePos="0" relativeHeight="125829411" behindDoc="0" locked="0" layoutInCell="1" allowOverlap="1">
            <wp:simplePos x="0" y="0"/>
            <wp:positionH relativeFrom="page">
              <wp:posOffset>1873885</wp:posOffset>
            </wp:positionH>
            <wp:positionV relativeFrom="margin">
              <wp:posOffset>3410585</wp:posOffset>
            </wp:positionV>
            <wp:extent cx="1432560" cy="725170"/>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15"/>
                    <a:stretch/>
                  </pic:blipFill>
                  <pic:spPr>
                    <a:xfrm>
                      <a:ext cx="1432560" cy="725170"/>
                    </a:xfrm>
                    <a:prstGeom prst="rect"/>
                  </pic:spPr>
                </pic:pic>
              </a:graphicData>
            </a:graphic>
          </wp:anchor>
        </w:drawing>
      </w:r>
      <w:r>
        <mc:AlternateContent>
          <mc:Choice Requires="wps">
            <w:drawing>
              <wp:anchor distT="3575050" distB="152400" distL="2506980" distR="114300" simplePos="0" relativeHeight="125829412" behindDoc="0" locked="0" layoutInCell="1" allowOverlap="1">
                <wp:simplePos x="0" y="0"/>
                <wp:positionH relativeFrom="page">
                  <wp:posOffset>3681095</wp:posOffset>
                </wp:positionH>
                <wp:positionV relativeFrom="margin">
                  <wp:posOffset>3590290</wp:posOffset>
                </wp:positionV>
                <wp:extent cx="1280160" cy="554990"/>
                <wp:wrapTopAndBottom/>
                <wp:docPr id="65" name="Shape 65"/>
                <a:graphic xmlns:a="http://schemas.openxmlformats.org/drawingml/2006/main">
                  <a:graphicData uri="http://schemas.microsoft.com/office/word/2010/wordprocessingShape">
                    <wps:wsp>
                      <wps:cNvSpPr txBox="1"/>
                      <wps:spPr>
                        <a:xfrm>
                          <a:ext cx="1280160" cy="554990"/>
                        </a:xfrm>
                        <a:prstGeom prst="rect"/>
                        <a:noFill/>
                      </wps:spPr>
                      <wps:txbx>
                        <w:txbxContent>
                          <w:p>
                            <w:pPr>
                              <w:pStyle w:val="Style21"/>
                              <w:keepNext w:val="0"/>
                              <w:keepLines w:val="0"/>
                              <w:widowControl w:val="0"/>
                              <w:shd w:val="clear" w:color="auto" w:fill="auto"/>
                              <w:bidi w:val="0"/>
                              <w:spacing w:before="0" w:after="340" w:line="240" w:lineRule="auto"/>
                              <w:ind w:left="0" w:right="0" w:firstLine="0"/>
                              <w:jc w:val="left"/>
                            </w:pPr>
                            <w:r>
                              <w:rPr>
                                <w:rFonts w:ascii="SimHei" w:eastAsia="SimHei" w:hAnsi="SimHei" w:cs="SimHei"/>
                                <w:color w:val="4A5D75"/>
                                <w:spacing w:val="0"/>
                                <w:w w:val="100"/>
                                <w:position w:val="0"/>
                                <w:sz w:val="19"/>
                                <w:szCs w:val="19"/>
                              </w:rPr>
                              <w:t>■本</w:t>
                            </w:r>
                            <w:r>
                              <w:rPr>
                                <w:rFonts w:ascii="SimHei" w:eastAsia="SimHei" w:hAnsi="SimHei" w:cs="SimHei"/>
                                <w:color w:val="212121"/>
                                <w:spacing w:val="0"/>
                                <w:w w:val="100"/>
                                <w:position w:val="0"/>
                                <w:sz w:val="19"/>
                                <w:szCs w:val="19"/>
                              </w:rPr>
                              <w:t>科及以上学历</w:t>
                            </w:r>
                            <w:r>
                              <w:rPr>
                                <w:rFonts w:ascii="Calibri" w:eastAsia="Calibri" w:hAnsi="Calibri" w:cs="Calibri"/>
                                <w:color w:val="414141"/>
                                <w:spacing w:val="0"/>
                                <w:w w:val="100"/>
                                <w:position w:val="0"/>
                                <w:sz w:val="20"/>
                                <w:szCs w:val="20"/>
                              </w:rPr>
                              <w:t>225</w:t>
                            </w:r>
                          </w:p>
                          <w:p>
                            <w:pPr>
                              <w:pStyle w:val="Style21"/>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864C4F"/>
                                <w:spacing w:val="0"/>
                                <w:w w:val="100"/>
                                <w:position w:val="0"/>
                                <w:sz w:val="19"/>
                                <w:szCs w:val="19"/>
                              </w:rPr>
                              <w:t>■大</w:t>
                            </w:r>
                            <w:r>
                              <w:rPr>
                                <w:rFonts w:ascii="SimHei" w:eastAsia="SimHei" w:hAnsi="SimHei" w:cs="SimHei"/>
                                <w:color w:val="212121"/>
                                <w:spacing w:val="0"/>
                                <w:w w:val="100"/>
                                <w:position w:val="0"/>
                                <w:sz w:val="19"/>
                                <w:szCs w:val="19"/>
                              </w:rPr>
                              <w:t>专学历</w:t>
                            </w:r>
                            <w:r>
                              <w:rPr>
                                <w:rFonts w:ascii="Calibri" w:eastAsia="Calibri" w:hAnsi="Calibri" w:cs="Calibri"/>
                                <w:color w:val="414141"/>
                                <w:spacing w:val="0"/>
                                <w:w w:val="100"/>
                                <w:position w:val="0"/>
                                <w:sz w:val="20"/>
                                <w:szCs w:val="20"/>
                              </w:rPr>
                              <w:t>293</w:t>
                            </w:r>
                          </w:p>
                        </w:txbxContent>
                      </wps:txbx>
                      <wps:bodyPr lIns="0" tIns="0" rIns="0" bIns="0">
                        <a:noAutoFit/>
                      </wps:bodyPr>
                    </wps:wsp>
                  </a:graphicData>
                </a:graphic>
              </wp:anchor>
            </w:drawing>
          </mc:Choice>
          <mc:Fallback>
            <w:pict>
              <v:shape id="_x0000_s1091" type="#_x0000_t202" style="position:absolute;margin-left:289.85000000000002pt;margin-top:282.69999999999999pt;width:100.8pt;height:43.700000000000003pt;z-index:-125829341;mso-wrap-distance-left:197.40000000000001pt;mso-wrap-distance-top:281.5pt;mso-wrap-distance-right:9.pt;mso-wrap-distance-bottom:12.pt;mso-position-horizontal-relative:page;mso-position-vertical-relative:margin" filled="f" stroked="f">
                <v:textbox inset="0,0,0,0">
                  <w:txbxContent>
                    <w:p>
                      <w:pPr>
                        <w:pStyle w:val="Style21"/>
                        <w:keepNext w:val="0"/>
                        <w:keepLines w:val="0"/>
                        <w:widowControl w:val="0"/>
                        <w:shd w:val="clear" w:color="auto" w:fill="auto"/>
                        <w:bidi w:val="0"/>
                        <w:spacing w:before="0" w:after="340" w:line="240" w:lineRule="auto"/>
                        <w:ind w:left="0" w:right="0" w:firstLine="0"/>
                        <w:jc w:val="left"/>
                      </w:pPr>
                      <w:r>
                        <w:rPr>
                          <w:rFonts w:ascii="SimHei" w:eastAsia="SimHei" w:hAnsi="SimHei" w:cs="SimHei"/>
                          <w:color w:val="4A5D75"/>
                          <w:spacing w:val="0"/>
                          <w:w w:val="100"/>
                          <w:position w:val="0"/>
                          <w:sz w:val="19"/>
                          <w:szCs w:val="19"/>
                        </w:rPr>
                        <w:t>■本</w:t>
                      </w:r>
                      <w:r>
                        <w:rPr>
                          <w:rFonts w:ascii="SimHei" w:eastAsia="SimHei" w:hAnsi="SimHei" w:cs="SimHei"/>
                          <w:color w:val="212121"/>
                          <w:spacing w:val="0"/>
                          <w:w w:val="100"/>
                          <w:position w:val="0"/>
                          <w:sz w:val="19"/>
                          <w:szCs w:val="19"/>
                        </w:rPr>
                        <w:t>科及以上学历</w:t>
                      </w:r>
                      <w:r>
                        <w:rPr>
                          <w:rFonts w:ascii="Calibri" w:eastAsia="Calibri" w:hAnsi="Calibri" w:cs="Calibri"/>
                          <w:color w:val="414141"/>
                          <w:spacing w:val="0"/>
                          <w:w w:val="100"/>
                          <w:position w:val="0"/>
                          <w:sz w:val="20"/>
                          <w:szCs w:val="20"/>
                        </w:rPr>
                        <w:t>225</w:t>
                      </w:r>
                    </w:p>
                    <w:p>
                      <w:pPr>
                        <w:pStyle w:val="Style21"/>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864C4F"/>
                          <w:spacing w:val="0"/>
                          <w:w w:val="100"/>
                          <w:position w:val="0"/>
                          <w:sz w:val="19"/>
                          <w:szCs w:val="19"/>
                        </w:rPr>
                        <w:t>■大</w:t>
                      </w:r>
                      <w:r>
                        <w:rPr>
                          <w:rFonts w:ascii="SimHei" w:eastAsia="SimHei" w:hAnsi="SimHei" w:cs="SimHei"/>
                          <w:color w:val="212121"/>
                          <w:spacing w:val="0"/>
                          <w:w w:val="100"/>
                          <w:position w:val="0"/>
                          <w:sz w:val="19"/>
                          <w:szCs w:val="19"/>
                        </w:rPr>
                        <w:t>专学历</w:t>
                      </w:r>
                      <w:r>
                        <w:rPr>
                          <w:rFonts w:ascii="Calibri" w:eastAsia="Calibri" w:hAnsi="Calibri" w:cs="Calibri"/>
                          <w:color w:val="414141"/>
                          <w:spacing w:val="0"/>
                          <w:w w:val="100"/>
                          <w:position w:val="0"/>
                          <w:sz w:val="20"/>
                          <w:szCs w:val="20"/>
                        </w:rPr>
                        <w:t>293</w:t>
                      </w:r>
                    </w:p>
                  </w:txbxContent>
                </v:textbox>
                <w10:wrap type="topAndBottom" anchorx="page" anchory="margin"/>
              </v:shape>
            </w:pict>
          </mc:Fallback>
        </mc:AlternateContent>
      </w:r>
      <w:r>
        <mc:AlternateContent>
          <mc:Choice Requires="wps">
            <w:drawing>
              <wp:anchor distT="0" distB="0" distL="114300" distR="114300" simplePos="0" relativeHeight="125829414" behindDoc="0" locked="0" layoutInCell="1" allowOverlap="1">
                <wp:simplePos x="0" y="0"/>
                <wp:positionH relativeFrom="page">
                  <wp:posOffset>2132965</wp:posOffset>
                </wp:positionH>
                <wp:positionV relativeFrom="margin">
                  <wp:posOffset>4486910</wp:posOffset>
                </wp:positionV>
                <wp:extent cx="252730" cy="167640"/>
                <wp:wrapSquare wrapText="right"/>
                <wp:docPr id="67" name="Shape 67"/>
                <a:graphic xmlns:a="http://schemas.openxmlformats.org/drawingml/2006/main">
                  <a:graphicData uri="http://schemas.microsoft.com/office/word/2010/wordprocessingShape">
                    <wps:wsp>
                      <wps:cNvSpPr txBox="1"/>
                      <wps:spPr>
                        <a:xfrm>
                          <a:ext cx="252730" cy="16764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2B4113"/>
                                <w:spacing w:val="0"/>
                                <w:w w:val="100"/>
                                <w:position w:val="0"/>
                                <w:sz w:val="20"/>
                                <w:szCs w:val="20"/>
                              </w:rPr>
                              <w:t>82%</w:t>
                            </w:r>
                          </w:p>
                        </w:txbxContent>
                      </wps:txbx>
                      <wps:bodyPr wrap="none" lIns="0" tIns="0" rIns="0" bIns="0">
                        <a:noAutoFit/>
                      </wps:bodyPr>
                    </wps:wsp>
                  </a:graphicData>
                </a:graphic>
              </wp:anchor>
            </w:drawing>
          </mc:Choice>
          <mc:Fallback>
            <w:pict>
              <v:shape id="_x0000_s1093" type="#_x0000_t202" style="position:absolute;margin-left:167.95000000000002pt;margin-top:353.30000000000001pt;width:19.900000000000002pt;height:13.200000000000001pt;z-index:-125829339;mso-wrap-distance-left:9.pt;mso-wrap-distance-right: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2B4113"/>
                          <w:spacing w:val="0"/>
                          <w:w w:val="100"/>
                          <w:position w:val="0"/>
                          <w:sz w:val="20"/>
                          <w:szCs w:val="20"/>
                        </w:rPr>
                        <w:t>82%</w:t>
                      </w:r>
                    </w:p>
                  </w:txbxContent>
                </v:textbox>
                <w10:wrap type="square" side="right" anchorx="page" anchory="margin"/>
              </v:shape>
            </w:pict>
          </mc:Fallback>
        </mc:AlternateContent>
      </w:r>
      <w:r>
        <w:rPr>
          <w:rFonts w:ascii="SimHei" w:eastAsia="SimHei" w:hAnsi="SimHei" w:cs="SimHei"/>
          <w:color w:val="212121"/>
          <w:spacing w:val="0"/>
          <w:w w:val="100"/>
          <w:position w:val="0"/>
          <w:sz w:val="19"/>
          <w:szCs w:val="19"/>
        </w:rPr>
        <w:t>中专及高中以下学历</w:t>
      </w:r>
    </w:p>
    <w:p>
      <w:pPr>
        <w:pStyle w:val="Style21"/>
        <w:keepNext w:val="0"/>
        <w:keepLines w:val="0"/>
        <w:widowControl w:val="0"/>
        <w:shd w:val="clear" w:color="auto" w:fill="auto"/>
        <w:bidi w:val="0"/>
        <w:spacing w:before="0" w:after="0" w:line="230" w:lineRule="auto"/>
        <w:ind w:left="0" w:right="0" w:firstLine="0"/>
        <w:jc w:val="center"/>
        <w:sectPr>
          <w:footnotePr>
            <w:pos w:val="pageBottom"/>
            <w:numFmt w:val="decimal"/>
            <w:numRestart w:val="continuous"/>
          </w:footnotePr>
          <w:pgSz w:w="12240" w:h="15840"/>
          <w:pgMar w:top="1416" w:right="1158" w:bottom="1450" w:left="1760" w:header="0" w:footer="3" w:gutter="0"/>
          <w:cols w:space="720"/>
          <w:noEndnote/>
          <w:rtlGutter w:val="0"/>
          <w:docGrid w:linePitch="360"/>
        </w:sectPr>
      </w:pPr>
      <w:r>
        <w:rPr>
          <w:rFonts w:ascii="Calibri" w:eastAsia="Calibri" w:hAnsi="Calibri" w:cs="Calibri"/>
          <w:color w:val="414141"/>
          <w:spacing w:val="0"/>
          <w:w w:val="100"/>
          <w:position w:val="0"/>
          <w:sz w:val="20"/>
          <w:szCs w:val="20"/>
        </w:rPr>
        <w:t>2357</w:t>
      </w:r>
    </w:p>
    <w:p>
      <w:pPr>
        <w:pStyle w:val="Style17"/>
        <w:keepNext/>
        <w:keepLines/>
        <w:widowControl w:val="0"/>
        <w:shd w:val="clear" w:color="auto" w:fill="auto"/>
        <w:bidi w:val="0"/>
        <w:spacing w:before="560" w:after="780" w:line="240" w:lineRule="auto"/>
        <w:ind w:left="0" w:right="0" w:firstLine="0"/>
        <w:jc w:val="left"/>
      </w:pPr>
      <w:bookmarkStart w:id="100" w:name="bookmark100"/>
      <w:bookmarkStart w:id="101" w:name="bookmark101"/>
      <w:bookmarkStart w:id="99" w:name="bookmark99"/>
      <w:r>
        <w:rPr>
          <w:color w:val="000000"/>
          <w:spacing w:val="0"/>
          <w:w w:val="100"/>
          <w:position w:val="0"/>
        </w:rPr>
        <w:t>第八节公司治理</w:t>
      </w:r>
      <w:bookmarkEnd w:id="100"/>
      <w:bookmarkEnd w:id="101"/>
      <w:bookmarkEnd w:id="99"/>
    </w:p>
    <w:p>
      <w:pPr>
        <w:pStyle w:val="Style13"/>
        <w:keepNext w:val="0"/>
        <w:keepLines w:val="0"/>
        <w:widowControl w:val="0"/>
        <w:shd w:val="clear" w:color="auto" w:fill="auto"/>
        <w:tabs>
          <w:tab w:pos="638" w:val="left"/>
        </w:tabs>
        <w:bidi w:val="0"/>
        <w:spacing w:before="0" w:after="0" w:line="273" w:lineRule="exact"/>
        <w:ind w:left="0" w:right="0" w:firstLine="0"/>
        <w:jc w:val="left"/>
      </w:pPr>
      <w:bookmarkStart w:id="102" w:name="bookmark102"/>
      <w:r>
        <w:rPr>
          <w:color w:val="000000"/>
          <w:spacing w:val="0"/>
          <w:w w:val="100"/>
          <w:position w:val="0"/>
          <w:shd w:val="clear" w:color="auto" w:fill="FFFFFF"/>
        </w:rPr>
        <w:t>一</w:t>
      </w:r>
      <w:bookmarkEnd w:id="102"/>
      <w:r>
        <w:rPr>
          <w:color w:val="000000"/>
          <w:spacing w:val="0"/>
          <w:w w:val="100"/>
          <w:position w:val="0"/>
          <w:shd w:val="clear" w:color="auto" w:fill="FFFFFF"/>
        </w:rPr>
        <w:t>、</w:t>
      </w:r>
      <w:r>
        <w:rPr>
          <w:color w:val="000000"/>
          <w:spacing w:val="0"/>
          <w:w w:val="100"/>
          <w:position w:val="0"/>
        </w:rPr>
        <w:tab/>
        <w:t>公司治理及内幕知情人登记管理等相关情况说明</w:t>
      </w:r>
    </w:p>
    <w:p>
      <w:pPr>
        <w:pStyle w:val="Style13"/>
        <w:keepNext w:val="0"/>
        <w:keepLines w:val="0"/>
        <w:widowControl w:val="0"/>
        <w:shd w:val="clear" w:color="auto" w:fill="auto"/>
        <w:bidi w:val="0"/>
        <w:spacing w:before="0" w:after="40" w:line="273" w:lineRule="exact"/>
        <w:ind w:left="0" w:right="0" w:firstLine="0"/>
        <w:jc w:val="left"/>
      </w:pPr>
      <w:r>
        <w:rPr>
          <w:color w:val="000000"/>
          <w:spacing w:val="0"/>
          <w:w w:val="100"/>
          <w:position w:val="0"/>
        </w:rPr>
        <w:t>报告期内，公司董事会通过建立健全内部控制制度，不断提升规范运作水平。公司治理情况具 体如下：</w:t>
      </w:r>
    </w:p>
    <w:p>
      <w:pPr>
        <w:pStyle w:val="Style13"/>
        <w:keepNext w:val="0"/>
        <w:keepLines w:val="0"/>
        <w:widowControl w:val="0"/>
        <w:shd w:val="clear" w:color="auto" w:fill="auto"/>
        <w:tabs>
          <w:tab w:pos="333" w:val="left"/>
        </w:tabs>
        <w:bidi w:val="0"/>
        <w:spacing w:before="0" w:after="0"/>
        <w:ind w:left="0" w:right="0" w:firstLine="0"/>
        <w:jc w:val="left"/>
      </w:pPr>
      <w:bookmarkStart w:id="103" w:name="bookmark103"/>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关于股东与股东大会：</w:t>
      </w:r>
    </w:p>
    <w:p>
      <w:pPr>
        <w:pStyle w:val="Style13"/>
        <w:keepNext w:val="0"/>
        <w:keepLines w:val="0"/>
        <w:widowControl w:val="0"/>
        <w:shd w:val="clear" w:color="auto" w:fill="auto"/>
        <w:bidi w:val="0"/>
        <w:spacing w:before="0" w:after="40" w:line="273" w:lineRule="exact"/>
        <w:ind w:left="0" w:right="0" w:firstLine="0"/>
        <w:jc w:val="both"/>
      </w:pPr>
      <w:r>
        <w:rPr>
          <w:color w:val="000000"/>
          <w:spacing w:val="0"/>
          <w:w w:val="100"/>
          <w:position w:val="0"/>
        </w:rPr>
        <w:t>公司严格按照《公司法》、《上海证券交易所股票上市规则》及《公司章程》、《股东大会议事规 则》等规定召集、召开股东大会，并聘请律师对股东大会的召集、召开程序、各项审议议案进 行见证并出具法律意见书。公司能够公平对待所有股东，在股东大会上保证股东有表达自己意 见和建议的权利，充分行使股东的表决权。</w:t>
      </w:r>
    </w:p>
    <w:p>
      <w:pPr>
        <w:pStyle w:val="Style13"/>
        <w:keepNext w:val="0"/>
        <w:keepLines w:val="0"/>
        <w:widowControl w:val="0"/>
        <w:shd w:val="clear" w:color="auto" w:fill="auto"/>
        <w:tabs>
          <w:tab w:pos="352" w:val="left"/>
        </w:tabs>
        <w:bidi w:val="0"/>
        <w:spacing w:before="0" w:after="0"/>
        <w:ind w:left="0" w:right="0" w:firstLine="0"/>
        <w:jc w:val="left"/>
      </w:pPr>
      <w:bookmarkStart w:id="104" w:name="bookmark104"/>
      <w:r>
        <w:rPr>
          <w:rFonts w:ascii="Times New Roman" w:eastAsia="Times New Roman" w:hAnsi="Times New Roman" w:cs="Times New Roman"/>
          <w:color w:val="000000"/>
          <w:spacing w:val="0"/>
          <w:w w:val="100"/>
          <w:position w:val="0"/>
        </w:rPr>
        <w:t>2</w:t>
      </w:r>
      <w:bookmarkEnd w:id="104"/>
      <w:r>
        <w:rPr>
          <w:color w:val="000000"/>
          <w:spacing w:val="0"/>
          <w:w w:val="100"/>
          <w:position w:val="0"/>
        </w:rPr>
        <w:t>、</w:t>
        <w:tab/>
        <w:t>关于董事和董事会：</w:t>
      </w:r>
    </w:p>
    <w:p>
      <w:pPr>
        <w:pStyle w:val="Style13"/>
        <w:keepNext w:val="0"/>
        <w:keepLines w:val="0"/>
        <w:widowControl w:val="0"/>
        <w:shd w:val="clear" w:color="auto" w:fill="auto"/>
        <w:bidi w:val="0"/>
        <w:spacing w:before="0" w:after="40" w:line="273" w:lineRule="exact"/>
        <w:ind w:left="0" w:right="0" w:firstLine="0"/>
        <w:jc w:val="left"/>
      </w:pPr>
      <w:r>
        <w:rPr>
          <w:color w:val="000000"/>
          <w:spacing w:val="0"/>
          <w:w w:val="100"/>
          <w:position w:val="0"/>
        </w:rPr>
        <w:t>公司严格按照《公司法》、《公司章程》规定的程序选举董事，目前公司董事会由</w:t>
      </w:r>
      <w:r>
        <w:rPr>
          <w:rFonts w:ascii="Times New Roman" w:eastAsia="Times New Roman" w:hAnsi="Times New Roman" w:cs="Times New Roman"/>
          <w:color w:val="000000"/>
          <w:spacing w:val="0"/>
          <w:w w:val="100"/>
          <w:position w:val="0"/>
        </w:rPr>
        <w:t>6</w:t>
      </w:r>
      <w:r>
        <w:rPr>
          <w:color w:val="000000"/>
          <w:spacing w:val="0"/>
          <w:w w:val="100"/>
          <w:position w:val="0"/>
        </w:rPr>
        <w:t>名董事组成, 其中独立董事</w:t>
      </w:r>
      <w:r>
        <w:rPr>
          <w:rFonts w:ascii="Times New Roman" w:eastAsia="Times New Roman" w:hAnsi="Times New Roman" w:cs="Times New Roman"/>
          <w:color w:val="000000"/>
          <w:spacing w:val="0"/>
          <w:w w:val="100"/>
          <w:position w:val="0"/>
        </w:rPr>
        <w:t>3</w:t>
      </w:r>
      <w:r>
        <w:rPr>
          <w:color w:val="000000"/>
          <w:spacing w:val="0"/>
          <w:w w:val="100"/>
          <w:position w:val="0"/>
        </w:rPr>
        <w:t>人，独立董事人数和人员构成符合《公司法》、《关于在上市公司建立独立董事 制度的指导意见》的要求。公司董事会下设战略委员会、审计委员会、提名委员会、薪酬与考 核委员会四个专门委员会，并制订了各专门委员会的工作细则。全体董事能够依据《董事会议 事规则》等制度出席董事会议，勤勉尽责。</w:t>
      </w:r>
    </w:p>
    <w:p>
      <w:pPr>
        <w:pStyle w:val="Style13"/>
        <w:keepNext w:val="0"/>
        <w:keepLines w:val="0"/>
        <w:widowControl w:val="0"/>
        <w:shd w:val="clear" w:color="auto" w:fill="auto"/>
        <w:tabs>
          <w:tab w:pos="352" w:val="left"/>
        </w:tabs>
        <w:bidi w:val="0"/>
        <w:spacing w:before="0" w:after="0"/>
        <w:ind w:left="0" w:right="0" w:firstLine="0"/>
        <w:jc w:val="left"/>
      </w:pPr>
      <w:bookmarkStart w:id="105" w:name="bookmark105"/>
      <w:r>
        <w:rPr>
          <w:rFonts w:ascii="Times New Roman" w:eastAsia="Times New Roman" w:hAnsi="Times New Roman" w:cs="Times New Roman"/>
          <w:color w:val="000000"/>
          <w:spacing w:val="0"/>
          <w:w w:val="100"/>
          <w:position w:val="0"/>
        </w:rPr>
        <w:t>3</w:t>
      </w:r>
      <w:bookmarkEnd w:id="105"/>
      <w:r>
        <w:rPr>
          <w:color w:val="000000"/>
          <w:spacing w:val="0"/>
          <w:w w:val="100"/>
          <w:position w:val="0"/>
        </w:rPr>
        <w:t>、</w:t>
        <w:tab/>
        <w:t>关于监事和监事会：</w:t>
      </w:r>
    </w:p>
    <w:p>
      <w:pPr>
        <w:pStyle w:val="Style13"/>
        <w:keepNext w:val="0"/>
        <w:keepLines w:val="0"/>
        <w:widowControl w:val="0"/>
        <w:shd w:val="clear" w:color="auto" w:fill="auto"/>
        <w:bidi w:val="0"/>
        <w:spacing w:before="0" w:after="40" w:line="273" w:lineRule="exact"/>
        <w:ind w:left="0" w:right="0" w:firstLine="0"/>
        <w:jc w:val="both"/>
      </w:pPr>
      <w:r>
        <w:rPr>
          <w:color w:val="000000"/>
          <w:spacing w:val="0"/>
          <w:w w:val="100"/>
          <w:position w:val="0"/>
        </w:rPr>
        <w:t>公司严格按照《公司法》、《公司章程》规定的程序选举公司监事，目前公司监事会共有</w:t>
      </w:r>
      <w:r>
        <w:rPr>
          <w:rFonts w:ascii="Times New Roman" w:eastAsia="Times New Roman" w:hAnsi="Times New Roman" w:cs="Times New Roman"/>
          <w:color w:val="000000"/>
          <w:spacing w:val="0"/>
          <w:w w:val="100"/>
          <w:position w:val="0"/>
        </w:rPr>
        <w:t>7</w:t>
      </w:r>
      <w:r>
        <w:rPr>
          <w:color w:val="000000"/>
          <w:spacing w:val="0"/>
          <w:w w:val="100"/>
          <w:position w:val="0"/>
        </w:rPr>
        <w:t>名监 事组成，其中</w:t>
      </w:r>
      <w:r>
        <w:rPr>
          <w:rFonts w:ascii="Times New Roman" w:eastAsia="Times New Roman" w:hAnsi="Times New Roman" w:cs="Times New Roman"/>
          <w:color w:val="000000"/>
          <w:spacing w:val="0"/>
          <w:w w:val="100"/>
          <w:position w:val="0"/>
        </w:rPr>
        <w:t>2</w:t>
      </w:r>
      <w:r>
        <w:rPr>
          <w:color w:val="000000"/>
          <w:spacing w:val="0"/>
          <w:w w:val="100"/>
          <w:position w:val="0"/>
        </w:rPr>
        <w:t>名为职工监事，监事会的人员构成符合法律法规的要求。全体监事按照《监事 会议事规则》等制度认真履职，对公司财务及公司董事、高级管理人员履行职务的行为进行监 督，维护公司和股东的利益。</w:t>
      </w:r>
    </w:p>
    <w:p>
      <w:pPr>
        <w:pStyle w:val="Style13"/>
        <w:keepNext w:val="0"/>
        <w:keepLines w:val="0"/>
        <w:widowControl w:val="0"/>
        <w:shd w:val="clear" w:color="auto" w:fill="auto"/>
        <w:tabs>
          <w:tab w:pos="352" w:val="left"/>
        </w:tabs>
        <w:bidi w:val="0"/>
        <w:spacing w:before="0" w:after="0"/>
        <w:ind w:left="0" w:right="0" w:firstLine="0"/>
        <w:jc w:val="left"/>
      </w:pPr>
      <w:bookmarkStart w:id="106" w:name="bookmark106"/>
      <w:r>
        <w:rPr>
          <w:rFonts w:ascii="Times New Roman" w:eastAsia="Times New Roman" w:hAnsi="Times New Roman" w:cs="Times New Roman"/>
          <w:color w:val="000000"/>
          <w:spacing w:val="0"/>
          <w:w w:val="100"/>
          <w:position w:val="0"/>
        </w:rPr>
        <w:t>4</w:t>
      </w:r>
      <w:bookmarkEnd w:id="106"/>
      <w:r>
        <w:rPr>
          <w:color w:val="000000"/>
          <w:spacing w:val="0"/>
          <w:w w:val="100"/>
          <w:position w:val="0"/>
        </w:rPr>
        <w:t>、</w:t>
        <w:tab/>
        <w:t>关于控股股东与上市公司的关系：</w:t>
      </w:r>
    </w:p>
    <w:p>
      <w:pPr>
        <w:pStyle w:val="Style13"/>
        <w:keepNext w:val="0"/>
        <w:keepLines w:val="0"/>
        <w:widowControl w:val="0"/>
        <w:shd w:val="clear" w:color="auto" w:fill="auto"/>
        <w:bidi w:val="0"/>
        <w:spacing w:before="0" w:after="40" w:line="273" w:lineRule="exact"/>
        <w:ind w:left="0" w:right="0" w:firstLine="0"/>
        <w:jc w:val="both"/>
      </w:pPr>
      <w:r>
        <w:rPr>
          <w:color w:val="000000"/>
          <w:spacing w:val="0"/>
          <w:w w:val="100"/>
          <w:position w:val="0"/>
        </w:rPr>
        <w:t>公司具有独立的业务及自主经营能力，公司控股股东严格规范自己的行为，通过股东大会行使 出资人的权利，没有超越股东大会直接或间接干预公司的决策和经营活动。公司与控股股东之 间的关联交易决策程序合法、定价合理、披露充分，公司与控股股东在人员、资产、财务、机 构和业务方面做到</w:t>
      </w:r>
      <w:r>
        <w:rPr>
          <w:rFonts w:ascii="Times New Roman" w:eastAsia="Times New Roman" w:hAnsi="Times New Roman" w:cs="Times New Roman"/>
          <w:color w:val="000000"/>
          <w:spacing w:val="0"/>
          <w:w w:val="100"/>
          <w:position w:val="0"/>
        </w:rPr>
        <w:t>"</w:t>
      </w:r>
      <w:r>
        <w:rPr>
          <w:color w:val="000000"/>
          <w:spacing w:val="0"/>
          <w:w w:val="100"/>
          <w:position w:val="0"/>
        </w:rPr>
        <w:t>五分开、五独立</w:t>
      </w:r>
      <w:r>
        <w:rPr>
          <w:rFonts w:ascii="Times New Roman" w:eastAsia="Times New Roman" w:hAnsi="Times New Roman" w:cs="Times New Roman"/>
          <w:color w:val="000000"/>
          <w:spacing w:val="0"/>
          <w:w w:val="100"/>
          <w:position w:val="0"/>
        </w:rPr>
        <w:t>"</w:t>
      </w:r>
      <w:r>
        <w:rPr>
          <w:color w:val="000000"/>
          <w:spacing w:val="0"/>
          <w:w w:val="100"/>
          <w:position w:val="0"/>
        </w:rPr>
        <w:t>，公司董事会、监事会和内部治理机构能够独立规范运作, 未发生大股东占用上市公司资金和资产的情况。公司已建立防范控股股东及其附属企业占用上 市公司资金、侵害上市公司利益的长效机制。</w:t>
      </w:r>
    </w:p>
    <w:p>
      <w:pPr>
        <w:pStyle w:val="Style13"/>
        <w:keepNext w:val="0"/>
        <w:keepLines w:val="0"/>
        <w:widowControl w:val="0"/>
        <w:shd w:val="clear" w:color="auto" w:fill="auto"/>
        <w:tabs>
          <w:tab w:pos="348" w:val="left"/>
        </w:tabs>
        <w:bidi w:val="0"/>
        <w:spacing w:before="0" w:after="0"/>
        <w:ind w:left="0" w:right="0" w:firstLine="0"/>
        <w:jc w:val="left"/>
      </w:pPr>
      <w:bookmarkStart w:id="107" w:name="bookmark107"/>
      <w:r>
        <w:rPr>
          <w:rFonts w:ascii="Times New Roman" w:eastAsia="Times New Roman" w:hAnsi="Times New Roman" w:cs="Times New Roman"/>
          <w:color w:val="000000"/>
          <w:spacing w:val="0"/>
          <w:w w:val="100"/>
          <w:position w:val="0"/>
        </w:rPr>
        <w:t>5</w:t>
      </w:r>
      <w:bookmarkEnd w:id="107"/>
      <w:r>
        <w:rPr>
          <w:color w:val="000000"/>
          <w:spacing w:val="0"/>
          <w:w w:val="100"/>
          <w:position w:val="0"/>
        </w:rPr>
        <w:t>、</w:t>
        <w:tab/>
        <w:t>关于绩效评价与激励约束机制：</w:t>
      </w:r>
    </w:p>
    <w:p>
      <w:pPr>
        <w:pStyle w:val="Style13"/>
        <w:keepNext w:val="0"/>
        <w:keepLines w:val="0"/>
        <w:widowControl w:val="0"/>
        <w:shd w:val="clear" w:color="auto" w:fill="auto"/>
        <w:bidi w:val="0"/>
        <w:spacing w:before="0" w:after="40" w:line="273" w:lineRule="exact"/>
        <w:ind w:left="0" w:right="0" w:firstLine="0"/>
        <w:jc w:val="left"/>
      </w:pPr>
      <w:r>
        <w:rPr>
          <w:color w:val="000000"/>
          <w:spacing w:val="0"/>
          <w:w w:val="100"/>
          <w:position w:val="0"/>
        </w:rPr>
        <w:t>公司已建立合理的绩效评价体系，实施按岗位定职、定酬的薪酬体系和管理目标责任考核体系。 每年年初，公司董事会明确本年度经营目标和考核指标，年终进行考核，并以此对公司管理层 的业绩和绩效进行考评和奖励。公司将继续探索更加公正、透明、合理的绩效评价与激励约束 机制，从而有效调动管理人员的积极性和创造力，更好地促进公司的长期稳定发展。</w:t>
      </w:r>
    </w:p>
    <w:p>
      <w:pPr>
        <w:pStyle w:val="Style13"/>
        <w:keepNext w:val="0"/>
        <w:keepLines w:val="0"/>
        <w:widowControl w:val="0"/>
        <w:shd w:val="clear" w:color="auto" w:fill="auto"/>
        <w:tabs>
          <w:tab w:pos="348" w:val="left"/>
        </w:tabs>
        <w:bidi w:val="0"/>
        <w:spacing w:before="0" w:after="0"/>
        <w:ind w:left="0" w:right="0" w:firstLine="0"/>
        <w:jc w:val="left"/>
      </w:pPr>
      <w:bookmarkStart w:id="108" w:name="bookmark108"/>
      <w:r>
        <w:rPr>
          <w:rFonts w:ascii="Times New Roman" w:eastAsia="Times New Roman" w:hAnsi="Times New Roman" w:cs="Times New Roman"/>
          <w:color w:val="000000"/>
          <w:spacing w:val="0"/>
          <w:w w:val="100"/>
          <w:position w:val="0"/>
        </w:rPr>
        <w:t>6</w:t>
      </w:r>
      <w:bookmarkEnd w:id="108"/>
      <w:r>
        <w:rPr>
          <w:color w:val="000000"/>
          <w:spacing w:val="0"/>
          <w:w w:val="100"/>
          <w:position w:val="0"/>
        </w:rPr>
        <w:t>、</w:t>
        <w:tab/>
        <w:t>关于信息披露与透明度：</w:t>
      </w:r>
    </w:p>
    <w:p>
      <w:pPr>
        <w:pStyle w:val="Style13"/>
        <w:keepNext w:val="0"/>
        <w:keepLines w:val="0"/>
        <w:widowControl w:val="0"/>
        <w:shd w:val="clear" w:color="auto" w:fill="auto"/>
        <w:bidi w:val="0"/>
        <w:spacing w:before="0" w:after="40" w:line="273" w:lineRule="exact"/>
        <w:ind w:left="0" w:right="0" w:firstLine="0"/>
        <w:jc w:val="left"/>
      </w:pPr>
      <w:r>
        <w:rPr>
          <w:color w:val="000000"/>
          <w:spacing w:val="0"/>
          <w:w w:val="100"/>
          <w:position w:val="0"/>
        </w:rPr>
        <w:t>公司董事会秘书、证券事务代表负责信息披露工作、接待股东来访和咨询，指定《中国证券报》、 《上海证券报》为公司信息披露的报纸；公司严格按照法律法规及公司《信息披露管理制度》 等制度规定，保证信息披露的真实、准确、完整、及时、公平。</w:t>
      </w:r>
    </w:p>
    <w:p>
      <w:pPr>
        <w:pStyle w:val="Style13"/>
        <w:keepNext w:val="0"/>
        <w:keepLines w:val="0"/>
        <w:widowControl w:val="0"/>
        <w:shd w:val="clear" w:color="auto" w:fill="auto"/>
        <w:tabs>
          <w:tab w:pos="348" w:val="left"/>
        </w:tabs>
        <w:bidi w:val="0"/>
        <w:spacing w:before="0" w:after="0"/>
        <w:ind w:left="0" w:right="0" w:firstLine="0"/>
        <w:jc w:val="left"/>
      </w:pPr>
      <w:bookmarkStart w:id="109" w:name="bookmark109"/>
      <w:r>
        <w:rPr>
          <w:rFonts w:ascii="Times New Roman" w:eastAsia="Times New Roman" w:hAnsi="Times New Roman" w:cs="Times New Roman"/>
          <w:color w:val="000000"/>
          <w:spacing w:val="0"/>
          <w:w w:val="100"/>
          <w:position w:val="0"/>
        </w:rPr>
        <w:t>7</w:t>
      </w:r>
      <w:bookmarkEnd w:id="109"/>
      <w:r>
        <w:rPr>
          <w:color w:val="000000"/>
          <w:spacing w:val="0"/>
          <w:w w:val="100"/>
          <w:position w:val="0"/>
        </w:rPr>
        <w:t>、</w:t>
        <w:tab/>
        <w:t>关于投资者关系及相关利益者：</w:t>
      </w:r>
    </w:p>
    <w:p>
      <w:pPr>
        <w:pStyle w:val="Style13"/>
        <w:keepNext w:val="0"/>
        <w:keepLines w:val="0"/>
        <w:widowControl w:val="0"/>
        <w:shd w:val="clear" w:color="auto" w:fill="auto"/>
        <w:bidi w:val="0"/>
        <w:spacing w:before="0" w:after="40" w:line="273" w:lineRule="exact"/>
        <w:ind w:left="0" w:right="0" w:firstLine="0"/>
        <w:jc w:val="both"/>
      </w:pPr>
      <w:r>
        <w:rPr>
          <w:color w:val="000000"/>
          <w:spacing w:val="0"/>
          <w:w w:val="100"/>
          <w:position w:val="0"/>
        </w:rPr>
        <w:t>公司尊重和维护公司股东、债权人及其他利益相关者的合法权益，努力实现股东、员工、社会 等各方利益的互利共赢。</w:t>
      </w:r>
    </w:p>
    <w:p>
      <w:pPr>
        <w:pStyle w:val="Style13"/>
        <w:keepNext w:val="0"/>
        <w:keepLines w:val="0"/>
        <w:widowControl w:val="0"/>
        <w:shd w:val="clear" w:color="auto" w:fill="auto"/>
        <w:bidi w:val="0"/>
        <w:spacing w:before="0" w:after="40" w:line="273" w:lineRule="exact"/>
        <w:ind w:left="0" w:right="0" w:firstLine="0"/>
        <w:jc w:val="both"/>
      </w:pPr>
      <w:bookmarkStart w:id="110" w:name="bookmark110"/>
      <w:r>
        <w:rPr>
          <w:rFonts w:ascii="Times New Roman" w:eastAsia="Times New Roman" w:hAnsi="Times New Roman" w:cs="Times New Roman"/>
          <w:color w:val="000000"/>
          <w:spacing w:val="0"/>
          <w:w w:val="100"/>
          <w:position w:val="0"/>
        </w:rPr>
        <w:t>8</w:t>
      </w:r>
      <w:bookmarkEnd w:id="110"/>
      <w:r>
        <w:rPr>
          <w:color w:val="000000"/>
          <w:spacing w:val="0"/>
          <w:w w:val="100"/>
          <w:position w:val="0"/>
        </w:rPr>
        <w:t>、 公司已制定《内幕信息知情人登记管理制度》，根据制度规定，在公司披露定期报告及发生 重大事项时，编制内幕信息知情人登记备案表，详细记录事项的进展及参与人员，确保信息披</w:t>
      </w:r>
      <w:r>
        <w:br w:type="page"/>
      </w:r>
    </w:p>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rPr>
        <w:t>露的公平、公正、公开。</w:t>
      </w:r>
    </w:p>
    <w:tbl>
      <w:tblPr>
        <w:tblOverlap w:val="never"/>
        <w:jc w:val="center"/>
        <w:tblLayout w:type="fixed"/>
      </w:tblPr>
      <w:tblGrid>
        <w:gridCol w:w="1526"/>
        <w:gridCol w:w="1517"/>
        <w:gridCol w:w="1512"/>
        <w:gridCol w:w="1517"/>
        <w:gridCol w:w="1632"/>
        <w:gridCol w:w="1618"/>
      </w:tblGrid>
      <w:tr>
        <w:trPr>
          <w:trHeight w:val="269" w:hRule="exact"/>
        </w:trPr>
        <w:tc>
          <w:tcPr>
            <w:gridSpan w:val="6"/>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二、股东大会情况简介</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会议议案名称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决议刊登的指 定网站的查询 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决议刊登的披 露日期</w:t>
            </w:r>
          </w:p>
        </w:tc>
      </w:tr>
      <w:tr>
        <w:trPr>
          <w:trHeight w:val="3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年年度报 告计摘要、</w:t>
            </w:r>
          </w:p>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年度董事 会工作报告、</w:t>
            </w:r>
          </w:p>
          <w:p>
            <w:pPr>
              <w:pStyle w:val="Style21"/>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年度监事 会工作报告、</w:t>
            </w:r>
          </w:p>
          <w:p>
            <w:pPr>
              <w:pStyle w:val="Style21"/>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年度财务 报告、</w:t>
            </w:r>
            <w:r>
              <w:rPr>
                <w:rFonts w:ascii="Times New Roman" w:eastAsia="Times New Roman" w:hAnsi="Times New Roman" w:cs="Times New Roman"/>
                <w:color w:val="000000"/>
                <w:spacing w:val="0"/>
                <w:w w:val="100"/>
                <w:position w:val="0"/>
              </w:rPr>
              <w:t>2012</w:t>
            </w:r>
            <w:r>
              <w:rPr>
                <w:color w:val="000000"/>
                <w:spacing w:val="0"/>
                <w:w w:val="100"/>
                <w:position w:val="0"/>
              </w:rPr>
              <w:t>年 度利润分配方 案、聘请</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年度财务审计 机构的议案。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审议通过全部 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8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年第一次 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《关于为浙江 菲达环保科技 股份有限公司 提供担保的议 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三、董事履行职责情况</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董事参加董事会和股东大会的情况</w:t>
      </w:r>
    </w:p>
    <w:tbl>
      <w:tblPr>
        <w:tblOverlap w:val="never"/>
        <w:jc w:val="center"/>
        <w:tblLayout w:type="fixed"/>
      </w:tblPr>
      <w:tblGrid>
        <w:gridCol w:w="1046"/>
        <w:gridCol w:w="1032"/>
        <w:gridCol w:w="1032"/>
        <w:gridCol w:w="1032"/>
        <w:gridCol w:w="1037"/>
        <w:gridCol w:w="1032"/>
        <w:gridCol w:w="1032"/>
        <w:gridCol w:w="1037"/>
        <w:gridCol w:w="1042"/>
      </w:tblGrid>
      <w:tr>
        <w:trPr>
          <w:trHeight w:val="84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董事姓 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参加股 东大会 情况</w:t>
            </w:r>
          </w:p>
        </w:tc>
      </w:tr>
      <w:tr>
        <w:trPr>
          <w:trHeight w:val="13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本年应 参加董 事会次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缺席次 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 续两次 未亲自 参加会 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200" w:right="0" w:firstLine="0"/>
              <w:jc w:val="left"/>
            </w:pPr>
            <w:r>
              <w:rPr>
                <w:color w:val="000000"/>
                <w:spacing w:val="0"/>
                <w:w w:val="100"/>
                <w:position w:val="0"/>
              </w:rPr>
              <w:t>出席股 东大会 的次数</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陈黎伟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卢伯军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童宏怀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章凤仙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after="239" w:line="1" w:lineRule="exact"/>
      </w:pP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4</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0</w:t>
            </w:r>
          </w:p>
        </w:tc>
      </w:tr>
    </w:tbl>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独立董事对公司有关事项提出异议的情况</w:t>
      </w:r>
    </w:p>
    <w:p>
      <w:pPr>
        <w:pStyle w:val="Style13"/>
        <w:keepNext w:val="0"/>
        <w:keepLines w:val="0"/>
        <w:widowControl w:val="0"/>
        <w:shd w:val="clear" w:color="auto" w:fill="auto"/>
        <w:bidi w:val="0"/>
        <w:spacing w:before="0" w:after="240" w:line="271" w:lineRule="exact"/>
        <w:ind w:left="0" w:right="0" w:firstLine="0"/>
        <w:jc w:val="both"/>
      </w:pPr>
      <w:r>
        <w:rPr>
          <w:color w:val="000000"/>
          <w:spacing w:val="0"/>
          <w:w w:val="100"/>
          <w:position w:val="0"/>
        </w:rPr>
        <w:t>报告期内，公司独立董事未对公司本年度的董事会议案及其他非董事会议案事项提出异议。</w:t>
      </w:r>
    </w:p>
    <w:p>
      <w:pPr>
        <w:pStyle w:val="Style13"/>
        <w:keepNext w:val="0"/>
        <w:keepLines w:val="0"/>
        <w:widowControl w:val="0"/>
        <w:shd w:val="clear" w:color="auto" w:fill="auto"/>
        <w:tabs>
          <w:tab w:pos="630" w:val="left"/>
        </w:tabs>
        <w:bidi w:val="0"/>
        <w:spacing w:before="0" w:after="0" w:line="269" w:lineRule="exact"/>
        <w:ind w:left="0" w:right="0" w:firstLine="0"/>
        <w:jc w:val="both"/>
      </w:pPr>
      <w:bookmarkStart w:id="111" w:name="bookmark111"/>
      <w:r>
        <w:rPr>
          <w:color w:val="000000"/>
          <w:spacing w:val="0"/>
          <w:w w:val="100"/>
          <w:position w:val="0"/>
        </w:rPr>
        <w:t>四</w:t>
      </w:r>
      <w:bookmarkEnd w:id="111"/>
      <w:r>
        <w:rPr>
          <w:color w:val="000000"/>
          <w:spacing w:val="0"/>
          <w:w w:val="100"/>
          <w:position w:val="0"/>
        </w:rPr>
        <w:t>、</w:t>
        <w:tab/>
        <w:t>董事会下设专门委员会在报告期内履行职责时所提出的重要意见和建议</w:t>
      </w:r>
    </w:p>
    <w:p>
      <w:pPr>
        <w:pStyle w:val="Style13"/>
        <w:keepNext w:val="0"/>
        <w:keepLines w:val="0"/>
        <w:widowControl w:val="0"/>
        <w:shd w:val="clear" w:color="auto" w:fill="auto"/>
        <w:bidi w:val="0"/>
        <w:spacing w:before="0" w:after="240" w:line="269" w:lineRule="exact"/>
        <w:ind w:left="0" w:right="0" w:firstLine="220"/>
        <w:jc w:val="both"/>
      </w:pPr>
      <w:r>
        <w:rPr>
          <w:color w:val="000000"/>
          <w:spacing w:val="0"/>
          <w:w w:val="100"/>
          <w:position w:val="0"/>
        </w:rPr>
        <w:t>公司董事会下设的战略委员会、提名委员会、审计委员会、薪酬与考核委员会</w:t>
      </w:r>
      <w:r>
        <w:rPr>
          <w:rFonts w:ascii="Times New Roman" w:eastAsia="Times New Roman" w:hAnsi="Times New Roman" w:cs="Times New Roman"/>
          <w:color w:val="000000"/>
          <w:spacing w:val="0"/>
          <w:w w:val="100"/>
          <w:position w:val="0"/>
        </w:rPr>
        <w:t>,</w:t>
      </w:r>
      <w:r>
        <w:rPr>
          <w:color w:val="000000"/>
          <w:spacing w:val="0"/>
          <w:w w:val="100"/>
          <w:position w:val="0"/>
        </w:rPr>
        <w:t>按照制定的工 作细则履行职责</w:t>
      </w:r>
      <w:r>
        <w:rPr>
          <w:color w:val="000000"/>
          <w:spacing w:val="0"/>
          <w:w w:val="100"/>
          <w:position w:val="0"/>
        </w:rPr>
        <w:t>，</w:t>
      </w:r>
      <w:r>
        <w:rPr>
          <w:color w:val="000000"/>
          <w:spacing w:val="0"/>
          <w:w w:val="100"/>
          <w:position w:val="0"/>
        </w:rPr>
        <w:t xml:space="preserve">对公司的规范运作、健康发展提出合理化建议。报告期内，公司董事会审计委 员会与天健会计师事务所协商确定了公司年度财务报告的审计工作安排，认真审阅公司编制的 </w:t>
      </w:r>
      <w:r>
        <w:rPr>
          <w:rFonts w:ascii="Times New Roman" w:eastAsia="Times New Roman" w:hAnsi="Times New Roman" w:cs="Times New Roman"/>
          <w:color w:val="000000"/>
          <w:spacing w:val="0"/>
          <w:w w:val="100"/>
          <w:position w:val="0"/>
        </w:rPr>
        <w:t>2013</w:t>
      </w:r>
      <w:r>
        <w:rPr>
          <w:color w:val="000000"/>
          <w:spacing w:val="0"/>
          <w:w w:val="100"/>
          <w:position w:val="0"/>
        </w:rPr>
        <w:t>年度财务会计报表，出具了书面审阅意见，并向董事会提交了会计师事务所年度履职情况 总结报告和下年度续聘会计师事务所的意见；公司薪酬与考核委员会对公司董事、监事和高级 管理人员</w:t>
      </w:r>
      <w:r>
        <w:rPr>
          <w:rFonts w:ascii="Times New Roman" w:eastAsia="Times New Roman" w:hAnsi="Times New Roman" w:cs="Times New Roman"/>
          <w:color w:val="000000"/>
          <w:spacing w:val="0"/>
          <w:w w:val="100"/>
          <w:position w:val="0"/>
        </w:rPr>
        <w:t>2013</w:t>
      </w:r>
      <w:r>
        <w:rPr>
          <w:color w:val="000000"/>
          <w:spacing w:val="0"/>
          <w:w w:val="100"/>
          <w:position w:val="0"/>
        </w:rPr>
        <w:t>年度的薪酬进行了审核，对公司奖惩规定的执行情况发表了意见。</w:t>
      </w:r>
    </w:p>
    <w:p>
      <w:pPr>
        <w:pStyle w:val="Style13"/>
        <w:keepNext w:val="0"/>
        <w:keepLines w:val="0"/>
        <w:widowControl w:val="0"/>
        <w:shd w:val="clear" w:color="auto" w:fill="auto"/>
        <w:tabs>
          <w:tab w:pos="630" w:val="left"/>
        </w:tabs>
        <w:bidi w:val="0"/>
        <w:spacing w:before="0" w:after="0" w:line="271" w:lineRule="exact"/>
        <w:ind w:left="0" w:right="0" w:firstLine="0"/>
        <w:jc w:val="left"/>
      </w:pPr>
      <w:bookmarkStart w:id="112" w:name="bookmark112"/>
      <w:r>
        <w:rPr>
          <w:color w:val="000000"/>
          <w:spacing w:val="0"/>
          <w:w w:val="100"/>
          <w:position w:val="0"/>
        </w:rPr>
        <w:t>五</w:t>
      </w:r>
      <w:bookmarkEnd w:id="112"/>
      <w:r>
        <w:rPr>
          <w:color w:val="000000"/>
          <w:spacing w:val="0"/>
          <w:w w:val="100"/>
          <w:position w:val="0"/>
        </w:rPr>
        <w:t>、</w:t>
        <w:tab/>
        <w:t>监事会发现公司存在风险的说明</w:t>
      </w:r>
    </w:p>
    <w:p>
      <w:pPr>
        <w:pStyle w:val="Style13"/>
        <w:keepNext w:val="0"/>
        <w:keepLines w:val="0"/>
        <w:widowControl w:val="0"/>
        <w:shd w:val="clear" w:color="auto" w:fill="auto"/>
        <w:bidi w:val="0"/>
        <w:spacing w:before="0" w:after="240" w:line="271" w:lineRule="exact"/>
        <w:ind w:left="0" w:right="0" w:firstLine="220"/>
        <w:jc w:val="both"/>
      </w:pPr>
      <w:r>
        <w:rPr>
          <w:color w:val="000000"/>
          <w:spacing w:val="0"/>
          <w:w w:val="100"/>
          <w:position w:val="0"/>
        </w:rPr>
        <w:t>公司监事会对报告期内的监督事项无异议。</w:t>
      </w:r>
    </w:p>
    <w:p>
      <w:pPr>
        <w:pStyle w:val="Style13"/>
        <w:keepNext w:val="0"/>
        <w:keepLines w:val="0"/>
        <w:widowControl w:val="0"/>
        <w:shd w:val="clear" w:color="auto" w:fill="auto"/>
        <w:tabs>
          <w:tab w:pos="630" w:val="left"/>
        </w:tabs>
        <w:bidi w:val="0"/>
        <w:spacing w:before="0" w:after="0" w:line="283" w:lineRule="exact"/>
        <w:ind w:left="0" w:right="0" w:firstLine="0"/>
        <w:jc w:val="both"/>
      </w:pPr>
      <w:bookmarkStart w:id="113" w:name="bookmark113"/>
      <w:r>
        <w:rPr>
          <w:color w:val="000000"/>
          <w:spacing w:val="0"/>
          <w:w w:val="100"/>
          <w:position w:val="0"/>
        </w:rPr>
        <w:t>六</w:t>
      </w:r>
      <w:bookmarkEnd w:id="113"/>
      <w:r>
        <w:rPr>
          <w:color w:val="000000"/>
          <w:spacing w:val="0"/>
          <w:w w:val="100"/>
          <w:position w:val="0"/>
        </w:rPr>
        <w:t>、</w:t>
        <w:tab/>
        <w:t>公司就其与控股股东在业务、人员、资产、机构、财务等方面存在的不能保证独立性、 不能保持自主经营能力的情况说明</w:t>
      </w:r>
    </w:p>
    <w:p>
      <w:pPr>
        <w:pStyle w:val="Style13"/>
        <w:keepNext w:val="0"/>
        <w:keepLines w:val="0"/>
        <w:widowControl w:val="0"/>
        <w:shd w:val="clear" w:color="auto" w:fill="auto"/>
        <w:bidi w:val="0"/>
        <w:spacing w:before="0" w:after="240" w:line="283" w:lineRule="exact"/>
        <w:ind w:left="0" w:right="0" w:firstLine="0"/>
        <w:jc w:val="both"/>
      </w:pPr>
      <w:r>
        <w:rPr>
          <w:color w:val="000000"/>
          <w:spacing w:val="0"/>
          <w:w w:val="100"/>
          <w:position w:val="0"/>
        </w:rPr>
        <w:t>公司相对于控股股东在业务、人员、资产、机构、财务等方面均能保持独立完整。</w:t>
      </w:r>
    </w:p>
    <w:p>
      <w:pPr>
        <w:pStyle w:val="Style13"/>
        <w:keepNext w:val="0"/>
        <w:keepLines w:val="0"/>
        <w:widowControl w:val="0"/>
        <w:shd w:val="clear" w:color="auto" w:fill="auto"/>
        <w:tabs>
          <w:tab w:pos="630" w:val="left"/>
        </w:tabs>
        <w:bidi w:val="0"/>
        <w:spacing w:before="0" w:after="0" w:line="274" w:lineRule="exact"/>
        <w:ind w:left="0" w:right="0" w:firstLine="0"/>
        <w:jc w:val="both"/>
      </w:pPr>
      <w:bookmarkStart w:id="114" w:name="bookmark114"/>
      <w:r>
        <w:rPr>
          <w:color w:val="000000"/>
          <w:spacing w:val="0"/>
          <w:w w:val="100"/>
          <w:position w:val="0"/>
        </w:rPr>
        <w:t>七</w:t>
      </w:r>
      <w:bookmarkEnd w:id="114"/>
      <w:r>
        <w:rPr>
          <w:color w:val="000000"/>
          <w:spacing w:val="0"/>
          <w:w w:val="100"/>
          <w:position w:val="0"/>
        </w:rPr>
        <w:t>、</w:t>
        <w:tab/>
        <w:t>报告期内对高级管理人员的考评机制，以及激励机制的建立、实施情况</w:t>
      </w:r>
    </w:p>
    <w:p>
      <w:pPr>
        <w:pStyle w:val="Style13"/>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公司已根据企业实际建立绩效考评机制。报告期内，公司董事会薪酬考核委员会依据年度经营 业绩和工作计划完成情况，对高级管理人员的工作业绩进行考评，并根据考评结果确定对高级 管理人员的奖惩。</w:t>
      </w:r>
    </w:p>
    <w:p>
      <w:pPr>
        <w:pStyle w:val="Style13"/>
        <w:keepNext w:val="0"/>
        <w:keepLines w:val="0"/>
        <w:widowControl w:val="0"/>
        <w:shd w:val="clear" w:color="auto" w:fill="auto"/>
        <w:tabs>
          <w:tab w:pos="630" w:val="left"/>
        </w:tabs>
        <w:bidi w:val="0"/>
        <w:spacing w:before="0" w:after="0" w:line="271" w:lineRule="exact"/>
        <w:ind w:left="0" w:right="0" w:firstLine="0"/>
        <w:jc w:val="both"/>
      </w:pPr>
      <w:bookmarkStart w:id="115" w:name="bookmark115"/>
      <w:r>
        <w:rPr>
          <w:color w:val="000000"/>
          <w:spacing w:val="0"/>
          <w:w w:val="100"/>
          <w:position w:val="0"/>
        </w:rPr>
        <w:t>八</w:t>
      </w:r>
      <w:bookmarkEnd w:id="115"/>
      <w:r>
        <w:rPr>
          <w:color w:val="000000"/>
          <w:spacing w:val="0"/>
          <w:w w:val="100"/>
          <w:position w:val="0"/>
        </w:rPr>
        <w:t>、</w:t>
        <w:tab/>
        <w:t>其他</w:t>
      </w:r>
    </w:p>
    <w:p>
      <w:pPr>
        <w:pStyle w:val="Style13"/>
        <w:keepNext w:val="0"/>
        <w:keepLines w:val="0"/>
        <w:widowControl w:val="0"/>
        <w:shd w:val="clear" w:color="auto" w:fill="auto"/>
        <w:bidi w:val="0"/>
        <w:spacing w:before="0" w:after="240" w:line="271" w:lineRule="exact"/>
        <w:ind w:left="0" w:right="0" w:firstLine="0"/>
        <w:jc w:val="both"/>
        <w:sectPr>
          <w:footnotePr>
            <w:pos w:val="pageBottom"/>
            <w:numFmt w:val="decimal"/>
            <w:numRestart w:val="continuous"/>
          </w:footnotePr>
          <w:pgSz w:w="12240" w:h="15840"/>
          <w:pgMar w:top="1416" w:right="1245" w:bottom="1440" w:left="1674" w:header="0" w:footer="3" w:gutter="0"/>
          <w:cols w:space="720"/>
          <w:noEndnote/>
          <w:rtlGutter w:val="0"/>
          <w:docGrid w:linePitch="360"/>
        </w:sectPr>
      </w:pPr>
      <w:r>
        <w:rPr>
          <w:color w:val="000000"/>
          <w:spacing w:val="0"/>
          <w:w w:val="100"/>
          <w:position w:val="0"/>
        </w:rPr>
        <w:t>公司已根据企业实际建立绩效考评机制。报告期内，公司董事会薪酬考核委员会依据年度经营 业绩和工作计划完成情况，对高级管理人员的工作业绩进行考评，并根据考评结果确定对高级 管理人员的奖惩。</w:t>
      </w:r>
    </w:p>
    <w:p>
      <w:pPr>
        <w:pStyle w:val="Style17"/>
        <w:keepNext/>
        <w:keepLines/>
        <w:widowControl w:val="0"/>
        <w:shd w:val="clear" w:color="auto" w:fill="auto"/>
        <w:bidi w:val="0"/>
        <w:spacing w:before="0" w:after="760" w:line="240" w:lineRule="auto"/>
        <w:ind w:left="0" w:right="0" w:firstLine="0"/>
        <w:jc w:val="left"/>
      </w:pPr>
      <w:bookmarkStart w:id="116" w:name="bookmark116"/>
      <w:bookmarkStart w:id="117" w:name="bookmark117"/>
      <w:bookmarkStart w:id="118" w:name="bookmark118"/>
      <w:r>
        <w:rPr>
          <w:color w:val="000000"/>
          <w:spacing w:val="0"/>
          <w:w w:val="100"/>
          <w:position w:val="0"/>
        </w:rPr>
        <w:t>第九节内部控制</w:t>
      </w:r>
      <w:bookmarkEnd w:id="116"/>
      <w:bookmarkEnd w:id="117"/>
      <w:bookmarkEnd w:id="118"/>
    </w:p>
    <w:p>
      <w:pPr>
        <w:pStyle w:val="Style13"/>
        <w:keepNext w:val="0"/>
        <w:keepLines w:val="0"/>
        <w:widowControl w:val="0"/>
        <w:shd w:val="clear" w:color="auto" w:fill="auto"/>
        <w:tabs>
          <w:tab w:pos="641" w:val="left"/>
        </w:tabs>
        <w:bidi w:val="0"/>
        <w:spacing w:before="0" w:after="0" w:line="277" w:lineRule="exact"/>
        <w:ind w:left="0" w:right="0" w:firstLine="0"/>
        <w:jc w:val="left"/>
      </w:pPr>
      <w:bookmarkStart w:id="119" w:name="bookmark119"/>
      <w:r>
        <w:rPr>
          <w:color w:val="000000"/>
          <w:spacing w:val="0"/>
          <w:w w:val="100"/>
          <w:position w:val="0"/>
        </w:rPr>
        <w:t>一</w:t>
      </w:r>
      <w:bookmarkEnd w:id="119"/>
      <w:r>
        <w:rPr>
          <w:color w:val="000000"/>
          <w:spacing w:val="0"/>
          <w:w w:val="100"/>
          <w:position w:val="0"/>
        </w:rPr>
        <w:t>、</w:t>
        <w:tab/>
        <w:t>内部控制责任声明及内部控制制度建设情况</w:t>
      </w:r>
    </w:p>
    <w:p>
      <w:pPr>
        <w:pStyle w:val="Style13"/>
        <w:keepNext w:val="0"/>
        <w:keepLines w:val="0"/>
        <w:widowControl w:val="0"/>
        <w:shd w:val="clear" w:color="auto" w:fill="auto"/>
        <w:bidi w:val="0"/>
        <w:spacing w:before="0" w:after="240" w:line="281" w:lineRule="exact"/>
        <w:ind w:left="0" w:right="0" w:firstLine="0"/>
        <w:jc w:val="left"/>
      </w:pPr>
      <w:r>
        <w:rPr>
          <w:color w:val="000000"/>
          <w:spacing w:val="0"/>
          <w:w w:val="100"/>
          <w:position w:val="0"/>
        </w:rPr>
        <w:t>根据《关于</w:t>
      </w:r>
      <w:r>
        <w:rPr>
          <w:rFonts w:ascii="Times New Roman" w:eastAsia="Times New Roman" w:hAnsi="Times New Roman" w:cs="Times New Roman"/>
          <w:color w:val="000000"/>
          <w:spacing w:val="0"/>
          <w:w w:val="100"/>
          <w:position w:val="0"/>
        </w:rPr>
        <w:t>2012</w:t>
      </w:r>
      <w:r>
        <w:rPr>
          <w:color w:val="000000"/>
          <w:spacing w:val="0"/>
          <w:w w:val="100"/>
          <w:position w:val="0"/>
        </w:rPr>
        <w:t>年主板上市公司分类分批实施企业内部控制规范体系的通知》（财办会</w:t>
      </w:r>
      <w:r>
        <w:rPr>
          <w:rFonts w:ascii="Times New Roman" w:eastAsia="Times New Roman" w:hAnsi="Times New Roman" w:cs="Times New Roman"/>
          <w:color w:val="000000"/>
          <w:spacing w:val="0"/>
          <w:w w:val="100"/>
          <w:position w:val="0"/>
        </w:rPr>
        <w:t xml:space="preserve">[2012]30 </w:t>
      </w:r>
      <w:r>
        <w:rPr>
          <w:color w:val="000000"/>
          <w:spacing w:val="0"/>
          <w:w w:val="100"/>
          <w:position w:val="0"/>
        </w:rPr>
        <w:t>号）精神</w:t>
      </w:r>
      <w:r>
        <w:rPr>
          <w:rFonts w:ascii="Times New Roman" w:eastAsia="Times New Roman" w:hAnsi="Times New Roman" w:cs="Times New Roman"/>
          <w:color w:val="000000"/>
          <w:spacing w:val="0"/>
          <w:w w:val="100"/>
          <w:position w:val="0"/>
        </w:rPr>
        <w:t>,</w:t>
      </w:r>
      <w:r>
        <w:rPr>
          <w:color w:val="000000"/>
          <w:spacing w:val="0"/>
          <w:w w:val="100"/>
          <w:position w:val="0"/>
        </w:rPr>
        <w:t>公司将在披露</w:t>
      </w:r>
      <w:r>
        <w:rPr>
          <w:rFonts w:ascii="Times New Roman" w:eastAsia="Times New Roman" w:hAnsi="Times New Roman" w:cs="Times New Roman"/>
          <w:color w:val="000000"/>
          <w:spacing w:val="0"/>
          <w:w w:val="100"/>
          <w:position w:val="0"/>
        </w:rPr>
        <w:t>2014</w:t>
      </w:r>
      <w:r>
        <w:rPr>
          <w:color w:val="000000"/>
          <w:spacing w:val="0"/>
          <w:w w:val="100"/>
          <w:position w:val="0"/>
        </w:rPr>
        <w:t>年年度报告的同时，披露董事会对公司内部控制的自我评价报告 以及注册会计师出具的内部控制审计报告。</w:t>
      </w:r>
    </w:p>
    <w:p>
      <w:pPr>
        <w:pStyle w:val="Style13"/>
        <w:keepNext w:val="0"/>
        <w:keepLines w:val="0"/>
        <w:widowControl w:val="0"/>
        <w:shd w:val="clear" w:color="auto" w:fill="auto"/>
        <w:tabs>
          <w:tab w:pos="641" w:val="left"/>
        </w:tabs>
        <w:bidi w:val="0"/>
        <w:spacing w:before="0" w:after="0" w:line="274" w:lineRule="exact"/>
        <w:ind w:left="0" w:right="0" w:firstLine="0"/>
        <w:jc w:val="left"/>
      </w:pPr>
      <w:bookmarkStart w:id="120" w:name="bookmark120"/>
      <w:r>
        <w:rPr>
          <w:color w:val="000000"/>
          <w:spacing w:val="0"/>
          <w:w w:val="100"/>
          <w:position w:val="0"/>
        </w:rPr>
        <w:t>二</w:t>
      </w:r>
      <w:bookmarkEnd w:id="120"/>
      <w:r>
        <w:rPr>
          <w:color w:val="000000"/>
          <w:spacing w:val="0"/>
          <w:w w:val="100"/>
          <w:position w:val="0"/>
        </w:rPr>
        <w:t>、</w:t>
        <w:tab/>
        <w:t>年度报告重大差错责任追究制度及相关执行情况说明</w:t>
      </w:r>
    </w:p>
    <w:p>
      <w:pPr>
        <w:pStyle w:val="Style13"/>
        <w:keepNext w:val="0"/>
        <w:keepLines w:val="0"/>
        <w:widowControl w:val="0"/>
        <w:shd w:val="clear" w:color="auto" w:fill="auto"/>
        <w:bidi w:val="0"/>
        <w:spacing w:before="0" w:after="500" w:line="274" w:lineRule="exact"/>
        <w:ind w:left="0" w:right="0" w:firstLine="0"/>
        <w:jc w:val="left"/>
        <w:sectPr>
          <w:footnotePr>
            <w:pos w:val="pageBottom"/>
            <w:numFmt w:val="decimal"/>
            <w:numRestart w:val="continuous"/>
          </w:footnotePr>
          <w:pgSz w:w="12240" w:h="15840"/>
          <w:pgMar w:top="1762" w:right="1781" w:bottom="1762" w:left="1781" w:header="0" w:footer="3" w:gutter="0"/>
          <w:cols w:space="720"/>
          <w:noEndnote/>
          <w:rtlGutter w:val="0"/>
          <w:docGrid w:linePitch="360"/>
        </w:sectPr>
      </w:pPr>
      <w:r>
        <w:rPr>
          <w:color w:val="000000"/>
          <w:spacing w:val="0"/>
          <w:w w:val="100"/>
          <w:position w:val="0"/>
        </w:rPr>
        <w:t>公司五届十六次董事会审议通过《年报信息披露重大差错责任追究制度》。报告期内，公司未发 生重大会计差错更正、重大遗漏信息补充及业绩预告修正等情况。</w:t>
      </w:r>
    </w:p>
    <w:p>
      <w:pPr>
        <w:pStyle w:val="Style17"/>
        <w:keepNext/>
        <w:keepLines/>
        <w:widowControl w:val="0"/>
        <w:shd w:val="clear" w:color="auto" w:fill="auto"/>
        <w:bidi w:val="0"/>
        <w:spacing w:before="0" w:after="760" w:line="240" w:lineRule="auto"/>
        <w:ind w:left="0" w:right="0" w:firstLine="0"/>
        <w:jc w:val="left"/>
      </w:pPr>
      <w:bookmarkStart w:id="121" w:name="bookmark121"/>
      <w:bookmarkStart w:id="122" w:name="bookmark122"/>
      <w:bookmarkStart w:id="123" w:name="bookmark123"/>
      <w:r>
        <w:rPr>
          <w:color w:val="000000"/>
          <w:spacing w:val="0"/>
          <w:w w:val="100"/>
          <w:position w:val="0"/>
        </w:rPr>
        <w:t>第十节财务会计报告</w:t>
      </w:r>
      <w:bookmarkEnd w:id="121"/>
      <w:bookmarkEnd w:id="122"/>
      <w:bookmarkEnd w:id="123"/>
    </w:p>
    <w:p>
      <w:pPr>
        <w:pStyle w:val="Style13"/>
        <w:keepNext w:val="0"/>
        <w:keepLines w:val="0"/>
        <w:widowControl w:val="0"/>
        <w:shd w:val="clear" w:color="auto" w:fill="auto"/>
        <w:bidi w:val="0"/>
        <w:spacing w:before="0" w:after="520" w:line="264" w:lineRule="exact"/>
        <w:ind w:left="440" w:right="0" w:firstLine="0"/>
        <w:jc w:val="both"/>
      </w:pPr>
      <w:r>
        <mc:AlternateContent>
          <mc:Choice Requires="wps">
            <w:drawing>
              <wp:anchor distT="0" distB="0" distL="38100" distR="38100" simplePos="0" relativeHeight="125829416" behindDoc="0" locked="0" layoutInCell="1" allowOverlap="1">
                <wp:simplePos x="0" y="0"/>
                <wp:positionH relativeFrom="page">
                  <wp:posOffset>1334770</wp:posOffset>
                </wp:positionH>
                <wp:positionV relativeFrom="paragraph">
                  <wp:posOffset>495300</wp:posOffset>
                </wp:positionV>
                <wp:extent cx="753110" cy="359410"/>
                <wp:wrapSquare wrapText="left"/>
                <wp:docPr id="69" name="Shape 69"/>
                <a:graphic xmlns:a="http://schemas.openxmlformats.org/drawingml/2006/main">
                  <a:graphicData uri="http://schemas.microsoft.com/office/word/2010/wordprocessingShape">
                    <wps:wsp>
                      <wps:cNvSpPr txBox="1"/>
                      <wps:spPr>
                        <a:xfrm>
                          <a:ext cx="753110" cy="359410"/>
                        </a:xfrm>
                        <a:prstGeom prst="rect"/>
                        <a:noFill/>
                      </wps:spPr>
                      <wps:txbx>
                        <w:txbxContent>
                          <w:p>
                            <w:pPr>
                              <w:pStyle w:val="Style1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审计报告 计报告</w:t>
                            </w:r>
                          </w:p>
                        </w:txbxContent>
                      </wps:txbx>
                      <wps:bodyPr lIns="0" tIns="0" rIns="0" bIns="0">
                        <a:noAutoFit/>
                      </wps:bodyPr>
                    </wps:wsp>
                  </a:graphicData>
                </a:graphic>
              </wp:anchor>
            </w:drawing>
          </mc:Choice>
          <mc:Fallback>
            <w:pict>
              <v:shape id="_x0000_s1095" type="#_x0000_t202" style="position:absolute;margin-left:105.10000000000001pt;margin-top:39.pt;width:59.300000000000004pt;height:28.300000000000001pt;z-index:-125829337;mso-wrap-distance-left:3.pt;mso-wrap-distance-right:3.pt;mso-position-horizontal-relative:page" filled="f" stroked="f">
                <v:textbox inset="0,0,0,0">
                  <w:txbxContent>
                    <w:p>
                      <w:pPr>
                        <w:pStyle w:val="Style1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审计报告 计报告</w:t>
                      </w:r>
                    </w:p>
                  </w:txbxContent>
                </v:textbox>
                <w10:wrap type="square" side="left" anchorx="page"/>
              </v:shape>
            </w:pict>
          </mc:Fallback>
        </mc:AlternateContent>
      </w:r>
      <w:r>
        <w:rPr>
          <w:color w:val="000000"/>
          <w:spacing w:val="0"/>
          <w:w w:val="100"/>
          <w:position w:val="0"/>
        </w:rPr>
        <w:t>公司年度财务报告已经天健会计师事务所（特殊普通合伙）注册会计师向晓三、张小利审 并出具了标准无保留意见的审计报告。</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审</w:t>
      </w:r>
    </w:p>
    <w:p>
      <w:pPr>
        <w:pStyle w:val="Style13"/>
        <w:keepNext w:val="0"/>
        <w:keepLines w:val="0"/>
        <w:widowControl w:val="0"/>
        <w:shd w:val="clear" w:color="auto" w:fill="auto"/>
        <w:tabs>
          <w:tab w:pos="1530" w:val="left"/>
        </w:tabs>
        <w:bidi w:val="0"/>
        <w:spacing w:before="0" w:after="0" w:line="271" w:lineRule="exact"/>
        <w:ind w:left="0" w:right="0" w:firstLine="0"/>
        <w:jc w:val="both"/>
      </w:pPr>
      <w:r>
        <w:rPr>
          <w:color w:val="000000"/>
          <w:spacing w:val="0"/>
          <w:w w:val="100"/>
          <w:position w:val="0"/>
        </w:rPr>
        <w:t>天健审〔</w:t>
      </w:r>
      <w:r>
        <w:rPr>
          <w:rFonts w:ascii="Times New Roman" w:eastAsia="Times New Roman" w:hAnsi="Times New Roman" w:cs="Times New Roman"/>
          <w:color w:val="000000"/>
          <w:spacing w:val="0"/>
          <w:w w:val="100"/>
          <w:position w:val="0"/>
        </w:rPr>
        <w:t>2014</w:t>
      </w:r>
      <w:r>
        <w:rPr>
          <w:color w:val="000000"/>
          <w:spacing w:val="0"/>
          <w:w w:val="100"/>
          <w:position w:val="0"/>
        </w:rPr>
        <w:t>）</w:t>
        <w:tab/>
      </w:r>
      <w:r>
        <w:rPr>
          <w:rFonts w:ascii="Times New Roman" w:eastAsia="Times New Roman" w:hAnsi="Times New Roman" w:cs="Times New Roman"/>
          <w:color w:val="000000"/>
          <w:spacing w:val="0"/>
          <w:w w:val="100"/>
          <w:position w:val="0"/>
        </w:rPr>
        <w:t>1888</w:t>
      </w:r>
      <w:r>
        <w:rPr>
          <w:color w:val="000000"/>
          <w:spacing w:val="0"/>
          <w:w w:val="100"/>
          <w:position w:val="0"/>
        </w:rPr>
        <w:t>号</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浙江富润股份有限公司全体股东：</w:t>
      </w:r>
    </w:p>
    <w:p>
      <w:pPr>
        <w:pStyle w:val="Style13"/>
        <w:keepNext w:val="0"/>
        <w:keepLines w:val="0"/>
        <w:widowControl w:val="0"/>
        <w:shd w:val="clear" w:color="auto" w:fill="auto"/>
        <w:bidi w:val="0"/>
        <w:spacing w:before="0" w:after="240" w:line="271" w:lineRule="exact"/>
        <w:ind w:left="0" w:right="0" w:firstLine="0"/>
        <w:jc w:val="both"/>
      </w:pPr>
      <w:r>
        <w:rPr>
          <w:color w:val="000000"/>
          <w:spacing w:val="0"/>
          <w:w w:val="100"/>
          <w:position w:val="0"/>
        </w:rPr>
        <w:t>我们审计了后附的浙江富润股份有限公司（以下简称富润公司）财务报表，包括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年度的合并及母公司利润表、合并及母公司现金流量表、 合并及母公司所有者权益变动表，以及财务报表附注。</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一、管理层对财务报表的责任</w:t>
      </w:r>
    </w:p>
    <w:p>
      <w:pPr>
        <w:pStyle w:val="Style13"/>
        <w:keepNext w:val="0"/>
        <w:keepLines w:val="0"/>
        <w:widowControl w:val="0"/>
        <w:shd w:val="clear" w:color="auto" w:fill="auto"/>
        <w:bidi w:val="0"/>
        <w:spacing w:before="0" w:after="240" w:line="274" w:lineRule="exact"/>
        <w:ind w:left="0" w:right="0" w:firstLine="0"/>
        <w:jc w:val="both"/>
      </w:pPr>
      <w:r>
        <w:rPr>
          <w:color w:val="000000"/>
          <w:spacing w:val="0"/>
          <w:w w:val="100"/>
          <w:position w:val="0"/>
        </w:rPr>
        <w:t>编制和公允列报财务报表是富润公司管理层的责任，这种责任包括：（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 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 报表不存在由于舞弊或错误导致的重大错报。</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二、注册会计师的责任</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我们的责任是在执行审计工作的基础上对财务报表发表审计意见。我们按照中国注册会计师审 计准则的规定执行了审计工作。中国注册会计师审计准则要求我们遵守中国注册会计师职业道 德守则，计划和执行审计工作以对财务报表是否不存在重大错报获取合理保证。</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审计工作涉及实施审计程序，以获取有关财务报表金额和披露的审计证据。选择的审计程序取 决于注册会计师的判断，包括对由于舞弊或错误导致的财务报表重大错报风险的评估。在进行 风险评估时，注册会计师考虑与财务报表编制和公允列报相关的内部控制，以设计恰当的审计 程序，但目的并非对内部控制的有效性发表意见。审计工作还包括评价管理层选用会计政策的 恰当性和作出会计估计的合理性，以及评价财务报表的总体列报。</w:t>
      </w:r>
    </w:p>
    <w:p>
      <w:pPr>
        <w:pStyle w:val="Style13"/>
        <w:keepNext w:val="0"/>
        <w:keepLines w:val="0"/>
        <w:widowControl w:val="0"/>
        <w:shd w:val="clear" w:color="auto" w:fill="auto"/>
        <w:bidi w:val="0"/>
        <w:spacing w:before="0" w:after="240" w:line="271" w:lineRule="exact"/>
        <w:ind w:left="0" w:right="0" w:firstLine="0"/>
        <w:jc w:val="both"/>
      </w:pPr>
      <w:r>
        <w:rPr>
          <w:color w:val="000000"/>
          <w:spacing w:val="0"/>
          <w:w w:val="100"/>
          <w:position w:val="0"/>
        </w:rPr>
        <w:t>我们相信，我们获取的审计证据是充分、适当的，为发表审计意见提供了基础。</w:t>
      </w:r>
    </w:p>
    <w:p>
      <w:pPr>
        <w:pStyle w:val="Style13"/>
        <w:keepNext w:val="0"/>
        <w:keepLines w:val="0"/>
        <w:widowControl w:val="0"/>
        <w:shd w:val="clear" w:color="auto" w:fill="auto"/>
        <w:bidi w:val="0"/>
        <w:spacing w:before="0" w:after="0" w:line="274" w:lineRule="exact"/>
        <w:ind w:left="0" w:right="0" w:firstLine="0"/>
        <w:jc w:val="both"/>
      </w:pPr>
      <w:bookmarkStart w:id="124" w:name="bookmark124"/>
      <w:r>
        <w:rPr>
          <w:color w:val="000000"/>
          <w:spacing w:val="0"/>
          <w:w w:val="100"/>
          <w:position w:val="0"/>
        </w:rPr>
        <w:t>三</w:t>
      </w:r>
      <w:bookmarkEnd w:id="124"/>
      <w:r>
        <w:rPr>
          <w:color w:val="000000"/>
          <w:spacing w:val="0"/>
          <w:w w:val="100"/>
          <w:position w:val="0"/>
        </w:rPr>
        <w:t>、审计意见</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我们认为，富润公司财务报表在所有重大方面按照企业会计准则的规定编制，公允反映了富润 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年度的合并及母公司经营成果和现 金流量。</w:t>
      </w:r>
    </w:p>
    <w:p>
      <w:pPr>
        <w:widowControl w:val="0"/>
        <w:spacing w:line="1" w:lineRule="exact"/>
        <w:sectPr>
          <w:footnotePr>
            <w:pos w:val="pageBottom"/>
            <w:numFmt w:val="decimal"/>
            <w:numRestart w:val="continuous"/>
          </w:footnotePr>
          <w:pgSz w:w="12240" w:h="15840"/>
          <w:pgMar w:top="1771" w:right="1675" w:bottom="1920" w:left="1776" w:header="0" w:footer="3" w:gutter="0"/>
          <w:cols w:space="720"/>
          <w:noEndnote/>
          <w:rtlGutter w:val="0"/>
          <w:docGrid w:linePitch="360"/>
        </w:sectPr>
      </w:pPr>
      <w:r>
        <mc:AlternateContent>
          <mc:Choice Requires="wps">
            <w:drawing>
              <wp:anchor distT="838200" distB="0" distL="0" distR="0" simplePos="0" relativeHeight="125829418" behindDoc="0" locked="0" layoutInCell="1" allowOverlap="1">
                <wp:simplePos x="0" y="0"/>
                <wp:positionH relativeFrom="page">
                  <wp:posOffset>1130935</wp:posOffset>
                </wp:positionH>
                <wp:positionV relativeFrom="paragraph">
                  <wp:posOffset>838200</wp:posOffset>
                </wp:positionV>
                <wp:extent cx="2157730" cy="353695"/>
                <wp:wrapTopAndBottom/>
                <wp:docPr id="71" name="Shape 71"/>
                <a:graphic xmlns:a="http://schemas.openxmlformats.org/drawingml/2006/main">
                  <a:graphicData uri="http://schemas.microsoft.com/office/word/2010/wordprocessingShape">
                    <wps:wsp>
                      <wps:cNvSpPr txBox="1"/>
                      <wps:spPr>
                        <a:xfrm>
                          <a:ext cx="2157730" cy="353695"/>
                        </a:xfrm>
                        <a:prstGeom prst="rect"/>
                        <a:noFill/>
                      </wps:spPr>
                      <wps:txbx>
                        <w:txbxContent>
                          <w:p>
                            <w:pPr>
                              <w:pStyle w:val="Style13"/>
                              <w:keepNext w:val="0"/>
                              <w:keepLines w:val="0"/>
                              <w:widowControl w:val="0"/>
                              <w:shd w:val="clear" w:color="auto" w:fill="auto"/>
                              <w:bidi w:val="0"/>
                              <w:spacing w:before="0" w:after="0" w:line="269" w:lineRule="exact"/>
                              <w:ind w:left="0" w:right="0" w:firstLine="0"/>
                              <w:jc w:val="left"/>
                            </w:pPr>
                            <w:r>
                              <w:rPr>
                                <w:color w:val="000000"/>
                                <w:spacing w:val="0"/>
                                <w:w w:val="100"/>
                                <w:position w:val="0"/>
                              </w:rPr>
                              <w:t>天健会计师事务所（特殊普通合伙） 中国•杭州</w:t>
                            </w:r>
                          </w:p>
                        </w:txbxContent>
                      </wps:txbx>
                      <wps:bodyPr lIns="0" tIns="0" rIns="0" bIns="0">
                        <a:noAutoFit/>
                      </wps:bodyPr>
                    </wps:wsp>
                  </a:graphicData>
                </a:graphic>
              </wp:anchor>
            </w:drawing>
          </mc:Choice>
          <mc:Fallback>
            <w:pict>
              <v:shape id="_x0000_s1097" type="#_x0000_t202" style="position:absolute;margin-left:89.049999999999997pt;margin-top:66.pt;width:169.90000000000001pt;height:27.850000000000001pt;z-index:-125829335;mso-wrap-distance-left:0;mso-wrap-distance-top:66.pt;mso-wrap-distance-right:0;mso-position-horizontal-relative:page" filled="f" stroked="f">
                <v:textbox inset="0,0,0,0">
                  <w:txbxContent>
                    <w:p>
                      <w:pPr>
                        <w:pStyle w:val="Style13"/>
                        <w:keepNext w:val="0"/>
                        <w:keepLines w:val="0"/>
                        <w:widowControl w:val="0"/>
                        <w:shd w:val="clear" w:color="auto" w:fill="auto"/>
                        <w:bidi w:val="0"/>
                        <w:spacing w:before="0" w:after="0" w:line="269" w:lineRule="exact"/>
                        <w:ind w:left="0" w:right="0" w:firstLine="0"/>
                        <w:jc w:val="left"/>
                      </w:pPr>
                      <w:r>
                        <w:rPr>
                          <w:color w:val="000000"/>
                          <w:spacing w:val="0"/>
                          <w:w w:val="100"/>
                          <w:position w:val="0"/>
                        </w:rPr>
                        <w:t>天健会计师事务所（特殊普通合伙） 中国•杭州</w:t>
                      </w:r>
                    </w:p>
                  </w:txbxContent>
                </v:textbox>
                <w10:wrap type="topAndBottom" anchorx="page"/>
              </v:shape>
            </w:pict>
          </mc:Fallback>
        </mc:AlternateContent>
      </w:r>
      <w:r>
        <mc:AlternateContent>
          <mc:Choice Requires="wps">
            <w:drawing>
              <wp:anchor distT="838200" distB="0" distL="0" distR="0" simplePos="0" relativeHeight="125829420" behindDoc="0" locked="0" layoutInCell="1" allowOverlap="1">
                <wp:simplePos x="0" y="0"/>
                <wp:positionH relativeFrom="page">
                  <wp:posOffset>4142105</wp:posOffset>
                </wp:positionH>
                <wp:positionV relativeFrom="paragraph">
                  <wp:posOffset>838200</wp:posOffset>
                </wp:positionV>
                <wp:extent cx="1481455" cy="353695"/>
                <wp:wrapTopAndBottom/>
                <wp:docPr id="73" name="Shape 73"/>
                <a:graphic xmlns:a="http://schemas.openxmlformats.org/drawingml/2006/main">
                  <a:graphicData uri="http://schemas.microsoft.com/office/word/2010/wordprocessingShape">
                    <wps:wsp>
                      <wps:cNvSpPr txBox="1"/>
                      <wps:spPr>
                        <a:xfrm>
                          <a:ext cx="1481455" cy="353695"/>
                        </a:xfrm>
                        <a:prstGeom prst="rect"/>
                        <a:noFill/>
                      </wps:spPr>
                      <wps:txbx>
                        <w:txbxContent>
                          <w:p>
                            <w:pPr>
                              <w:pStyle w:val="Style1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中国注册会计师：向晓三</w:t>
                              <w:br/>
                              <w:t>中国注册会计师：张小利</w:t>
                            </w:r>
                          </w:p>
                        </w:txbxContent>
                      </wps:txbx>
                      <wps:bodyPr lIns="0" tIns="0" rIns="0" bIns="0">
                        <a:noAutoFit/>
                      </wps:bodyPr>
                    </wps:wsp>
                  </a:graphicData>
                </a:graphic>
              </wp:anchor>
            </w:drawing>
          </mc:Choice>
          <mc:Fallback>
            <w:pict>
              <v:shape id="_x0000_s1099" type="#_x0000_t202" style="position:absolute;margin-left:326.15000000000003pt;margin-top:66.pt;width:116.65000000000001pt;height:27.850000000000001pt;z-index:-125829333;mso-wrap-distance-left:0;mso-wrap-distance-top:66.pt;mso-wrap-distance-right:0;mso-position-horizontal-relative:page" filled="f" stroked="f">
                <v:textbox inset="0,0,0,0">
                  <w:txbxContent>
                    <w:p>
                      <w:pPr>
                        <w:pStyle w:val="Style1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中国注册会计师：向晓三</w:t>
                        <w:br/>
                        <w:t>中国注册会计师：张小利</w:t>
                      </w:r>
                    </w:p>
                  </w:txbxContent>
                </v:textbox>
                <w10:wrap type="topAndBottom" anchorx="page"/>
              </v:shape>
            </w:pict>
          </mc:Fallback>
        </mc:AlternateContent>
      </w:r>
    </w:p>
    <w:p>
      <w:pPr>
        <w:widowControl w:val="0"/>
        <w:spacing w:line="135" w:lineRule="exact"/>
        <w:rPr>
          <w:sz w:val="11"/>
          <w:szCs w:val="11"/>
        </w:rPr>
      </w:pPr>
    </w:p>
    <w:p>
      <w:pPr>
        <w:widowControl w:val="0"/>
        <w:spacing w:line="1" w:lineRule="exact"/>
        <w:sectPr>
          <w:footnotePr>
            <w:pos w:val="pageBottom"/>
            <w:numFmt w:val="decimal"/>
            <w:numRestart w:val="continuous"/>
          </w:footnotePr>
          <w:type w:val="continuous"/>
          <w:pgSz w:w="12240" w:h="15840"/>
          <w:pgMar w:top="1771" w:right="0" w:bottom="1771" w:left="0" w:header="0" w:footer="3" w:gutter="0"/>
          <w:cols w:space="720"/>
          <w:noEndnote/>
          <w:rtlGutter w:val="0"/>
          <w:docGrid w:linePitch="360"/>
        </w:sectPr>
      </w:pPr>
    </w:p>
    <w:p>
      <w:pPr>
        <w:pStyle w:val="Style1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2240" w:h="15840"/>
          <w:pgMar w:top="1771" w:right="1142" w:bottom="1771" w:left="1776" w:header="0" w:footer="3" w:gutter="0"/>
          <w:cols w:space="720"/>
          <w:noEndnote/>
          <w:rtlGutter w:val="0"/>
          <w:docGrid w:linePitch="360"/>
        </w:sectPr>
      </w:pPr>
      <w:r>
        <w:rPr>
          <w:color w:val="000000"/>
          <w:spacing w:val="0"/>
          <w:w w:val="100"/>
          <w:position w:val="0"/>
        </w:rPr>
        <w:t>二。一四年三月三^一日</w:t>
      </w:r>
    </w:p>
    <w:p>
      <w:pPr>
        <w:pStyle w:val="Style13"/>
        <w:keepNext w:val="0"/>
        <w:keepLines w:val="0"/>
        <w:widowControl w:val="0"/>
        <w:shd w:val="clear" w:color="auto" w:fill="auto"/>
        <w:bidi w:val="0"/>
        <w:spacing w:before="0" w:after="260" w:line="250" w:lineRule="exact"/>
        <w:ind w:left="0" w:right="0" w:firstLine="0"/>
        <w:jc w:val="left"/>
      </w:pPr>
      <w:r>
        <w:rPr>
          <w:color w:val="000000"/>
          <w:spacing w:val="0"/>
          <w:w w:val="100"/>
          <w:position w:val="0"/>
        </w:rPr>
        <w:t>二、财务报表</w:t>
      </w:r>
    </w:p>
    <w:p>
      <w:pPr>
        <w:pStyle w:val="Style25"/>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合并资产负债表</w:t>
        <w:br/>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3"/>
        <w:keepNext w:val="0"/>
        <w:keepLines w:val="0"/>
        <w:widowControl w:val="0"/>
        <w:shd w:val="clear" w:color="auto" w:fill="auto"/>
        <w:bidi w:val="0"/>
        <w:spacing w:before="0" w:after="0" w:line="250" w:lineRule="exact"/>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浙江富润股份有限公司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293,113,547.91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262,214,100.22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206,860.00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191,250.00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22,366,870.25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12,515,382.52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30,842,232.21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45,594,534.56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19,643,543.44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24,574,430.11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15,196,661.72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48,596,146.57</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318,844,882.00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255,053,717.79</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20,833.15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19,780,988.79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153,109,457.52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720,016,419.47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801,849,019.29</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339,429,208.36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22,476,800.00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245,173,218.45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249,421,879.92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4,796,969.33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4,784,931.22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368,832,426.92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385,074,489.05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11,995,033.16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6,606,943.70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56,685,957.45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58,100,437.21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676,459.56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763,658.71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2,788,215.05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2,932,419.26</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19,055,210.58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16,901,731.00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1,049,432,698.86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747,063,290.07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1,769,449,118.33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1,548,912,309.36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138,200,000.00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361,200,000.00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24,500,000.00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33,900,000.00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60,923,906.86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47,078,801.04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23,081,503.55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19,742,143.39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58,840,219.16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49,269,210.20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12,897,944.36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17,143,216.00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771,588.67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1,323,480.51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638,571.40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576,795.40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91,518,554.66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80,622,051.07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471,372,288.66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610,855,697.61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60,000,000.00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134,292,653.91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33,635,399.14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21,480,216.53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22,989,363.62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155,922,870.44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116,624,762.76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627,295,159.10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727,480,460.37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182,878,488.00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182,878,488.00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378,196,151.71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158,730,921.96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58,164,844.47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50,538,757.49</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21"/>
              <w:keepNext w:val="0"/>
              <w:keepLines w:val="0"/>
              <w:framePr w:w="9322" w:h="2285" w:vSpace="274"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framePr w:w="9322" w:h="2285"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2285" w:vSpace="274" w:wrap="notBeside" w:vAnchor="text" w:hAnchor="text" w:y="1"/>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244,977,003.27</w:t>
            </w:r>
          </w:p>
        </w:tc>
        <w:tc>
          <w:tcPr>
            <w:tcBorders>
              <w:top w:val="single" w:sz="4"/>
              <w:left w:val="single" w:sz="4"/>
              <w:right w:val="single" w:sz="4"/>
            </w:tcBorders>
            <w:shd w:val="clear" w:color="auto" w:fill="FFFFFF"/>
            <w:vAlign w:val="bottom"/>
          </w:tcPr>
          <w:p>
            <w:pPr>
              <w:pStyle w:val="Style21"/>
              <w:keepNext w:val="0"/>
              <w:keepLines w:val="0"/>
              <w:framePr w:w="9322" w:h="2285"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197,521,745.93</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2285" w:vSpace="274"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外币报表折算差额</w:t>
            </w:r>
          </w:p>
        </w:tc>
        <w:tc>
          <w:tcPr>
            <w:tcBorders>
              <w:top w:val="single" w:sz="4"/>
              <w:left w:val="single" w:sz="4"/>
            </w:tcBorders>
            <w:shd w:val="clear" w:color="auto" w:fill="FFFFFF"/>
            <w:vAlign w:val="top"/>
          </w:tcPr>
          <w:p>
            <w:pPr>
              <w:framePr w:w="9322" w:h="2285"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2285"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2285" w:vSpace="274"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framePr w:w="9322" w:h="2285" w:vSpace="274" w:wrap="notBeside" w:vAnchor="text" w:hAnchor="text" w:y="1"/>
              <w:widowControl w:val="0"/>
              <w:shd w:val="clear" w:color="auto" w:fill="auto"/>
              <w:bidi w:val="0"/>
              <w:spacing w:before="0" w:after="0" w:line="269" w:lineRule="exact"/>
              <w:ind w:left="0" w:right="0" w:firstLine="520"/>
              <w:jc w:val="both"/>
            </w:pPr>
            <w:r>
              <w:rPr>
                <w:color w:val="000000"/>
                <w:spacing w:val="0"/>
                <w:w w:val="100"/>
                <w:position w:val="0"/>
              </w:rPr>
              <w:t>归属于母公司所有者 权益合计</w:t>
            </w:r>
          </w:p>
        </w:tc>
        <w:tc>
          <w:tcPr>
            <w:tcBorders>
              <w:top w:val="single" w:sz="4"/>
              <w:left w:val="single" w:sz="4"/>
            </w:tcBorders>
            <w:shd w:val="clear" w:color="auto" w:fill="FFFFFF"/>
            <w:vAlign w:val="top"/>
          </w:tcPr>
          <w:p>
            <w:pPr>
              <w:framePr w:w="9322" w:h="2285"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2285" w:vSpace="274" w:wrap="notBeside" w:vAnchor="text" w:hAnchor="text" w:y="1"/>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864,216,487.45</w:t>
            </w:r>
          </w:p>
        </w:tc>
        <w:tc>
          <w:tcPr>
            <w:tcBorders>
              <w:top w:val="single" w:sz="4"/>
              <w:left w:val="single" w:sz="4"/>
              <w:right w:val="single" w:sz="4"/>
            </w:tcBorders>
            <w:shd w:val="clear" w:color="auto" w:fill="FFFFFF"/>
            <w:vAlign w:val="center"/>
          </w:tcPr>
          <w:p>
            <w:pPr>
              <w:pStyle w:val="Style21"/>
              <w:keepNext w:val="0"/>
              <w:keepLines w:val="0"/>
              <w:framePr w:w="9322" w:h="2285"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589,669,913.38</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2285" w:vSpace="274"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少数股东权益</w:t>
            </w:r>
          </w:p>
        </w:tc>
        <w:tc>
          <w:tcPr>
            <w:tcBorders>
              <w:top w:val="single" w:sz="4"/>
              <w:left w:val="single" w:sz="4"/>
            </w:tcBorders>
            <w:shd w:val="clear" w:color="auto" w:fill="FFFFFF"/>
            <w:vAlign w:val="top"/>
          </w:tcPr>
          <w:p>
            <w:pPr>
              <w:framePr w:w="9322" w:h="2285"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2285" w:vSpace="274" w:wrap="notBeside" w:vAnchor="text" w:hAnchor="text" w:y="1"/>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277,937,471.78</w:t>
            </w:r>
          </w:p>
        </w:tc>
        <w:tc>
          <w:tcPr>
            <w:tcBorders>
              <w:top w:val="single" w:sz="4"/>
              <w:left w:val="single" w:sz="4"/>
              <w:right w:val="single" w:sz="4"/>
            </w:tcBorders>
            <w:shd w:val="clear" w:color="auto" w:fill="FFFFFF"/>
            <w:vAlign w:val="bottom"/>
          </w:tcPr>
          <w:p>
            <w:pPr>
              <w:pStyle w:val="Style21"/>
              <w:keepNext w:val="0"/>
              <w:keepLines w:val="0"/>
              <w:framePr w:w="9322" w:h="2285"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231,761,935.61</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2285" w:vSpace="274" w:wrap="notBeside" w:vAnchor="text" w:hAnchor="text" w:y="1"/>
              <w:widowControl w:val="0"/>
              <w:shd w:val="clear" w:color="auto" w:fill="auto"/>
              <w:bidi w:val="0"/>
              <w:spacing w:before="0" w:after="0" w:line="240" w:lineRule="auto"/>
              <w:ind w:left="0" w:right="0" w:firstLine="960"/>
              <w:jc w:val="left"/>
            </w:pPr>
            <w:r>
              <w:rPr>
                <w:color w:val="000000"/>
                <w:spacing w:val="0"/>
                <w:w w:val="100"/>
                <w:position w:val="0"/>
              </w:rPr>
              <w:t>所有者权益合计</w:t>
            </w:r>
          </w:p>
        </w:tc>
        <w:tc>
          <w:tcPr>
            <w:tcBorders>
              <w:top w:val="single" w:sz="4"/>
              <w:left w:val="single" w:sz="4"/>
            </w:tcBorders>
            <w:shd w:val="clear" w:color="auto" w:fill="FFFFFF"/>
            <w:vAlign w:val="top"/>
          </w:tcPr>
          <w:p>
            <w:pPr>
              <w:framePr w:w="9322" w:h="2285"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2285"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1,142,153,959.23</w:t>
            </w:r>
          </w:p>
        </w:tc>
        <w:tc>
          <w:tcPr>
            <w:tcBorders>
              <w:top w:val="single" w:sz="4"/>
              <w:left w:val="single" w:sz="4"/>
              <w:right w:val="single" w:sz="4"/>
            </w:tcBorders>
            <w:shd w:val="clear" w:color="auto" w:fill="FFFFFF"/>
            <w:vAlign w:val="bottom"/>
          </w:tcPr>
          <w:p>
            <w:pPr>
              <w:pStyle w:val="Style21"/>
              <w:keepNext w:val="0"/>
              <w:keepLines w:val="0"/>
              <w:framePr w:w="9322" w:h="2285"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821,431,848.99</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framePr w:w="9322" w:h="2285" w:vSpace="274" w:wrap="notBeside" w:vAnchor="text" w:hAnchor="text" w:y="1"/>
              <w:widowControl w:val="0"/>
              <w:shd w:val="clear" w:color="auto" w:fill="auto"/>
              <w:bidi w:val="0"/>
              <w:spacing w:before="0" w:after="0" w:line="264" w:lineRule="exact"/>
              <w:ind w:left="0" w:right="0" w:firstLine="740"/>
              <w:jc w:val="left"/>
            </w:pPr>
            <w:r>
              <w:rPr>
                <w:color w:val="000000"/>
                <w:spacing w:val="0"/>
                <w:w w:val="100"/>
                <w:position w:val="0"/>
              </w:rPr>
              <w:t>负债和所有者权益 总计</w:t>
            </w:r>
          </w:p>
        </w:tc>
        <w:tc>
          <w:tcPr>
            <w:tcBorders>
              <w:top w:val="single" w:sz="4"/>
              <w:left w:val="single" w:sz="4"/>
              <w:bottom w:val="single" w:sz="4"/>
            </w:tcBorders>
            <w:shd w:val="clear" w:color="auto" w:fill="FFFFFF"/>
            <w:vAlign w:val="top"/>
          </w:tcPr>
          <w:p>
            <w:pPr>
              <w:framePr w:w="9322" w:h="2285" w:vSpace="274"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9322" w:h="2285"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1,769,449,118.33</w:t>
            </w:r>
          </w:p>
        </w:tc>
        <w:tc>
          <w:tcPr>
            <w:tcBorders>
              <w:top w:val="single" w:sz="4"/>
              <w:left w:val="single" w:sz="4"/>
              <w:bottom w:val="single" w:sz="4"/>
              <w:right w:val="single" w:sz="4"/>
            </w:tcBorders>
            <w:shd w:val="clear" w:color="auto" w:fill="FFFFFF"/>
            <w:vAlign w:val="center"/>
          </w:tcPr>
          <w:p>
            <w:pPr>
              <w:pStyle w:val="Style21"/>
              <w:keepNext w:val="0"/>
              <w:keepLines w:val="0"/>
              <w:framePr w:w="9322" w:h="2285"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1,548,912,309.36</w:t>
            </w:r>
          </w:p>
        </w:tc>
      </w:tr>
    </w:tbl>
    <w:p>
      <w:pPr>
        <w:pStyle w:val="Style19"/>
        <w:keepNext w:val="0"/>
        <w:keepLines w:val="0"/>
        <w:framePr w:w="1930" w:h="264" w:hSpace="7392" w:wrap="notBeside" w:vAnchor="text" w:hAnchor="text" w:y="2295"/>
        <w:widowControl w:val="0"/>
        <w:shd w:val="clear" w:color="auto" w:fill="auto"/>
        <w:bidi w:val="0"/>
        <w:spacing w:before="0" w:after="0" w:line="240" w:lineRule="auto"/>
        <w:ind w:left="0" w:right="0" w:firstLine="0"/>
        <w:jc w:val="left"/>
      </w:pPr>
      <w:r>
        <w:rPr>
          <w:color w:val="000000"/>
          <w:spacing w:val="0"/>
          <w:w w:val="100"/>
          <w:position w:val="0"/>
        </w:rPr>
        <w:t>法定代表人：赵林中</w:t>
      </w:r>
    </w:p>
    <w:p>
      <w:pPr>
        <w:pStyle w:val="Style19"/>
        <w:keepNext w:val="0"/>
        <w:keepLines w:val="0"/>
        <w:framePr w:w="5597" w:h="264" w:hSpace="3725" w:wrap="notBeside" w:vAnchor="text" w:hAnchor="text" w:x="3054" w:y="2295"/>
        <w:widowControl w:val="0"/>
        <w:shd w:val="clear" w:color="auto" w:fill="auto"/>
        <w:tabs>
          <w:tab w:pos="3451" w:val="left"/>
        </w:tabs>
        <w:bidi w:val="0"/>
        <w:spacing w:before="0" w:after="0" w:line="240" w:lineRule="auto"/>
        <w:ind w:left="0" w:right="0" w:firstLine="0"/>
        <w:jc w:val="center"/>
      </w:pPr>
      <w:r>
        <w:rPr>
          <w:color w:val="000000"/>
          <w:spacing w:val="0"/>
          <w:w w:val="100"/>
          <w:position w:val="0"/>
        </w:rPr>
        <w:t>主管会计工作负责人：王坚</w:t>
        <w:tab/>
        <w:t>会计机构负责人：王坚</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母公司资产负债表</w:t>
      </w:r>
    </w:p>
    <w:p>
      <w:pPr>
        <w:pStyle w:val="Style13"/>
        <w:keepNext w:val="0"/>
        <w:keepLines w:val="0"/>
        <w:widowControl w:val="0"/>
        <w:shd w:val="clear" w:color="auto" w:fill="auto"/>
        <w:bidi w:val="0"/>
        <w:spacing w:before="0" w:after="0" w:line="288" w:lineRule="exact"/>
        <w:ind w:left="0" w:right="0" w:firstLine="3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浙江富润股份有限公司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189,952,058.92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135,253,282.90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8,162.68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24,702.82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154,871,000.23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157,303,782.18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133,979.94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150,562,500.00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344,965,201.77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443,202,267.90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339,429,208.36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22,476,800.00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318,846,896.36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337,753,557.83</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5,968,387.72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11,246,503.84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11,553.50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81,282.22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10,000,000.00</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674,256,045.94</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381,558,143.89</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1,019,221,247.71</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824,760,411.79</w:t>
            </w:r>
          </w:p>
        </w:tc>
      </w:tr>
      <w:tr>
        <w:trPr>
          <w:trHeight w:val="288"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170,000,000.00</w:t>
            </w:r>
          </w:p>
        </w:tc>
      </w:tr>
      <w:tr>
        <w:trPr>
          <w:trHeight w:val="288"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交易性金融负债</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857,587.52</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857,587.52</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28,994.40</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377,881.07</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应付职工薪酬</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12,959,548.70</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9,725,604.72</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7,506,393.42</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8,696,515.05</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应付利息</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421,361.11</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应付股利</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638,571.40</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576,795.40</w:t>
            </w:r>
          </w:p>
        </w:tc>
      </w:tr>
      <w:tr>
        <w:trPr>
          <w:trHeight w:val="283"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其他应付款</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123,631,562.54</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93,312,628.17</w:t>
            </w:r>
          </w:p>
        </w:tc>
      </w:tr>
      <w:tr>
        <w:trPr>
          <w:trHeight w:val="562"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74" w:lineRule="exact"/>
              <w:ind w:left="0" w:right="0" w:firstLine="520"/>
              <w:jc w:val="both"/>
            </w:pPr>
            <w:r>
              <w:rPr>
                <w:color w:val="000000"/>
                <w:spacing w:val="0"/>
                <w:w w:val="100"/>
                <w:position w:val="0"/>
              </w:rPr>
              <w:t>一年内到期的非流动 负债</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其他流动负债</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145,622,657.98</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283,968,373.04</w:t>
            </w:r>
          </w:p>
        </w:tc>
      </w:tr>
      <w:tr>
        <w:trPr>
          <w:trHeight w:val="288"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递延所得税负债</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112,795,327.58</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20,851,329.78</w:t>
            </w:r>
          </w:p>
        </w:tc>
      </w:tr>
      <w:tr>
        <w:trPr>
          <w:trHeight w:val="288"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其他非流动负债</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112,795,327.58</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20,851,329.78</w:t>
            </w:r>
          </w:p>
        </w:tc>
      </w:tr>
      <w:tr>
        <w:trPr>
          <w:trHeight w:val="283"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960"/>
              <w:jc w:val="both"/>
            </w:pPr>
            <w:r>
              <w:rPr>
                <w:color w:val="000000"/>
                <w:spacing w:val="0"/>
                <w:w w:val="100"/>
                <w:position w:val="0"/>
              </w:rPr>
              <w:t>负债合计</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258,417,985.56</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304,819,702.82</w:t>
            </w:r>
          </w:p>
        </w:tc>
      </w:tr>
      <w:tr>
        <w:trPr>
          <w:trHeight w:val="562"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64" w:lineRule="exact"/>
              <w:ind w:left="0" w:right="0" w:firstLine="0"/>
              <w:jc w:val="both"/>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实收资本（或股本）</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182,878,488.00</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182,878,488.00</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374,443,087.76</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154,977,858.01</w:t>
            </w:r>
          </w:p>
        </w:tc>
      </w:tr>
      <w:tr>
        <w:trPr>
          <w:trHeight w:val="288"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专项储备</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盈余公积</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58,164,844.47</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50,538,757.49</w:t>
            </w:r>
          </w:p>
        </w:tc>
      </w:tr>
      <w:tr>
        <w:trPr>
          <w:trHeight w:val="288"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一般风险准备</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31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未分配利润</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145,316,841.92</w:t>
            </w:r>
          </w:p>
        </w:tc>
        <w:tc>
          <w:tcPr>
            <w:tcBorders>
              <w:top w:val="single" w:sz="4"/>
              <w:left w:val="single" w:sz="4"/>
              <w:right w:val="single" w:sz="4"/>
            </w:tcBorders>
            <w:shd w:val="clear" w:color="auto" w:fill="FFFFFF"/>
            <w:vAlign w:val="bottom"/>
          </w:tcPr>
          <w:p>
            <w:pPr>
              <w:pStyle w:val="Style21"/>
              <w:keepNext w:val="0"/>
              <w:keepLines w:val="0"/>
              <w:framePr w:w="9322" w:h="12312"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131,545,605.47</w:t>
            </w:r>
          </w:p>
        </w:tc>
      </w:tr>
      <w:tr>
        <w:trPr>
          <w:trHeight w:val="562" w:hRule="exact"/>
        </w:trPr>
        <w:tc>
          <w:tcPr>
            <w:tcBorders>
              <w:top w:val="single" w:sz="4"/>
              <w:left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74" w:lineRule="exact"/>
              <w:ind w:left="0" w:right="0" w:firstLine="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2312" w:vSpace="278"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760,803,262.15</w:t>
            </w:r>
          </w:p>
        </w:tc>
        <w:tc>
          <w:tcPr>
            <w:tcBorders>
              <w:top w:val="single" w:sz="4"/>
              <w:left w:val="single" w:sz="4"/>
              <w:right w:val="single" w:sz="4"/>
            </w:tcBorders>
            <w:shd w:val="clear" w:color="auto" w:fill="FFFFFF"/>
            <w:vAlign w:val="center"/>
          </w:tcPr>
          <w:p>
            <w:pPr>
              <w:pStyle w:val="Style21"/>
              <w:keepNext w:val="0"/>
              <w:keepLines w:val="0"/>
              <w:framePr w:w="9322" w:h="12312"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519,940,708.97</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framePr w:w="9322" w:h="12312" w:vSpace="278" w:wrap="notBeside" w:vAnchor="text" w:hAnchor="text" w:y="1"/>
              <w:widowControl w:val="0"/>
              <w:shd w:val="clear" w:color="auto" w:fill="auto"/>
              <w:bidi w:val="0"/>
              <w:spacing w:before="0" w:after="0" w:line="274" w:lineRule="exact"/>
              <w:ind w:left="0" w:right="0" w:firstLine="740"/>
              <w:jc w:val="both"/>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framePr w:w="9322" w:h="12312" w:vSpace="278"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9322" w:h="12312"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1,019,221,247.71</w:t>
            </w:r>
          </w:p>
        </w:tc>
        <w:tc>
          <w:tcPr>
            <w:tcBorders>
              <w:top w:val="single" w:sz="4"/>
              <w:left w:val="single" w:sz="4"/>
              <w:bottom w:val="single" w:sz="4"/>
              <w:right w:val="single" w:sz="4"/>
            </w:tcBorders>
            <w:shd w:val="clear" w:color="auto" w:fill="FFFFFF"/>
            <w:vAlign w:val="center"/>
          </w:tcPr>
          <w:p>
            <w:pPr>
              <w:pStyle w:val="Style21"/>
              <w:keepNext w:val="0"/>
              <w:keepLines w:val="0"/>
              <w:framePr w:w="9322" w:h="12312"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824,760,411.79</w:t>
            </w:r>
          </w:p>
        </w:tc>
      </w:tr>
    </w:tbl>
    <w:p>
      <w:pPr>
        <w:pStyle w:val="Style19"/>
        <w:keepNext w:val="0"/>
        <w:keepLines w:val="0"/>
        <w:framePr w:w="1930" w:h="264" w:hSpace="7392" w:wrap="notBeside" w:vAnchor="text" w:hAnchor="text" w:y="12323"/>
        <w:widowControl w:val="0"/>
        <w:shd w:val="clear" w:color="auto" w:fill="auto"/>
        <w:bidi w:val="0"/>
        <w:spacing w:before="0" w:after="0" w:line="240" w:lineRule="auto"/>
        <w:ind w:left="0" w:right="0" w:firstLine="0"/>
        <w:jc w:val="left"/>
      </w:pPr>
      <w:r>
        <w:rPr>
          <w:color w:val="000000"/>
          <w:spacing w:val="0"/>
          <w:w w:val="100"/>
          <w:position w:val="0"/>
        </w:rPr>
        <w:t>法定代表人：赵林中</w:t>
      </w:r>
    </w:p>
    <w:p>
      <w:pPr>
        <w:pStyle w:val="Style19"/>
        <w:keepNext w:val="0"/>
        <w:keepLines w:val="0"/>
        <w:framePr w:w="2554" w:h="264" w:hSpace="6768" w:wrap="notBeside" w:vAnchor="text" w:hAnchor="text" w:x="2948" w:y="12323"/>
        <w:widowControl w:val="0"/>
        <w:shd w:val="clear" w:color="auto" w:fill="auto"/>
        <w:bidi w:val="0"/>
        <w:spacing w:before="0" w:after="0" w:line="240" w:lineRule="auto"/>
        <w:ind w:left="0" w:right="0" w:firstLine="0"/>
        <w:jc w:val="center"/>
      </w:pPr>
      <w:r>
        <w:rPr>
          <w:color w:val="000000"/>
          <w:spacing w:val="0"/>
          <w:w w:val="100"/>
          <w:position w:val="0"/>
        </w:rPr>
        <w:t>主管会计工作负责人：王坚</w:t>
      </w:r>
    </w:p>
    <w:p>
      <w:pPr>
        <w:pStyle w:val="Style19"/>
        <w:keepNext w:val="0"/>
        <w:keepLines w:val="0"/>
        <w:framePr w:w="2136" w:h="269" w:hSpace="7186" w:wrap="notBeside" w:vAnchor="text" w:hAnchor="text" w:x="6198" w:y="12323"/>
        <w:widowControl w:val="0"/>
        <w:shd w:val="clear" w:color="auto" w:fill="auto"/>
        <w:bidi w:val="0"/>
        <w:spacing w:before="0" w:after="0" w:line="240" w:lineRule="auto"/>
        <w:ind w:left="0" w:right="0" w:firstLine="0"/>
        <w:jc w:val="center"/>
      </w:pPr>
      <w:r>
        <w:rPr>
          <w:color w:val="000000"/>
          <w:spacing w:val="0"/>
          <w:w w:val="100"/>
          <w:position w:val="0"/>
        </w:rPr>
        <w:t>会计机构负责人：王坚</w:t>
      </w:r>
    </w:p>
    <w:p>
      <w:pPr>
        <w:widowControl w:val="0"/>
        <w:spacing w:line="1" w:lineRule="exact"/>
      </w:pPr>
      <w:r>
        <w:br w:type="page"/>
      </w:r>
    </w:p>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合并利润表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19"/>
        <w:gridCol w:w="1042"/>
        <w:gridCol w:w="2280"/>
        <w:gridCol w:w="238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1,072,373,157.47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1,056,706,354.62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1,072,373,157.47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1,056,706,354.62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1,008,937,869.81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999,411,008.73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923,761,593.80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901,872,308.98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6,371,316.64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5,913,867.14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13,323,068.16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11,862,296.42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42,871,627.44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45,572,083.73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20,350,722.21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33,109,448.22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2,259,541.56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1,081,004.24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31,392,870.01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36,997,434.97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96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-3,423,993.01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-2,783,759.17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94,843,767.67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94,303,930.86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135,546,497.80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133,897,358.57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1,338,945.65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2,411,913.79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180,126.55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1,317,319.76</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229,051,319.82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225,789,375.64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39,672,632.87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42,241,098.03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189,378,686.95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183,548,277.61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122,469,826.80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127,201,501.91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66,908,860.15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56,346,775.70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219,413,167.25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-5,318,400.00</w:t>
            </w:r>
          </w:p>
        </w:tc>
      </w:tr>
    </w:tbl>
    <w:p>
      <w:pPr>
        <w:spacing w:lineRule="exact" w:line="1"/>
        <w:rPr>
          <w:sz w:val="2"/>
          <w:szCs w:val="2"/>
        </w:rPr>
      </w:pPr>
      <w:r>
        <w:br w:type="page"/>
      </w:r>
    </w:p>
    <w:tbl>
      <w:tblPr>
        <w:tblOverlap w:val="never"/>
        <w:jc w:val="left"/>
        <w:tblLayout w:type="fixed"/>
      </w:tblPr>
      <w:tblGrid>
        <w:gridCol w:w="3619"/>
        <w:gridCol w:w="1042"/>
        <w:gridCol w:w="2280"/>
        <w:gridCol w:w="2381"/>
      </w:tblGrid>
      <w:tr>
        <w:trPr>
          <w:trHeight w:val="293" w:hRule="exact"/>
        </w:trPr>
        <w:tc>
          <w:tcPr>
            <w:tcBorders>
              <w:top w:val="single" w:sz="4"/>
              <w:left w:val="single" w:sz="4"/>
            </w:tcBorders>
            <w:shd w:val="clear" w:color="auto" w:fill="FFFFFF"/>
            <w:vAlign w:val="bottom"/>
          </w:tcPr>
          <w:p>
            <w:pPr>
              <w:pStyle w:val="Style21"/>
              <w:keepNext w:val="0"/>
              <w:keepLines w:val="0"/>
              <w:framePr w:w="9322" w:h="1152" w:vSpace="269"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top"/>
          </w:tcPr>
          <w:p>
            <w:pPr>
              <w:framePr w:w="9322" w:h="1152"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152" w:vSpace="269"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408,791,854.20</w:t>
            </w:r>
          </w:p>
        </w:tc>
        <w:tc>
          <w:tcPr>
            <w:tcBorders>
              <w:top w:val="single" w:sz="4"/>
              <w:left w:val="single" w:sz="4"/>
              <w:right w:val="single" w:sz="4"/>
            </w:tcBorders>
            <w:shd w:val="clear" w:color="auto" w:fill="FFFFFF"/>
            <w:vAlign w:val="bottom"/>
          </w:tcPr>
          <w:p>
            <w:pPr>
              <w:pStyle w:val="Style21"/>
              <w:keepNext w:val="0"/>
              <w:keepLines w:val="0"/>
              <w:framePr w:w="9322" w:h="1152" w:vSpace="269"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178,229,877.61</w:t>
            </w:r>
          </w:p>
        </w:tc>
      </w:tr>
      <w:tr>
        <w:trPr>
          <w:trHeight w:val="562" w:hRule="exact"/>
        </w:trPr>
        <w:tc>
          <w:tcPr>
            <w:tcBorders>
              <w:top w:val="single" w:sz="4"/>
              <w:left w:val="single" w:sz="4"/>
            </w:tcBorders>
            <w:shd w:val="clear" w:color="auto" w:fill="FFFFFF"/>
            <w:vAlign w:val="top"/>
          </w:tcPr>
          <w:p>
            <w:pPr>
              <w:pStyle w:val="Style21"/>
              <w:keepNext w:val="0"/>
              <w:keepLines w:val="0"/>
              <w:framePr w:w="9322" w:h="1152" w:vSpace="269" w:wrap="notBeside" w:vAnchor="text" w:hAnchor="text" w:y="1"/>
              <w:widowControl w:val="0"/>
              <w:shd w:val="clear" w:color="auto" w:fill="auto"/>
              <w:bidi w:val="0"/>
              <w:spacing w:before="0" w:after="0" w:line="274" w:lineRule="exact"/>
              <w:ind w:left="0" w:right="0" w:firstLine="52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top"/>
          </w:tcPr>
          <w:p>
            <w:pPr>
              <w:framePr w:w="9322" w:h="1152"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152" w:vSpace="269"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341,882,994.05</w:t>
            </w:r>
          </w:p>
        </w:tc>
        <w:tc>
          <w:tcPr>
            <w:tcBorders>
              <w:top w:val="single" w:sz="4"/>
              <w:left w:val="single" w:sz="4"/>
              <w:right w:val="single" w:sz="4"/>
            </w:tcBorders>
            <w:shd w:val="clear" w:color="auto" w:fill="FFFFFF"/>
            <w:vAlign w:val="center"/>
          </w:tcPr>
          <w:p>
            <w:pPr>
              <w:pStyle w:val="Style21"/>
              <w:keepNext w:val="0"/>
              <w:keepLines w:val="0"/>
              <w:framePr w:w="9322" w:h="1152" w:vSpace="269"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121,883,101.91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9322" w:h="1152"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framePr w:w="9322" w:h="1152" w:vSpace="269"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framePr w:w="9322" w:h="1152" w:vSpace="269" w:wrap="notBeside" w:vAnchor="text" w:hAnchor="text" w:y="1"/>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66,908,860.15</w:t>
            </w:r>
          </w:p>
        </w:tc>
        <w:tc>
          <w:tcPr>
            <w:tcBorders>
              <w:top w:val="single" w:sz="4"/>
              <w:left w:val="single" w:sz="4"/>
              <w:bottom w:val="single" w:sz="4"/>
              <w:right w:val="single" w:sz="4"/>
            </w:tcBorders>
            <w:shd w:val="clear" w:color="auto" w:fill="FFFFFF"/>
            <w:vAlign w:val="bottom"/>
          </w:tcPr>
          <w:p>
            <w:pPr>
              <w:pStyle w:val="Style21"/>
              <w:keepNext w:val="0"/>
              <w:keepLines w:val="0"/>
              <w:framePr w:w="9322" w:h="1152" w:vSpace="269" w:wrap="notBeside" w:vAnchor="text" w:hAnchor="text" w:y="1"/>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56,346,775.70</w:t>
            </w:r>
          </w:p>
        </w:tc>
      </w:tr>
    </w:tbl>
    <w:p>
      <w:pPr>
        <w:pStyle w:val="Style19"/>
        <w:keepNext w:val="0"/>
        <w:keepLines w:val="0"/>
        <w:framePr w:w="1930" w:h="264" w:hSpace="7392" w:wrap="notBeside" w:vAnchor="text" w:hAnchor="text" w:y="1158"/>
        <w:widowControl w:val="0"/>
        <w:shd w:val="clear" w:color="auto" w:fill="auto"/>
        <w:bidi w:val="0"/>
        <w:spacing w:before="0" w:after="0" w:line="240" w:lineRule="auto"/>
        <w:ind w:left="0" w:right="0" w:firstLine="0"/>
        <w:jc w:val="left"/>
      </w:pPr>
      <w:r>
        <w:rPr>
          <w:color w:val="000000"/>
          <w:spacing w:val="0"/>
          <w:w w:val="100"/>
          <w:position w:val="0"/>
        </w:rPr>
        <w:t>法定代表人：赵林中</w:t>
      </w:r>
    </w:p>
    <w:p>
      <w:pPr>
        <w:pStyle w:val="Style19"/>
        <w:keepNext w:val="0"/>
        <w:keepLines w:val="0"/>
        <w:framePr w:w="5597" w:h="264" w:hSpace="3725" w:wrap="notBeside" w:vAnchor="text" w:hAnchor="text" w:x="3054" w:y="1158"/>
        <w:widowControl w:val="0"/>
        <w:shd w:val="clear" w:color="auto" w:fill="auto"/>
        <w:tabs>
          <w:tab w:pos="3451" w:val="left"/>
        </w:tabs>
        <w:bidi w:val="0"/>
        <w:spacing w:before="0" w:after="0" w:line="240" w:lineRule="auto"/>
        <w:ind w:left="0" w:right="0" w:firstLine="0"/>
        <w:jc w:val="center"/>
      </w:pPr>
      <w:r>
        <w:rPr>
          <w:color w:val="000000"/>
          <w:spacing w:val="0"/>
          <w:w w:val="100"/>
          <w:position w:val="0"/>
        </w:rPr>
        <w:t>主管会计工作负责人：王坚</w:t>
        <w:tab/>
        <w:t>会计机构负责人：王坚</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母公司利润表</w:t>
      </w:r>
    </w:p>
    <w:p>
      <w:pPr>
        <w:pStyle w:val="Style25"/>
        <w:keepNext w:val="0"/>
        <w:keepLines w:val="0"/>
        <w:widowControl w:val="0"/>
        <w:shd w:val="clear" w:color="auto" w:fill="auto"/>
        <w:bidi w:val="0"/>
        <w:spacing w:before="0" w:after="0" w:line="240" w:lineRule="auto"/>
        <w:ind w:left="358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tbl>
      <w:tblPr>
        <w:tblOverlap w:val="never"/>
        <w:jc w:val="left"/>
        <w:tblLayout w:type="fixed"/>
      </w:tblPr>
      <w:tblGrid>
        <w:gridCol w:w="3619"/>
        <w:gridCol w:w="1042"/>
        <w:gridCol w:w="2280"/>
        <w:gridCol w:w="2381"/>
      </w:tblGrid>
      <w:tr>
        <w:trPr>
          <w:trHeight w:val="298" w:hRule="exact"/>
        </w:trPr>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83" w:hRule="exact"/>
        </w:trPr>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454,411.89</w:t>
            </w:r>
          </w:p>
        </w:tc>
        <w:tc>
          <w:tcPr>
            <w:tcBorders>
              <w:top w:val="single" w:sz="4"/>
              <w:left w:val="single" w:sz="4"/>
              <w:righ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1,956,403.93</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520"/>
              <w:jc w:val="both"/>
            </w:pPr>
            <w:r>
              <w:rPr>
                <w:color w:val="000000"/>
                <w:spacing w:val="0"/>
                <w:w w:val="100"/>
                <w:position w:val="0"/>
              </w:rPr>
              <w:t>减：营业成本</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238,739.36</w:t>
            </w:r>
          </w:p>
        </w:tc>
        <w:tc>
          <w:tcPr>
            <w:tcBorders>
              <w:top w:val="single" w:sz="4"/>
              <w:left w:val="single" w:sz="4"/>
              <w:righ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725,915.89</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960"/>
              <w:jc w:val="both"/>
            </w:pPr>
            <w:r>
              <w:rPr>
                <w:color w:val="000000"/>
                <w:spacing w:val="0"/>
                <w:w w:val="100"/>
                <w:position w:val="0"/>
              </w:rPr>
              <w:t>营业税金及附加</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90,768.19</w:t>
            </w:r>
          </w:p>
        </w:tc>
        <w:tc>
          <w:tcPr>
            <w:tcBorders>
              <w:top w:val="single" w:sz="4"/>
              <w:left w:val="single" w:sz="4"/>
              <w:righ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332,480.03</w:t>
            </w:r>
          </w:p>
        </w:tc>
      </w:tr>
      <w:tr>
        <w:trPr>
          <w:trHeight w:val="288" w:hRule="exact"/>
        </w:trPr>
        <w:tc>
          <w:tcPr>
            <w:tcBorders>
              <w:top w:val="single" w:sz="4"/>
              <w:left w:val="single" w:sz="4"/>
            </w:tcBorders>
            <w:shd w:val="clear" w:color="auto" w:fill="FFFFFF"/>
            <w:vAlign w:val="top"/>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960"/>
              <w:jc w:val="both"/>
            </w:pPr>
            <w:r>
              <w:rPr>
                <w:color w:val="000000"/>
                <w:spacing w:val="0"/>
                <w:w w:val="100"/>
                <w:position w:val="0"/>
              </w:rPr>
              <w:t>销售费用</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322" w:h="7718" w:vSpace="259"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960"/>
              <w:jc w:val="both"/>
            </w:pPr>
            <w:r>
              <w:rPr>
                <w:color w:val="000000"/>
                <w:spacing w:val="0"/>
                <w:w w:val="100"/>
                <w:position w:val="0"/>
              </w:rPr>
              <w:t>管理费用</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13,056,653.88</w:t>
            </w:r>
          </w:p>
        </w:tc>
        <w:tc>
          <w:tcPr>
            <w:tcBorders>
              <w:top w:val="single" w:sz="4"/>
              <w:left w:val="single" w:sz="4"/>
              <w:righ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6,669,531.82</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960"/>
              <w:jc w:val="both"/>
            </w:pPr>
            <w:r>
              <w:rPr>
                <w:color w:val="000000"/>
                <w:spacing w:val="0"/>
                <w:w w:val="100"/>
                <w:position w:val="0"/>
              </w:rPr>
              <w:t>财务费用</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5,003,826.94</w:t>
            </w:r>
          </w:p>
        </w:tc>
        <w:tc>
          <w:tcPr>
            <w:tcBorders>
              <w:top w:val="single" w:sz="4"/>
              <w:left w:val="single" w:sz="4"/>
              <w:righ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9,426,675.16</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960"/>
              <w:jc w:val="both"/>
            </w:pPr>
            <w:r>
              <w:rPr>
                <w:color w:val="000000"/>
                <w:spacing w:val="0"/>
                <w:w w:val="100"/>
                <w:position w:val="0"/>
              </w:rPr>
              <w:t>资产减值损失</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1,190,541.46</w:t>
            </w:r>
          </w:p>
        </w:tc>
        <w:tc>
          <w:tcPr>
            <w:tcBorders>
              <w:top w:val="single" w:sz="4"/>
              <w:left w:val="single" w:sz="4"/>
              <w:righ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5,276,719.45</w:t>
            </w:r>
          </w:p>
        </w:tc>
      </w:tr>
      <w:tr>
        <w:trPr>
          <w:trHeight w:val="557" w:hRule="exact"/>
        </w:trPr>
        <w:tc>
          <w:tcPr>
            <w:tcBorders>
              <w:top w:val="single" w:sz="4"/>
              <w:left w:val="single" w:sz="4"/>
            </w:tcBorders>
            <w:shd w:val="clear" w:color="auto" w:fill="FFFFFF"/>
            <w:vAlign w:val="top"/>
          </w:tcPr>
          <w:p>
            <w:pPr>
              <w:pStyle w:val="Style21"/>
              <w:keepNext w:val="0"/>
              <w:keepLines w:val="0"/>
              <w:framePr w:w="9322" w:h="7718" w:vSpace="259" w:wrap="notBeside" w:vAnchor="text" w:hAnchor="text" w:y="265"/>
              <w:widowControl w:val="0"/>
              <w:shd w:val="clear" w:color="auto" w:fill="auto"/>
              <w:bidi w:val="0"/>
              <w:spacing w:before="0" w:after="0" w:line="278" w:lineRule="exact"/>
              <w:ind w:left="0" w:right="0" w:firstLine="52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322" w:h="7718" w:vSpace="259" w:wrap="notBeside" w:vAnchor="text" w:hAnchor="text" w:y="265"/>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framePr w:w="9322" w:h="7718" w:vSpace="259" w:wrap="notBeside" w:vAnchor="text" w:hAnchor="text" w:y="265"/>
              <w:widowControl w:val="0"/>
              <w:shd w:val="clear" w:color="auto" w:fill="auto"/>
              <w:bidi w:val="0"/>
              <w:spacing w:before="0" w:after="0" w:line="283" w:lineRule="exact"/>
              <w:ind w:left="0" w:right="0" w:firstLine="96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38,985,460.93</w:t>
            </w:r>
          </w:p>
        </w:tc>
        <w:tc>
          <w:tcPr>
            <w:tcBorders>
              <w:top w:val="single" w:sz="4"/>
              <w:left w:val="single" w:sz="4"/>
              <w:right w:val="single" w:sz="4"/>
            </w:tcBorders>
            <w:shd w:val="clear" w:color="auto" w:fill="FFFFFF"/>
            <w:vAlign w:val="center"/>
          </w:tcPr>
          <w:p>
            <w:pPr>
              <w:pStyle w:val="Style21"/>
              <w:keepNext w:val="0"/>
              <w:keepLines w:val="0"/>
              <w:framePr w:w="9322" w:h="7718" w:vSpace="259" w:wrap="notBeside" w:vAnchor="text" w:hAnchor="text" w:y="265"/>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48,276,925.05</w:t>
            </w:r>
          </w:p>
        </w:tc>
      </w:tr>
      <w:tr>
        <w:trPr>
          <w:trHeight w:val="557" w:hRule="exact"/>
        </w:trPr>
        <w:tc>
          <w:tcPr>
            <w:tcBorders>
              <w:top w:val="single" w:sz="4"/>
              <w:left w:val="single" w:sz="4"/>
            </w:tcBorders>
            <w:shd w:val="clear" w:color="auto" w:fill="FFFFFF"/>
            <w:vAlign w:val="top"/>
          </w:tcPr>
          <w:p>
            <w:pPr>
              <w:pStyle w:val="Style21"/>
              <w:keepNext w:val="0"/>
              <w:keepLines w:val="0"/>
              <w:framePr w:w="9322" w:h="7718" w:vSpace="259" w:wrap="notBeside" w:vAnchor="text" w:hAnchor="text" w:y="265"/>
              <w:widowControl w:val="0"/>
              <w:shd w:val="clear" w:color="auto" w:fill="auto"/>
              <w:bidi w:val="0"/>
              <w:spacing w:before="0" w:after="40" w:line="240" w:lineRule="auto"/>
              <w:ind w:left="1160" w:right="0" w:firstLine="0"/>
              <w:jc w:val="left"/>
            </w:pPr>
            <w:r>
              <w:rPr>
                <w:color w:val="000000"/>
                <w:spacing w:val="0"/>
                <w:w w:val="100"/>
                <w:position w:val="0"/>
              </w:rPr>
              <w:t>其中：对联营企业和合营</w:t>
            </w:r>
          </w:p>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-3,423,993.01</w:t>
            </w:r>
          </w:p>
        </w:tc>
        <w:tc>
          <w:tcPr>
            <w:tcBorders>
              <w:top w:val="single" w:sz="4"/>
              <w:left w:val="single" w:sz="4"/>
              <w:right w:val="single" w:sz="4"/>
            </w:tcBorders>
            <w:shd w:val="clear" w:color="auto" w:fill="FFFFFF"/>
            <w:vAlign w:val="center"/>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-2,783,759.17</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19,859,342.99</w:t>
            </w:r>
          </w:p>
        </w:tc>
        <w:tc>
          <w:tcPr>
            <w:tcBorders>
              <w:top w:val="single" w:sz="4"/>
              <w:left w:val="single" w:sz="4"/>
              <w:righ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27,802,006.63</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75,290,502.93</w:t>
            </w:r>
          </w:p>
        </w:tc>
        <w:tc>
          <w:tcPr>
            <w:tcBorders>
              <w:top w:val="single" w:sz="4"/>
              <w:left w:val="single" w:sz="4"/>
              <w:righ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74,364,965.27</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82,700.70</w:t>
            </w:r>
          </w:p>
        </w:tc>
        <w:tc>
          <w:tcPr>
            <w:tcBorders>
              <w:top w:val="single" w:sz="4"/>
              <w:left w:val="single" w:sz="4"/>
              <w:righ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68,879.55</w:t>
            </w:r>
          </w:p>
        </w:tc>
      </w:tr>
      <w:tr>
        <w:trPr>
          <w:trHeight w:val="288" w:hRule="exact"/>
        </w:trPr>
        <w:tc>
          <w:tcPr>
            <w:tcBorders>
              <w:top w:val="single" w:sz="4"/>
              <w:left w:val="single" w:sz="4"/>
            </w:tcBorders>
            <w:shd w:val="clear" w:color="auto" w:fill="FFFFFF"/>
            <w:vAlign w:val="top"/>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96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322" w:h="7718" w:vSpace="259" w:wrap="notBeside" w:vAnchor="text" w:hAnchor="text" w:y="265"/>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framePr w:w="9322" w:h="7718" w:vSpace="259" w:wrap="notBeside" w:vAnchor="text" w:hAnchor="text" w:y="265"/>
              <w:widowControl w:val="0"/>
              <w:shd w:val="clear" w:color="auto" w:fill="auto"/>
              <w:bidi w:val="0"/>
              <w:spacing w:before="0" w:after="0" w:line="288"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95,067,145.22</w:t>
            </w:r>
          </w:p>
        </w:tc>
        <w:tc>
          <w:tcPr>
            <w:tcBorders>
              <w:top w:val="single" w:sz="4"/>
              <w:left w:val="single" w:sz="4"/>
              <w:right w:val="single" w:sz="4"/>
            </w:tcBorders>
            <w:shd w:val="clear" w:color="auto" w:fill="FFFFFF"/>
            <w:vAlign w:val="center"/>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102,098,092.35</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520"/>
              <w:jc w:val="both"/>
            </w:pPr>
            <w:r>
              <w:rPr>
                <w:color w:val="000000"/>
                <w:spacing w:val="0"/>
                <w:w w:val="100"/>
                <w:position w:val="0"/>
              </w:rPr>
              <w:t>减：所得税费用</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18,806,275.39</w:t>
            </w:r>
          </w:p>
        </w:tc>
        <w:tc>
          <w:tcPr>
            <w:tcBorders>
              <w:top w:val="single" w:sz="4"/>
              <w:left w:val="single" w:sz="4"/>
              <w:righ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18,519,775.10</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四、净利润（净亏损以“一”号填列）</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76,260,869.83</w:t>
            </w:r>
          </w:p>
        </w:tc>
        <w:tc>
          <w:tcPr>
            <w:tcBorders>
              <w:top w:val="single" w:sz="4"/>
              <w:left w:val="single" w:sz="4"/>
              <w:righ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83,578,317.25</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五、每股收益：</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322" w:h="7718" w:vSpace="259"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322" w:h="7718" w:vSpace="259"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322" w:h="7718" w:vSpace="259"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六、其他综合收益</w:t>
            </w:r>
          </w:p>
        </w:tc>
        <w:tc>
          <w:tcPr>
            <w:tcBorders>
              <w:top w:val="single" w:sz="4"/>
              <w:left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219,413,167.25</w:t>
            </w:r>
          </w:p>
        </w:tc>
        <w:tc>
          <w:tcPr>
            <w:tcBorders>
              <w:top w:val="single" w:sz="4"/>
              <w:left w:val="single" w:sz="4"/>
              <w:righ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-5,318,400.00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bottom w:val="single" w:sz="4"/>
            </w:tcBorders>
            <w:shd w:val="clear" w:color="auto" w:fill="FFFFFF"/>
            <w:vAlign w:val="top"/>
          </w:tcPr>
          <w:p>
            <w:pPr>
              <w:framePr w:w="9322" w:h="7718" w:vSpace="259" w:wrap="notBeside" w:vAnchor="text" w:hAnchor="text" w:y="265"/>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295,674,037.08</w:t>
            </w:r>
          </w:p>
        </w:tc>
        <w:tc>
          <w:tcPr>
            <w:tcBorders>
              <w:top w:val="single" w:sz="4"/>
              <w:left w:val="single" w:sz="4"/>
              <w:bottom w:val="single" w:sz="4"/>
              <w:right w:val="single" w:sz="4"/>
            </w:tcBorders>
            <w:shd w:val="clear" w:color="auto" w:fill="FFFFFF"/>
            <w:vAlign w:val="bottom"/>
          </w:tcPr>
          <w:p>
            <w:pPr>
              <w:pStyle w:val="Style21"/>
              <w:keepNext w:val="0"/>
              <w:keepLines w:val="0"/>
              <w:framePr w:w="9322" w:h="7718" w:vSpace="259" w:wrap="notBeside" w:vAnchor="text" w:hAnchor="text" w:y="265"/>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78,259,917.25</w:t>
            </w:r>
          </w:p>
        </w:tc>
      </w:tr>
    </w:tbl>
    <w:p>
      <w:pPr>
        <w:pStyle w:val="Style19"/>
        <w:keepNext w:val="0"/>
        <w:keepLines w:val="0"/>
        <w:framePr w:w="1934" w:h="259" w:hSpace="7388" w:wrap="notBeside" w:vAnchor="text" w:hAnchor="text" w:x="6745" w:y="1"/>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p>
      <w:pPr>
        <w:pStyle w:val="Style19"/>
        <w:keepNext w:val="0"/>
        <w:keepLines w:val="0"/>
        <w:framePr w:w="1930" w:h="254" w:hSpace="7392" w:wrap="notBeside" w:vAnchor="text" w:hAnchor="text" w:y="7988"/>
        <w:widowControl w:val="0"/>
        <w:shd w:val="clear" w:color="auto" w:fill="auto"/>
        <w:bidi w:val="0"/>
        <w:spacing w:before="0" w:after="0" w:line="240" w:lineRule="auto"/>
        <w:ind w:left="0" w:right="0" w:firstLine="0"/>
        <w:jc w:val="left"/>
      </w:pPr>
      <w:r>
        <w:rPr>
          <w:color w:val="000000"/>
          <w:spacing w:val="0"/>
          <w:w w:val="100"/>
          <w:position w:val="0"/>
        </w:rPr>
        <w:t>法定代表人：赵林中</w:t>
      </w:r>
    </w:p>
    <w:p>
      <w:pPr>
        <w:pStyle w:val="Style19"/>
        <w:keepNext w:val="0"/>
        <w:keepLines w:val="0"/>
        <w:framePr w:w="2554" w:h="254" w:hSpace="6768" w:wrap="notBeside" w:vAnchor="text" w:hAnchor="text" w:x="3054" w:y="7988"/>
        <w:widowControl w:val="0"/>
        <w:shd w:val="clear" w:color="auto" w:fill="auto"/>
        <w:bidi w:val="0"/>
        <w:spacing w:before="0" w:after="0" w:line="240" w:lineRule="auto"/>
        <w:ind w:left="0" w:right="0" w:firstLine="0"/>
        <w:jc w:val="center"/>
      </w:pPr>
      <w:r>
        <w:rPr>
          <w:color w:val="000000"/>
          <w:spacing w:val="0"/>
          <w:w w:val="100"/>
          <w:position w:val="0"/>
        </w:rPr>
        <w:t>主管会计工作负责人：王坚</w:t>
      </w:r>
    </w:p>
    <w:p>
      <w:pPr>
        <w:pStyle w:val="Style19"/>
        <w:keepNext w:val="0"/>
        <w:keepLines w:val="0"/>
        <w:framePr w:w="2141" w:h="254" w:hSpace="7181" w:wrap="notBeside" w:vAnchor="text" w:hAnchor="text" w:x="6515" w:y="7988"/>
        <w:widowControl w:val="0"/>
        <w:shd w:val="clear" w:color="auto" w:fill="auto"/>
        <w:bidi w:val="0"/>
        <w:spacing w:before="0" w:after="0" w:line="240" w:lineRule="auto"/>
        <w:ind w:left="0" w:right="0" w:firstLine="0"/>
        <w:jc w:val="center"/>
      </w:pPr>
      <w:r>
        <w:rPr>
          <w:color w:val="000000"/>
          <w:spacing w:val="0"/>
          <w:w w:val="100"/>
          <w:position w:val="0"/>
        </w:rPr>
        <w:t>会计机构负责人：王坚</w:t>
      </w:r>
    </w:p>
    <w:p>
      <w:pPr>
        <w:widowControl w:val="0"/>
        <w:spacing w:line="1" w:lineRule="exact"/>
      </w:pPr>
    </w:p>
    <w:p>
      <w:pPr>
        <w:pStyle w:val="Style13"/>
        <w:keepNext w:val="0"/>
        <w:keepLines w:val="0"/>
        <w:widowControl w:val="0"/>
        <w:shd w:val="clear" w:color="auto" w:fill="auto"/>
        <w:bidi w:val="0"/>
        <w:spacing w:before="0" w:after="0" w:line="240" w:lineRule="auto"/>
        <w:ind w:left="3580" w:right="0" w:firstLine="0"/>
        <w:jc w:val="left"/>
      </w:pPr>
      <w:r>
        <w:rPr>
          <w:b/>
          <w:bCs/>
          <w:color w:val="000000"/>
          <w:spacing w:val="0"/>
          <w:w w:val="100"/>
          <w:position w:val="0"/>
        </w:rPr>
        <w:t>合并现金流量表</w:t>
      </w:r>
    </w:p>
    <w:p>
      <w:pPr>
        <w:pStyle w:val="Style25"/>
        <w:keepNext w:val="0"/>
        <w:keepLines w:val="0"/>
        <w:widowControl w:val="0"/>
        <w:shd w:val="clear" w:color="auto" w:fill="auto"/>
        <w:bidi w:val="0"/>
        <w:spacing w:before="0" w:after="0" w:line="240" w:lineRule="auto"/>
        <w:ind w:left="358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6744"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一、经营活动产生的现金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740,093,089.82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743,837,472.74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客户存款和同业存放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向中央银行借款净增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520"/>
              <w:jc w:val="both"/>
            </w:pPr>
            <w:r>
              <w:rPr>
                <w:color w:val="000000"/>
                <w:spacing w:val="0"/>
                <w:w w:val="100"/>
                <w:position w:val="0"/>
              </w:rPr>
              <w:t>向其他金融机构拆入 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520"/>
              <w:jc w:val="both"/>
            </w:pPr>
            <w:r>
              <w:rPr>
                <w:color w:val="000000"/>
                <w:spacing w:val="0"/>
                <w:w w:val="100"/>
                <w:position w:val="0"/>
              </w:rPr>
              <w:t>收到原保险合同保费 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520"/>
              <w:jc w:val="both"/>
            </w:pPr>
            <w:r>
              <w:rPr>
                <w:color w:val="000000"/>
                <w:spacing w:val="0"/>
                <w:w w:val="100"/>
                <w:position w:val="0"/>
              </w:rPr>
              <w:t>收到再保险业务现金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保户储金及投资款净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处置交易性金融资产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520"/>
              <w:jc w:val="both"/>
            </w:pPr>
            <w:r>
              <w:rPr>
                <w:color w:val="000000"/>
                <w:spacing w:val="0"/>
                <w:w w:val="100"/>
                <w:position w:val="0"/>
              </w:rPr>
              <w:t>收取利息、手续费及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回购业务资金净增加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6,829,978.58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7,715,646.52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收到其他与经营活动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17,537,233.92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12,572,024.84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经营活动现金流入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764,460,302.32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764,125,144.10</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459,036,643.07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419,362,631.92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客户贷款及垫款净增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存放中央银行和同业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支付原保险合同赔付 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145,283,755.10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125,198,172.77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61,147,657.21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62,879,283.02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28,706,524.55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22,989,278.39</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694,174,579.93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630,429,366.10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经营活动产生的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70,285,722.39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133,695,778.00</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19,192,581.30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5,032,464.07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27,890,617.64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28,219,640.22</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141,977,970.10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140,576,405.91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192,134,711.86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22,409,340.06</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740"/>
              <w:jc w:val="both"/>
            </w:pPr>
            <w:r>
              <w:rPr>
                <w:color w:val="000000"/>
                <w:spacing w:val="0"/>
                <w:w w:val="100"/>
                <w:position w:val="0"/>
              </w:rPr>
              <w:t>投资活动现金流入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381,195,880.90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196,237,850.26</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520"/>
              <w:jc w:val="both"/>
            </w:pPr>
            <w:r>
              <w:rPr>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41,728,340.87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38,427,962.73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40,400,000.00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14,400,000.00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161,201,945.00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740"/>
              <w:jc w:val="both"/>
            </w:pPr>
            <w:r>
              <w:rPr>
                <w:color w:val="000000"/>
                <w:spacing w:val="0"/>
                <w:w w:val="100"/>
                <w:position w:val="0"/>
              </w:rPr>
              <w:t>投资活动现金流出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82,128,340.87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214,029,907.73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投资活动产生的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299,067,540.03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-17,792,057.47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520"/>
              <w:jc w:val="both"/>
            </w:pPr>
            <w:r>
              <w:rPr>
                <w:color w:val="000000"/>
                <w:spacing w:val="0"/>
                <w:w w:val="100"/>
                <w:position w:val="0"/>
              </w:rPr>
              <w:t>其中：子公司吸收少 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421,500,000.00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60,000,000.00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18,460,000.00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36,630,242.83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筹资活动现金流入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518,130,242.83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514,000,000.00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93,431,236.17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91,192,826.83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其中：子公司支付给 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20,733,323.98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18,182,383.77</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支付其他与筹资活动 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22,033,655.65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26,491,982.53</w:t>
            </w:r>
          </w:p>
        </w:tc>
      </w:tr>
    </w:tbl>
    <w:p>
      <w:pPr>
        <w:spacing w:lineRule="exact" w:line="1"/>
        <w:rPr>
          <w:sz w:val="2"/>
          <w:szCs w:val="2"/>
        </w:rPr>
      </w:pPr>
      <w:r>
        <w:br w:type="page"/>
      </w:r>
    </w:p>
    <w:tbl>
      <w:tblPr>
        <w:tblOverlap w:val="never"/>
        <w:jc w:val="left"/>
        <w:tblLayout w:type="fixed"/>
      </w:tblPr>
      <w:tblGrid>
        <w:gridCol w:w="2549"/>
        <w:gridCol w:w="1032"/>
        <w:gridCol w:w="2914"/>
        <w:gridCol w:w="2827"/>
      </w:tblGrid>
      <w:tr>
        <w:trPr>
          <w:trHeight w:val="566" w:hRule="exact"/>
        </w:trPr>
        <w:tc>
          <w:tcPr>
            <w:tcBorders>
              <w:top w:val="single" w:sz="4"/>
              <w:left w:val="single" w:sz="4"/>
            </w:tcBorders>
            <w:shd w:val="clear" w:color="auto" w:fill="FFFFFF"/>
            <w:vAlign w:val="bottom"/>
          </w:tcPr>
          <w:p>
            <w:pPr>
              <w:pStyle w:val="Style21"/>
              <w:keepNext w:val="0"/>
              <w:keepLines w:val="0"/>
              <w:framePr w:w="9322" w:h="3374" w:vSpace="278" w:wrap="notBeside" w:vAnchor="text" w:hAnchor="text" w:y="1"/>
              <w:widowControl w:val="0"/>
              <w:shd w:val="clear" w:color="auto" w:fill="auto"/>
              <w:bidi w:val="0"/>
              <w:spacing w:before="0" w:after="40" w:line="240" w:lineRule="auto"/>
              <w:ind w:left="0" w:right="0" w:firstLine="740"/>
              <w:jc w:val="left"/>
            </w:pPr>
            <w:r>
              <w:rPr>
                <w:color w:val="000000"/>
                <w:spacing w:val="0"/>
                <w:w w:val="100"/>
                <w:position w:val="0"/>
              </w:rPr>
              <w:t>筹资活动现金流出</w:t>
            </w:r>
          </w:p>
          <w:p>
            <w:pPr>
              <w:pStyle w:val="Style21"/>
              <w:keepNext w:val="0"/>
              <w:keepLines w:val="0"/>
              <w:framePr w:w="9322" w:h="3374" w:vSpace="27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framePr w:w="9322" w:h="3374"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3374" w:vSpace="278" w:wrap="notBeside" w:vAnchor="text" w:hAnchor="text" w:y="1"/>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505,514,891.82</w:t>
            </w:r>
          </w:p>
        </w:tc>
        <w:tc>
          <w:tcPr>
            <w:tcBorders>
              <w:top w:val="single" w:sz="4"/>
              <w:left w:val="single" w:sz="4"/>
              <w:right w:val="single" w:sz="4"/>
            </w:tcBorders>
            <w:shd w:val="clear" w:color="auto" w:fill="FFFFFF"/>
            <w:vAlign w:val="center"/>
          </w:tcPr>
          <w:p>
            <w:pPr>
              <w:pStyle w:val="Style21"/>
              <w:keepNext w:val="0"/>
              <w:keepLines w:val="0"/>
              <w:framePr w:w="9322" w:h="3374"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631,684,809.36</w:t>
            </w:r>
          </w:p>
        </w:tc>
      </w:tr>
      <w:tr>
        <w:trPr>
          <w:trHeight w:val="562" w:hRule="exact"/>
        </w:trPr>
        <w:tc>
          <w:tcPr>
            <w:tcBorders>
              <w:top w:val="single" w:sz="4"/>
              <w:left w:val="single" w:sz="4"/>
            </w:tcBorders>
            <w:shd w:val="clear" w:color="auto" w:fill="FFFFFF"/>
            <w:vAlign w:val="top"/>
          </w:tcPr>
          <w:p>
            <w:pPr>
              <w:pStyle w:val="Style21"/>
              <w:keepNext w:val="0"/>
              <w:keepLines w:val="0"/>
              <w:framePr w:w="9322" w:h="3374" w:vSpace="278" w:wrap="notBeside" w:vAnchor="text" w:hAnchor="text" w:y="1"/>
              <w:widowControl w:val="0"/>
              <w:shd w:val="clear" w:color="auto" w:fill="auto"/>
              <w:bidi w:val="0"/>
              <w:spacing w:before="0" w:after="0" w:line="240" w:lineRule="auto"/>
              <w:ind w:left="0" w:right="0" w:firstLine="960"/>
              <w:jc w:val="both"/>
            </w:pPr>
            <w:r>
              <w:rPr>
                <w:color w:val="000000"/>
                <w:spacing w:val="0"/>
                <w:w w:val="100"/>
                <w:position w:val="0"/>
              </w:rPr>
              <w:t>筹资活动产生的</w:t>
            </w:r>
          </w:p>
          <w:p>
            <w:pPr>
              <w:pStyle w:val="Style21"/>
              <w:keepNext w:val="0"/>
              <w:keepLines w:val="0"/>
              <w:framePr w:w="9322" w:h="3374" w:vSpace="278"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framePr w:w="9322" w:h="3374"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3374"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-320,004,891.82</w:t>
            </w:r>
          </w:p>
        </w:tc>
        <w:tc>
          <w:tcPr>
            <w:tcBorders>
              <w:top w:val="single" w:sz="4"/>
              <w:left w:val="single" w:sz="4"/>
              <w:right w:val="single" w:sz="4"/>
            </w:tcBorders>
            <w:shd w:val="clear" w:color="auto" w:fill="FFFFFF"/>
            <w:vAlign w:val="center"/>
          </w:tcPr>
          <w:p>
            <w:pPr>
              <w:pStyle w:val="Style21"/>
              <w:keepNext w:val="0"/>
              <w:keepLines w:val="0"/>
              <w:framePr w:w="9322" w:h="3374"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-113,554,566.53</w:t>
            </w:r>
          </w:p>
        </w:tc>
      </w:tr>
      <w:tr>
        <w:trPr>
          <w:trHeight w:val="557" w:hRule="exact"/>
        </w:trPr>
        <w:tc>
          <w:tcPr>
            <w:tcBorders>
              <w:top w:val="single" w:sz="4"/>
              <w:left w:val="single" w:sz="4"/>
            </w:tcBorders>
            <w:shd w:val="clear" w:color="auto" w:fill="FFFFFF"/>
            <w:vAlign w:val="top"/>
          </w:tcPr>
          <w:p>
            <w:pPr>
              <w:pStyle w:val="Style21"/>
              <w:keepNext w:val="0"/>
              <w:keepLines w:val="0"/>
              <w:framePr w:w="9322" w:h="3374" w:vSpace="278" w:wrap="notBeside" w:vAnchor="text" w:hAnchor="text" w:y="1"/>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framePr w:w="9322" w:h="3374"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3374" w:vSpace="278" w:wrap="notBeside" w:vAnchor="text" w:hAnchor="text" w:y="1"/>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-1,301,192.83</w:t>
            </w:r>
          </w:p>
        </w:tc>
        <w:tc>
          <w:tcPr>
            <w:tcBorders>
              <w:top w:val="single" w:sz="4"/>
              <w:left w:val="single" w:sz="4"/>
              <w:right w:val="single" w:sz="4"/>
            </w:tcBorders>
            <w:shd w:val="clear" w:color="auto" w:fill="FFFFFF"/>
            <w:vAlign w:val="center"/>
          </w:tcPr>
          <w:p>
            <w:pPr>
              <w:pStyle w:val="Style21"/>
              <w:keepNext w:val="0"/>
              <w:keepLines w:val="0"/>
              <w:framePr w:w="9322" w:h="3374"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-667,240.73</w:t>
            </w:r>
          </w:p>
        </w:tc>
      </w:tr>
      <w:tr>
        <w:trPr>
          <w:trHeight w:val="562" w:hRule="exact"/>
        </w:trPr>
        <w:tc>
          <w:tcPr>
            <w:tcBorders>
              <w:top w:val="single" w:sz="4"/>
              <w:left w:val="single" w:sz="4"/>
            </w:tcBorders>
            <w:shd w:val="clear" w:color="auto" w:fill="FFFFFF"/>
            <w:vAlign w:val="top"/>
          </w:tcPr>
          <w:p>
            <w:pPr>
              <w:pStyle w:val="Style21"/>
              <w:keepNext w:val="0"/>
              <w:keepLines w:val="0"/>
              <w:framePr w:w="9322" w:h="3374" w:vSpace="278" w:wrap="notBeside" w:vAnchor="text" w:hAnchor="text" w:y="1"/>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framePr w:w="9322" w:h="3374"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3374" w:vSpace="278" w:wrap="notBeside" w:vAnchor="text" w:hAnchor="text" w:y="1"/>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48,047,177.77</w:t>
            </w:r>
          </w:p>
        </w:tc>
        <w:tc>
          <w:tcPr>
            <w:tcBorders>
              <w:top w:val="single" w:sz="4"/>
              <w:left w:val="single" w:sz="4"/>
              <w:right w:val="single" w:sz="4"/>
            </w:tcBorders>
            <w:shd w:val="clear" w:color="auto" w:fill="FFFFFF"/>
            <w:vAlign w:val="center"/>
          </w:tcPr>
          <w:p>
            <w:pPr>
              <w:pStyle w:val="Style21"/>
              <w:keepNext w:val="0"/>
              <w:keepLines w:val="0"/>
              <w:framePr w:w="9322" w:h="3374" w:vSpace="278" w:wrap="notBeside" w:vAnchor="text" w:hAnchor="text" w:y="1"/>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1,681,913.27</w:t>
            </w:r>
          </w:p>
        </w:tc>
      </w:tr>
      <w:tr>
        <w:trPr>
          <w:trHeight w:val="562" w:hRule="exact"/>
        </w:trPr>
        <w:tc>
          <w:tcPr>
            <w:tcBorders>
              <w:top w:val="single" w:sz="4"/>
              <w:left w:val="single" w:sz="4"/>
            </w:tcBorders>
            <w:shd w:val="clear" w:color="auto" w:fill="FFFFFF"/>
            <w:vAlign w:val="top"/>
          </w:tcPr>
          <w:p>
            <w:pPr>
              <w:pStyle w:val="Style21"/>
              <w:keepNext w:val="0"/>
              <w:keepLines w:val="0"/>
              <w:framePr w:w="9322" w:h="3374" w:vSpace="278" w:wrap="notBeside" w:vAnchor="text" w:hAnchor="text" w:y="1"/>
              <w:widowControl w:val="0"/>
              <w:shd w:val="clear" w:color="auto" w:fill="auto"/>
              <w:bidi w:val="0"/>
              <w:spacing w:before="0" w:after="0" w:line="274" w:lineRule="exact"/>
              <w:ind w:left="0" w:right="0" w:firstLine="520"/>
              <w:jc w:val="both"/>
            </w:pPr>
            <w:r>
              <w:rPr>
                <w:color w:val="000000"/>
                <w:spacing w:val="0"/>
                <w:w w:val="100"/>
                <w:position w:val="0"/>
              </w:rPr>
              <w:t>加：期初现金及现金 等价物余额</w:t>
            </w:r>
          </w:p>
        </w:tc>
        <w:tc>
          <w:tcPr>
            <w:tcBorders>
              <w:top w:val="single" w:sz="4"/>
              <w:left w:val="single" w:sz="4"/>
            </w:tcBorders>
            <w:shd w:val="clear" w:color="auto" w:fill="FFFFFF"/>
            <w:vAlign w:val="top"/>
          </w:tcPr>
          <w:p>
            <w:pPr>
              <w:framePr w:w="9322" w:h="3374"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3374" w:vSpace="278" w:wrap="notBeside" w:vAnchor="text" w:hAnchor="text" w:y="1"/>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232,786,370.14</w:t>
            </w:r>
          </w:p>
        </w:tc>
        <w:tc>
          <w:tcPr>
            <w:tcBorders>
              <w:top w:val="single" w:sz="4"/>
              <w:left w:val="single" w:sz="4"/>
              <w:right w:val="single" w:sz="4"/>
            </w:tcBorders>
            <w:shd w:val="clear" w:color="auto" w:fill="FFFFFF"/>
            <w:vAlign w:val="center"/>
          </w:tcPr>
          <w:p>
            <w:pPr>
              <w:pStyle w:val="Style21"/>
              <w:keepNext w:val="0"/>
              <w:keepLines w:val="0"/>
              <w:framePr w:w="9322" w:h="3374"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231,104,456.87</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framePr w:w="9322" w:h="3374" w:vSpace="278" w:wrap="notBeside" w:vAnchor="text" w:hAnchor="text" w:y="1"/>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framePr w:w="9322" w:h="3374" w:vSpace="278"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9322" w:h="3374" w:vSpace="278" w:wrap="notBeside" w:vAnchor="text" w:hAnchor="text" w:y="1"/>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280,833,547.91</w:t>
            </w:r>
          </w:p>
        </w:tc>
        <w:tc>
          <w:tcPr>
            <w:tcBorders>
              <w:top w:val="single" w:sz="4"/>
              <w:left w:val="single" w:sz="4"/>
              <w:bottom w:val="single" w:sz="4"/>
              <w:right w:val="single" w:sz="4"/>
            </w:tcBorders>
            <w:shd w:val="clear" w:color="auto" w:fill="FFFFFF"/>
            <w:vAlign w:val="center"/>
          </w:tcPr>
          <w:p>
            <w:pPr>
              <w:pStyle w:val="Style21"/>
              <w:keepNext w:val="0"/>
              <w:keepLines w:val="0"/>
              <w:framePr w:w="9322" w:h="3374"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232,786,370.14</w:t>
            </w:r>
          </w:p>
        </w:tc>
      </w:tr>
    </w:tbl>
    <w:p>
      <w:pPr>
        <w:pStyle w:val="Style19"/>
        <w:keepNext w:val="0"/>
        <w:keepLines w:val="0"/>
        <w:framePr w:w="1930" w:h="264" w:hSpace="7392" w:wrap="notBeside" w:vAnchor="text" w:hAnchor="text" w:y="3385"/>
        <w:widowControl w:val="0"/>
        <w:shd w:val="clear" w:color="auto" w:fill="auto"/>
        <w:bidi w:val="0"/>
        <w:spacing w:before="0" w:after="0" w:line="240" w:lineRule="auto"/>
        <w:ind w:left="0" w:right="0" w:firstLine="0"/>
        <w:jc w:val="left"/>
      </w:pPr>
      <w:r>
        <w:rPr>
          <w:color w:val="000000"/>
          <w:spacing w:val="0"/>
          <w:w w:val="100"/>
          <w:position w:val="0"/>
        </w:rPr>
        <w:t>法定代表人：赵林中</w:t>
      </w:r>
    </w:p>
    <w:p>
      <w:pPr>
        <w:pStyle w:val="Style19"/>
        <w:keepNext w:val="0"/>
        <w:keepLines w:val="0"/>
        <w:framePr w:w="2554" w:h="264" w:hSpace="6768" w:wrap="notBeside" w:vAnchor="text" w:hAnchor="text" w:x="3054" w:y="3385"/>
        <w:widowControl w:val="0"/>
        <w:shd w:val="clear" w:color="auto" w:fill="auto"/>
        <w:bidi w:val="0"/>
        <w:spacing w:before="0" w:after="0" w:line="240" w:lineRule="auto"/>
        <w:ind w:left="0" w:right="0" w:firstLine="0"/>
        <w:jc w:val="center"/>
      </w:pPr>
      <w:r>
        <w:rPr>
          <w:color w:val="000000"/>
          <w:spacing w:val="0"/>
          <w:w w:val="100"/>
          <w:position w:val="0"/>
        </w:rPr>
        <w:t>主管会计工作负责人：王坚</w:t>
      </w:r>
    </w:p>
    <w:p>
      <w:pPr>
        <w:pStyle w:val="Style19"/>
        <w:keepNext w:val="0"/>
        <w:keepLines w:val="0"/>
        <w:framePr w:w="2141" w:h="269" w:hSpace="7181" w:wrap="notBeside" w:vAnchor="text" w:hAnchor="text" w:x="6510" w:y="3385"/>
        <w:widowControl w:val="0"/>
        <w:shd w:val="clear" w:color="auto" w:fill="auto"/>
        <w:bidi w:val="0"/>
        <w:spacing w:before="0" w:after="0" w:line="240" w:lineRule="auto"/>
        <w:ind w:left="0" w:right="0" w:firstLine="0"/>
        <w:jc w:val="center"/>
      </w:pPr>
      <w:r>
        <w:rPr>
          <w:color w:val="000000"/>
          <w:spacing w:val="0"/>
          <w:w w:val="100"/>
          <w:position w:val="0"/>
        </w:rPr>
        <w:t>会计机构负责人：王坚</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母公司现金流量表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106,318.28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87,254.99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2,197,300.58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4,829,449.14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2,303,618.86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4,916,704.13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24,371.39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58,304.12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7,090,672.67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3,824,974.59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1,913,804.72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1,808,593.57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2,766,204.72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2,172,091.06</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740"/>
              <w:jc w:val="left"/>
            </w:pPr>
            <w:r>
              <w:rPr>
                <w:color w:val="000000"/>
                <w:spacing w:val="0"/>
                <w:w w:val="100"/>
                <w:position w:val="0"/>
              </w:rPr>
              <w:t>经营活动现金流出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11,795,053.50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7,863,963.34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经营活动产生的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-9,491,434.64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-2,947,259.21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13,150,581.30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5,000,000.00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35,483,208.56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39,398,184.22</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处置固定资产、无形 资产和其他长期资产收回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79,941,772.08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122,396,984.39</w:t>
            </w:r>
          </w:p>
        </w:tc>
      </w:tr>
    </w:tbl>
    <w:p>
      <w:pPr>
        <w:spacing w:lineRule="exact" w:line="1"/>
        <w:rPr>
          <w:sz w:val="2"/>
          <w:szCs w:val="2"/>
        </w:rPr>
      </w:pPr>
      <w:r>
        <w:br w:type="page"/>
      </w:r>
    </w:p>
    <w:tbl>
      <w:tblPr>
        <w:tblOverlap w:val="never"/>
        <w:jc w:val="left"/>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648" w:vSpace="274"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framePr w:w="9322" w:h="12648" w:vSpace="274" w:wrap="notBeside" w:vAnchor="text" w:hAnchor="text" w:y="1"/>
              <w:widowControl w:val="0"/>
              <w:shd w:val="clear" w:color="auto" w:fill="auto"/>
              <w:bidi w:val="0"/>
              <w:spacing w:before="0" w:after="0" w:line="269"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648" w:vSpace="274"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74"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191,792,981.78</w:t>
            </w:r>
          </w:p>
        </w:tc>
        <w:tc>
          <w:tcPr>
            <w:tcBorders>
              <w:top w:val="single" w:sz="4"/>
              <w:left w:val="single" w:sz="4"/>
              <w:righ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19,540,000.00</w:t>
            </w:r>
          </w:p>
        </w:tc>
      </w:tr>
      <w:tr>
        <w:trPr>
          <w:trHeight w:val="557"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40" w:line="240" w:lineRule="auto"/>
              <w:ind w:left="0" w:right="0" w:firstLine="740"/>
              <w:jc w:val="both"/>
            </w:pPr>
            <w:r>
              <w:rPr>
                <w:color w:val="000000"/>
                <w:spacing w:val="0"/>
                <w:w w:val="100"/>
                <w:position w:val="0"/>
              </w:rPr>
              <w:t>投资活动现金流入</w:t>
            </w:r>
          </w:p>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320,368,543.72</w:t>
            </w:r>
          </w:p>
        </w:tc>
        <w:tc>
          <w:tcPr>
            <w:tcBorders>
              <w:top w:val="single" w:sz="4"/>
              <w:left w:val="single" w:sz="4"/>
              <w:righ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186,335,168.61</w:t>
            </w:r>
          </w:p>
        </w:tc>
      </w:tr>
      <w:tr>
        <w:trPr>
          <w:trHeight w:val="835"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69" w:lineRule="exact"/>
              <w:ind w:left="0" w:right="0" w:firstLine="520"/>
              <w:jc w:val="both"/>
            </w:pPr>
            <w:r>
              <w:rPr>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43,008.54</w:t>
            </w:r>
          </w:p>
        </w:tc>
        <w:tc>
          <w:tcPr>
            <w:tcBorders>
              <w:top w:val="single" w:sz="4"/>
              <w:left w:val="single" w:sz="4"/>
              <w:righ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14,367.52</w:t>
            </w:r>
          </w:p>
        </w:tc>
      </w:tr>
      <w:tr>
        <w:trPr>
          <w:trHeight w:val="283" w:hRule="exact"/>
        </w:trPr>
        <w:tc>
          <w:tcPr>
            <w:tcBorders>
              <w:top w:val="single" w:sz="4"/>
              <w:left w:val="single" w:sz="4"/>
            </w:tcBorders>
            <w:shd w:val="clear" w:color="auto" w:fill="FFFFFF"/>
            <w:vAlign w:val="bottom"/>
          </w:tcPr>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投资支付的现金</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648" w:vSpace="274" w:wrap="notBeside" w:vAnchor="text" w:hAnchor="text" w:y="1"/>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19,700,000.00</w:t>
            </w:r>
          </w:p>
        </w:tc>
        <w:tc>
          <w:tcPr>
            <w:tcBorders>
              <w:top w:val="single" w:sz="4"/>
              <w:left w:val="single" w:sz="4"/>
              <w:right w:val="single" w:sz="4"/>
            </w:tcBorders>
            <w:shd w:val="clear" w:color="auto" w:fill="FFFFFF"/>
            <w:vAlign w:val="bottom"/>
          </w:tcPr>
          <w:p>
            <w:pPr>
              <w:pStyle w:val="Style21"/>
              <w:keepNext w:val="0"/>
              <w:keepLines w:val="0"/>
              <w:framePr w:w="9322" w:h="12648" w:vSpace="274" w:wrap="notBeside" w:vAnchor="text" w:hAnchor="text" w:y="1"/>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14,400,000.00</w:t>
            </w:r>
          </w:p>
        </w:tc>
      </w:tr>
      <w:tr>
        <w:trPr>
          <w:trHeight w:val="562" w:hRule="exact"/>
        </w:trPr>
        <w:tc>
          <w:tcPr>
            <w:tcBorders>
              <w:top w:val="single" w:sz="4"/>
              <w:left w:val="single" w:sz="4"/>
            </w:tcBorders>
            <w:shd w:val="clear" w:color="auto" w:fill="FFFFFF"/>
            <w:vAlign w:val="bottom"/>
          </w:tcPr>
          <w:p>
            <w:pPr>
              <w:pStyle w:val="Style21"/>
              <w:keepNext w:val="0"/>
              <w:keepLines w:val="0"/>
              <w:framePr w:w="9322" w:h="12648" w:vSpace="274" w:wrap="notBeside" w:vAnchor="text" w:hAnchor="text" w:y="1"/>
              <w:widowControl w:val="0"/>
              <w:shd w:val="clear" w:color="auto" w:fill="auto"/>
              <w:bidi w:val="0"/>
              <w:spacing w:before="0" w:after="0" w:line="269"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648" w:vSpace="274"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74"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26,410,225.00</w:t>
            </w:r>
          </w:p>
        </w:tc>
        <w:tc>
          <w:tcPr>
            <w:tcBorders>
              <w:top w:val="single" w:sz="4"/>
              <w:left w:val="single" w:sz="4"/>
              <w:righ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167,367,816.67</w:t>
            </w:r>
          </w:p>
        </w:tc>
      </w:tr>
      <w:tr>
        <w:trPr>
          <w:trHeight w:val="557"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40" w:line="240" w:lineRule="auto"/>
              <w:ind w:left="0" w:right="0" w:firstLine="740"/>
              <w:jc w:val="both"/>
            </w:pPr>
            <w:r>
              <w:rPr>
                <w:color w:val="000000"/>
                <w:spacing w:val="0"/>
                <w:w w:val="100"/>
                <w:position w:val="0"/>
              </w:rPr>
              <w:t>投资活动现金流出</w:t>
            </w:r>
          </w:p>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46,153,233.54</w:t>
            </w:r>
          </w:p>
        </w:tc>
        <w:tc>
          <w:tcPr>
            <w:tcBorders>
              <w:top w:val="single" w:sz="4"/>
              <w:left w:val="single" w:sz="4"/>
              <w:righ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181,782,184.19</w:t>
            </w:r>
          </w:p>
        </w:tc>
      </w:tr>
      <w:tr>
        <w:trPr>
          <w:trHeight w:val="562"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960"/>
              <w:jc w:val="both"/>
            </w:pPr>
            <w:r>
              <w:rPr>
                <w:color w:val="000000"/>
                <w:spacing w:val="0"/>
                <w:w w:val="100"/>
                <w:position w:val="0"/>
              </w:rPr>
              <w:t>投资活动产生的</w:t>
            </w:r>
          </w:p>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274,215,310.18</w:t>
            </w:r>
          </w:p>
        </w:tc>
        <w:tc>
          <w:tcPr>
            <w:tcBorders>
              <w:top w:val="single" w:sz="4"/>
              <w:left w:val="single" w:sz="4"/>
              <w:righ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4,552,984.42</w:t>
            </w:r>
          </w:p>
        </w:tc>
      </w:tr>
      <w:tr>
        <w:trPr>
          <w:trHeight w:val="562"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74" w:lineRule="exact"/>
              <w:ind w:left="0" w:right="0" w:firstLine="0"/>
              <w:jc w:val="both"/>
            </w:pPr>
            <w:r>
              <w:rPr>
                <w:b/>
                <w:bCs/>
                <w:color w:val="000000"/>
                <w:spacing w:val="0"/>
                <w:w w:val="100"/>
                <w:position w:val="0"/>
              </w:rPr>
              <w:t>三、筹资活动产生的现金 流量：</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648" w:vSpace="274"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648"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framePr w:w="9322" w:h="12648"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200,000,000.00</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648" w:vSpace="274"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74"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24,000,000.00</w:t>
            </w:r>
          </w:p>
        </w:tc>
        <w:tc>
          <w:tcPr>
            <w:tcBorders>
              <w:top w:val="single" w:sz="4"/>
              <w:left w:val="single" w:sz="4"/>
              <w:righ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11,215,483.91</w:t>
            </w:r>
          </w:p>
        </w:tc>
      </w:tr>
      <w:tr>
        <w:trPr>
          <w:trHeight w:val="557"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74" w:lineRule="exact"/>
              <w:ind w:left="0" w:right="0" w:firstLine="740"/>
              <w:jc w:val="both"/>
            </w:pPr>
            <w:r>
              <w:rPr>
                <w:color w:val="000000"/>
                <w:spacing w:val="0"/>
                <w:w w:val="100"/>
                <w:position w:val="0"/>
              </w:rPr>
              <w:t>筹资活动现金流入 小计</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24,000,000.00</w:t>
            </w:r>
          </w:p>
        </w:tc>
        <w:tc>
          <w:tcPr>
            <w:tcBorders>
              <w:top w:val="single" w:sz="4"/>
              <w:left w:val="single" w:sz="4"/>
              <w:righ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211,215,483.91</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22" w:h="12648" w:vSpace="274"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170,000,000.00</w:t>
            </w:r>
          </w:p>
        </w:tc>
        <w:tc>
          <w:tcPr>
            <w:tcBorders>
              <w:top w:val="single" w:sz="4"/>
              <w:left w:val="single" w:sz="4"/>
              <w:right w:val="single" w:sz="4"/>
            </w:tcBorders>
            <w:shd w:val="clear" w:color="auto" w:fill="FFFFFF"/>
            <w:vAlign w:val="bottom"/>
          </w:tcPr>
          <w:p>
            <w:pPr>
              <w:pStyle w:val="Style21"/>
              <w:keepNext w:val="0"/>
              <w:keepLines w:val="0"/>
              <w:framePr w:w="9322" w:h="12648"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140,000,000.00</w:t>
            </w:r>
          </w:p>
        </w:tc>
      </w:tr>
      <w:tr>
        <w:trPr>
          <w:trHeight w:val="562"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74"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59,613,381.51</w:t>
            </w:r>
          </w:p>
        </w:tc>
        <w:tc>
          <w:tcPr>
            <w:tcBorders>
              <w:top w:val="single" w:sz="4"/>
              <w:left w:val="single" w:sz="4"/>
              <w:righ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54,262,466.49</w:t>
            </w:r>
          </w:p>
        </w:tc>
      </w:tr>
      <w:tr>
        <w:trPr>
          <w:trHeight w:val="557"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74" w:lineRule="exact"/>
              <w:ind w:left="0" w:right="0" w:firstLine="520"/>
              <w:jc w:val="both"/>
            </w:pPr>
            <w:r>
              <w:rPr>
                <w:color w:val="000000"/>
                <w:spacing w:val="0"/>
                <w:w w:val="100"/>
                <w:position w:val="0"/>
              </w:rPr>
              <w:t>支付其他与筹资活动 有关的现金</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4,411,718.01</w:t>
            </w:r>
          </w:p>
        </w:tc>
        <w:tc>
          <w:tcPr>
            <w:tcBorders>
              <w:top w:val="single" w:sz="4"/>
              <w:left w:val="single" w:sz="4"/>
              <w:righ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315,556.08</w:t>
            </w:r>
          </w:p>
        </w:tc>
      </w:tr>
      <w:tr>
        <w:trPr>
          <w:trHeight w:val="562"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740"/>
              <w:jc w:val="both"/>
            </w:pPr>
            <w:r>
              <w:rPr>
                <w:color w:val="000000"/>
                <w:spacing w:val="0"/>
                <w:w w:val="100"/>
                <w:position w:val="0"/>
              </w:rPr>
              <w:t>筹资活动现金流出</w:t>
            </w:r>
          </w:p>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234,025,099.52</w:t>
            </w:r>
          </w:p>
        </w:tc>
        <w:tc>
          <w:tcPr>
            <w:tcBorders>
              <w:top w:val="single" w:sz="4"/>
              <w:left w:val="single" w:sz="4"/>
              <w:righ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194,578,022.57</w:t>
            </w:r>
          </w:p>
        </w:tc>
      </w:tr>
      <w:tr>
        <w:trPr>
          <w:trHeight w:val="562"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960"/>
              <w:jc w:val="both"/>
            </w:pPr>
            <w:r>
              <w:rPr>
                <w:color w:val="000000"/>
                <w:spacing w:val="0"/>
                <w:w w:val="100"/>
                <w:position w:val="0"/>
              </w:rPr>
              <w:t>筹资活动产生的</w:t>
            </w:r>
          </w:p>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-210,025,099.52</w:t>
            </w:r>
          </w:p>
        </w:tc>
        <w:tc>
          <w:tcPr>
            <w:tcBorders>
              <w:top w:val="single" w:sz="4"/>
              <w:left w:val="single" w:sz="4"/>
              <w:righ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16,637,461.34</w:t>
            </w:r>
          </w:p>
        </w:tc>
      </w:tr>
      <w:tr>
        <w:trPr>
          <w:trHeight w:val="557"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648" w:vSpace="274"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54,698,776.02</w:t>
            </w:r>
          </w:p>
        </w:tc>
        <w:tc>
          <w:tcPr>
            <w:tcBorders>
              <w:top w:val="single" w:sz="4"/>
              <w:left w:val="single" w:sz="4"/>
              <w:righ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18,243,186.55</w:t>
            </w:r>
          </w:p>
        </w:tc>
      </w:tr>
      <w:tr>
        <w:trPr>
          <w:trHeight w:val="557" w:hRule="exact"/>
        </w:trPr>
        <w:tc>
          <w:tcPr>
            <w:tcBorders>
              <w:top w:val="single" w:sz="4"/>
              <w:left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74" w:lineRule="exact"/>
              <w:ind w:left="0" w:right="0" w:firstLine="520"/>
              <w:jc w:val="both"/>
            </w:pPr>
            <w:r>
              <w:rPr>
                <w:color w:val="000000"/>
                <w:spacing w:val="0"/>
                <w:w w:val="100"/>
                <w:position w:val="0"/>
              </w:rPr>
              <w:t>加：期初现金及现金 等价物余额</w:t>
            </w:r>
          </w:p>
        </w:tc>
        <w:tc>
          <w:tcPr>
            <w:tcBorders>
              <w:top w:val="single" w:sz="4"/>
              <w:left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135,253,282.90</w:t>
            </w:r>
          </w:p>
        </w:tc>
        <w:tc>
          <w:tcPr>
            <w:tcBorders>
              <w:top w:val="single" w:sz="4"/>
              <w:left w:val="single" w:sz="4"/>
              <w:righ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117,010,096.35</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framePr w:w="9322" w:h="12648" w:vSpace="274" w:wrap="notBeside" w:vAnchor="text" w:hAnchor="text" w:y="1"/>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framePr w:w="9322" w:h="12648" w:vSpace="274"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189,952,058.92</w:t>
            </w:r>
          </w:p>
        </w:tc>
        <w:tc>
          <w:tcPr>
            <w:tcBorders>
              <w:top w:val="single" w:sz="4"/>
              <w:left w:val="single" w:sz="4"/>
              <w:bottom w:val="single" w:sz="4"/>
              <w:right w:val="single" w:sz="4"/>
            </w:tcBorders>
            <w:shd w:val="clear" w:color="auto" w:fill="FFFFFF"/>
            <w:vAlign w:val="center"/>
          </w:tcPr>
          <w:p>
            <w:pPr>
              <w:pStyle w:val="Style21"/>
              <w:keepNext w:val="0"/>
              <w:keepLines w:val="0"/>
              <w:framePr w:w="9322" w:h="12648"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135,253,282.90</w:t>
            </w:r>
          </w:p>
        </w:tc>
      </w:tr>
    </w:tbl>
    <w:p>
      <w:pPr>
        <w:pStyle w:val="Style19"/>
        <w:keepNext w:val="0"/>
        <w:keepLines w:val="0"/>
        <w:framePr w:w="1906" w:h="259" w:hSpace="7416" w:wrap="notBeside" w:vAnchor="text" w:hAnchor="text" w:y="12654"/>
        <w:widowControl w:val="0"/>
        <w:shd w:val="clear" w:color="auto" w:fill="auto"/>
        <w:bidi w:val="0"/>
        <w:spacing w:before="0" w:after="0" w:line="240" w:lineRule="auto"/>
        <w:ind w:left="0" w:right="0" w:firstLine="0"/>
        <w:jc w:val="left"/>
      </w:pPr>
      <w:r>
        <w:rPr>
          <w:color w:val="000000"/>
          <w:spacing w:val="0"/>
          <w:w w:val="100"/>
          <w:position w:val="0"/>
        </w:rPr>
        <w:t>法定代表人：赵林中</w:t>
      </w:r>
    </w:p>
    <w:p>
      <w:pPr>
        <w:pStyle w:val="Style19"/>
        <w:keepNext w:val="0"/>
        <w:keepLines w:val="0"/>
        <w:framePr w:w="2525" w:h="264" w:hSpace="6797" w:wrap="notBeside" w:vAnchor="text" w:hAnchor="text" w:x="2924" w:y="12654"/>
        <w:widowControl w:val="0"/>
        <w:shd w:val="clear" w:color="auto" w:fill="auto"/>
        <w:bidi w:val="0"/>
        <w:spacing w:before="0" w:after="0" w:line="240" w:lineRule="auto"/>
        <w:ind w:left="0" w:right="0" w:firstLine="0"/>
        <w:jc w:val="center"/>
      </w:pPr>
      <w:r>
        <w:rPr>
          <w:color w:val="000000"/>
          <w:spacing w:val="0"/>
          <w:w w:val="100"/>
          <w:position w:val="0"/>
        </w:rPr>
        <w:t>主管会计工作负责人：王坚</w:t>
      </w:r>
    </w:p>
    <w:p>
      <w:pPr>
        <w:pStyle w:val="Style19"/>
        <w:keepNext w:val="0"/>
        <w:keepLines w:val="0"/>
        <w:framePr w:w="2117" w:h="269" w:hSpace="7205" w:wrap="notBeside" w:vAnchor="text" w:hAnchor="text" w:x="6567" w:y="12654"/>
        <w:widowControl w:val="0"/>
        <w:shd w:val="clear" w:color="auto" w:fill="auto"/>
        <w:bidi w:val="0"/>
        <w:spacing w:before="0" w:after="0" w:line="240" w:lineRule="auto"/>
        <w:ind w:left="0" w:right="0" w:firstLine="0"/>
        <w:jc w:val="center"/>
      </w:pPr>
      <w:r>
        <w:rPr>
          <w:color w:val="000000"/>
          <w:spacing w:val="0"/>
          <w:w w:val="100"/>
          <w:position w:val="0"/>
        </w:rPr>
        <w:t>会计机构负责人：王坚</w:t>
      </w:r>
    </w:p>
    <w:p>
      <w:pPr>
        <w:widowControl w:val="0"/>
        <w:spacing w:line="1" w:lineRule="exact"/>
        <w:sectPr>
          <w:footnotePr>
            <w:pos w:val="pageBottom"/>
            <w:numFmt w:val="decimal"/>
            <w:numRestart w:val="continuous"/>
          </w:footnotePr>
          <w:pgSz w:w="12240" w:h="15840"/>
          <w:pgMar w:top="1440" w:right="1138" w:bottom="1464" w:left="1781" w:header="0" w:footer="3" w:gutter="0"/>
          <w:cols w:space="720"/>
          <w:noEndnote/>
          <w:rtlGutter w:val="0"/>
          <w:docGrid w:linePitch="360"/>
        </w:sectPr>
      </w:pPr>
    </w:p>
    <w:p>
      <w:pPr>
        <w:pStyle w:val="Style13"/>
        <w:keepNext w:val="0"/>
        <w:keepLines w:val="0"/>
        <w:widowControl w:val="0"/>
        <w:shd w:val="clear" w:color="auto" w:fill="auto"/>
        <w:bidi w:val="0"/>
        <w:spacing w:before="0" w:after="0" w:line="250" w:lineRule="exact"/>
        <w:ind w:left="0" w:right="0" w:firstLine="0"/>
        <w:jc w:val="center"/>
      </w:pPr>
      <w:r>
        <w:rPr>
          <w:b/>
          <w:bCs/>
          <w:color w:val="000000"/>
          <w:spacing w:val="0"/>
          <w:w w:val="100"/>
          <w:position w:val="0"/>
        </w:rPr>
        <w:t>合并所有者权益变动表</w:t>
        <w:br/>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p>
      <w:pPr>
        <w:pStyle w:val="Style13"/>
        <w:keepNext w:val="0"/>
        <w:keepLines w:val="0"/>
        <w:widowControl w:val="0"/>
        <w:shd w:val="clear" w:color="auto" w:fill="auto"/>
        <w:bidi w:val="0"/>
        <w:spacing w:before="0" w:after="0" w:line="240" w:lineRule="auto"/>
        <w:ind w:left="1048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382"/>
        <w:gridCol w:w="1339"/>
        <w:gridCol w:w="1262"/>
        <w:gridCol w:w="538"/>
        <w:gridCol w:w="538"/>
        <w:gridCol w:w="1440"/>
        <w:gridCol w:w="720"/>
        <w:gridCol w:w="1440"/>
        <w:gridCol w:w="720"/>
        <w:gridCol w:w="1800"/>
        <w:gridCol w:w="2170"/>
      </w:tblGrid>
      <w:tr>
        <w:trPr>
          <w:trHeight w:val="23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本期金额</w:t>
            </w:r>
          </w:p>
        </w:tc>
      </w:tr>
      <w:tr>
        <w:trPr>
          <w:trHeight w:val="221"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所有者权益合计</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实收资本（或股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减： 库存</w:t>
            </w:r>
          </w:p>
          <w:p>
            <w:pPr>
              <w:pStyle w:val="Style21"/>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专项 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一般风 险准备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―、上年年末余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182,878,488.00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158,730,921.96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50,538,757.49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197,521,745.93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231,761,935.61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821,431,848.99</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520"/>
              <w:jc w:val="both"/>
              <w:rPr>
                <w:sz w:val="15"/>
                <w:szCs w:val="15"/>
              </w:rPr>
            </w:pPr>
            <w:r>
              <w:rPr>
                <w:color w:val="000000"/>
                <w:spacing w:val="0"/>
                <w:w w:val="100"/>
                <w:position w:val="0"/>
                <w:sz w:val="15"/>
                <w:szCs w:val="15"/>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前期</w:t>
            </w:r>
          </w:p>
          <w:p>
            <w:pPr>
              <w:pStyle w:val="Style2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二、本年年初余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182,878,488.00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158,730,921.96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50,538,757.49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197,521,745.93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231,761,935.61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821,431,848.99</w:t>
            </w:r>
          </w:p>
        </w:tc>
      </w:tr>
      <w:tr>
        <w:trPr>
          <w:trHeight w:val="6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三、本期增减变 动金额（减少以</w:t>
            </w:r>
          </w:p>
          <w:p>
            <w:pPr>
              <w:pStyle w:val="Style2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219,465,229.75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7,626,086.98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47,455,257.34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46,175,536.17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320,722,110.24</w:t>
            </w:r>
          </w:p>
        </w:tc>
      </w:tr>
      <w:tr>
        <w:trPr>
          <w:trHeight w:val="2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122,469,826.80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66,908,860.15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189,378,686.95</w:t>
            </w:r>
          </w:p>
        </w:tc>
      </w:tr>
      <w:tr>
        <w:trPr>
          <w:trHeight w:val="4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（二）其他综合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219,413,167.25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219,413,167.25</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5"/>
                <w:szCs w:val="15"/>
              </w:rPr>
            </w:pPr>
            <w:r>
              <w:rPr>
                <w:color w:val="000000"/>
                <w:spacing w:val="0"/>
                <w:w w:val="100"/>
                <w:position w:val="0"/>
                <w:sz w:val="15"/>
                <w:szCs w:val="15"/>
              </w:rPr>
              <w:t>上述（一）和（二）</w:t>
            </w:r>
          </w:p>
          <w:p>
            <w:pPr>
              <w:pStyle w:val="Style2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219,413,167.25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122,469,826.80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66,908,860.15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408,791,854.20</w:t>
            </w:r>
          </w:p>
        </w:tc>
      </w:tr>
      <w:tr>
        <w:trPr>
          <w:trHeight w:val="4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（三）所有者投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0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w:t>
            </w:r>
            <w:r>
              <w:rPr>
                <w:color w:val="000000"/>
                <w:spacing w:val="0"/>
                <w:w w:val="100"/>
                <w:position w:val="0"/>
                <w:sz w:val="15"/>
                <w:szCs w:val="15"/>
              </w:rPr>
              <w:t>所有者投入资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w:t>
            </w:r>
            <w:r>
              <w:rPr>
                <w:color w:val="000000"/>
                <w:spacing w:val="0"/>
                <w:w w:val="100"/>
                <w:position w:val="0"/>
                <w:sz w:val="15"/>
                <w:szCs w:val="15"/>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7,626,086.98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-75,014,569.46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-20,733,323.98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-88,121,806.46</w:t>
            </w:r>
          </w:p>
        </w:tc>
      </w:tr>
      <w:tr>
        <w:trPr>
          <w:trHeight w:val="2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7,626,086.98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-7,626,086.98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w:t>
            </w:r>
            <w:r>
              <w:rPr>
                <w:color w:val="000000"/>
                <w:spacing w:val="0"/>
                <w:w w:val="100"/>
                <w:position w:val="0"/>
                <w:sz w:val="15"/>
                <w:szCs w:val="15"/>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0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w:t>
            </w:r>
            <w:r>
              <w:rPr>
                <w:color w:val="000000"/>
                <w:spacing w:val="0"/>
                <w:w w:val="100"/>
                <w:position w:val="0"/>
                <w:sz w:val="15"/>
                <w:szCs w:val="15"/>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-54,863,546.40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-20,733,323.98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-75,596,870.38</w:t>
            </w:r>
          </w:p>
        </w:tc>
      </w:tr>
    </w:tbl>
    <w:p>
      <w:pPr>
        <w:spacing w:lineRule="exact" w:line="1"/>
        <w:rPr>
          <w:sz w:val="2"/>
          <w:szCs w:val="2"/>
        </w:rPr>
      </w:pPr>
      <w:r>
        <w:br w:type="page"/>
      </w:r>
    </w:p>
    <w:tbl>
      <w:tblPr>
        <w:tblOverlap w:val="never"/>
        <w:jc w:val="center"/>
        <w:tblLayout w:type="fixed"/>
      </w:tblPr>
      <w:tblGrid>
        <w:gridCol w:w="1382"/>
        <w:gridCol w:w="1339"/>
        <w:gridCol w:w="1262"/>
        <w:gridCol w:w="538"/>
        <w:gridCol w:w="538"/>
        <w:gridCol w:w="1440"/>
        <w:gridCol w:w="720"/>
        <w:gridCol w:w="1440"/>
        <w:gridCol w:w="720"/>
        <w:gridCol w:w="1800"/>
        <w:gridCol w:w="2170"/>
      </w:tblGrid>
      <w:tr>
        <w:trPr>
          <w:trHeight w:val="2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-12,524,936.08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-12,524,936.08</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（五）所有者权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w:t>
            </w:r>
            <w:r>
              <w:rPr>
                <w:color w:val="000000"/>
                <w:spacing w:val="0"/>
                <w:w w:val="100"/>
                <w:position w:val="0"/>
                <w:sz w:val="15"/>
                <w:szCs w:val="15"/>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52,062.50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52,062.50</w:t>
            </w:r>
          </w:p>
        </w:tc>
      </w:tr>
      <w:tr>
        <w:trPr>
          <w:trHeight w:val="4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182,878,488.00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378,196,151.71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58,164,844.47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244,977,003.27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277,937,471.78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1,142,153,959.23</w:t>
            </w:r>
          </w:p>
        </w:tc>
      </w:tr>
    </w:tbl>
    <w:p>
      <w:pPr>
        <w:widowControl w:val="0"/>
        <w:spacing w:after="199" w:line="1" w:lineRule="exact"/>
      </w:pPr>
    </w:p>
    <w:p>
      <w:pPr>
        <w:pStyle w:val="Style19"/>
        <w:keepNext w:val="0"/>
        <w:keepLines w:val="0"/>
        <w:widowControl w:val="0"/>
        <w:shd w:val="clear" w:color="auto" w:fill="auto"/>
        <w:bidi w:val="0"/>
        <w:spacing w:before="0" w:after="0" w:line="240" w:lineRule="auto"/>
        <w:ind w:left="11510" w:right="0" w:firstLine="0"/>
        <w:jc w:val="left"/>
        <w:rPr>
          <w:sz w:val="15"/>
          <w:szCs w:val="15"/>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元币种</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人民币</w:t>
      </w:r>
    </w:p>
    <w:tbl>
      <w:tblPr>
        <w:tblOverlap w:val="never"/>
        <w:jc w:val="center"/>
        <w:tblLayout w:type="fixed"/>
      </w:tblPr>
      <w:tblGrid>
        <w:gridCol w:w="1373"/>
        <w:gridCol w:w="1219"/>
        <w:gridCol w:w="1224"/>
        <w:gridCol w:w="1080"/>
        <w:gridCol w:w="1080"/>
        <w:gridCol w:w="1138"/>
        <w:gridCol w:w="1080"/>
        <w:gridCol w:w="1219"/>
        <w:gridCol w:w="1224"/>
        <w:gridCol w:w="1440"/>
        <w:gridCol w:w="1632"/>
      </w:tblGrid>
      <w:tr>
        <w:trPr>
          <w:trHeight w:val="23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上年同期金额</w:t>
            </w:r>
          </w:p>
        </w:tc>
      </w:tr>
      <w:tr>
        <w:trPr>
          <w:trHeight w:val="221"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所有者权益合计</w:t>
            </w:r>
          </w:p>
        </w:tc>
      </w:tr>
      <w:tr>
        <w:trPr>
          <w:trHeight w:val="4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实收资本（或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一般风险准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―、上年年末余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140,675,760.00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205,574,739.28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42,180,925.76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129,054,655.75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193,108,030.73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710,594,111.52</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5"/>
                <w:szCs w:val="15"/>
              </w:rPr>
            </w:pPr>
            <w:r>
              <w:rPr>
                <w:color w:val="000000"/>
                <w:spacing w:val="0"/>
                <w:w w:val="100"/>
                <w:position w:val="0"/>
                <w:sz w:val="15"/>
                <w:szCs w:val="15"/>
              </w:rPr>
              <w:t>加：</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5"/>
                <w:szCs w:val="15"/>
              </w:rPr>
            </w:pPr>
            <w:r>
              <w:rPr>
                <w:color w:val="000000"/>
                <w:spacing w:val="0"/>
                <w:w w:val="100"/>
                <w:position w:val="0"/>
                <w:sz w:val="15"/>
                <w:szCs w:val="15"/>
              </w:rPr>
              <w:t>前期</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二、本年年初余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140,675,760.00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205,574,739.28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42,180,925.76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129,054,655.75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193,108,030.73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710,594,111.52</w:t>
            </w:r>
          </w:p>
        </w:tc>
      </w:tr>
      <w:tr>
        <w:trPr>
          <w:trHeight w:val="6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三、本期增减变 动金额（减少以</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42,202,728.00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-46,843,817.32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8,357,831.73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68,467,090.18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38,653,904.88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110,837,737.47</w:t>
            </w:r>
          </w:p>
        </w:tc>
      </w:tr>
      <w:tr>
        <w:trPr>
          <w:trHeight w:val="2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127,201,501.91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56,346,775.70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183,548,277.61</w:t>
            </w:r>
          </w:p>
        </w:tc>
      </w:tr>
      <w:tr>
        <w:trPr>
          <w:trHeight w:val="4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（二）其他综合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-5,318,400.00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-5,318,400.00</w:t>
            </w:r>
          </w:p>
        </w:tc>
      </w:tr>
      <w:tr>
        <w:trPr>
          <w:trHeight w:val="4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上述（一）和（二）</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-5,318,400.00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127,201,501.91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56,346,775.70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178,229,877.61</w:t>
            </w:r>
          </w:p>
        </w:tc>
      </w:tr>
    </w:tbl>
    <w:p>
      <w:pPr>
        <w:spacing w:lineRule="exact" w:line="1"/>
        <w:rPr>
          <w:sz w:val="2"/>
          <w:szCs w:val="2"/>
        </w:rPr>
      </w:pPr>
      <w:r>
        <w:br w:type="page"/>
      </w:r>
    </w:p>
    <w:tbl>
      <w:tblPr>
        <w:tblOverlap w:val="never"/>
        <w:jc w:val="center"/>
        <w:tblLayout w:type="fixed"/>
      </w:tblPr>
      <w:tblGrid>
        <w:gridCol w:w="1373"/>
        <w:gridCol w:w="1219"/>
        <w:gridCol w:w="1224"/>
        <w:gridCol w:w="1080"/>
        <w:gridCol w:w="1080"/>
        <w:gridCol w:w="1138"/>
        <w:gridCol w:w="1080"/>
        <w:gridCol w:w="1219"/>
        <w:gridCol w:w="1224"/>
        <w:gridCol w:w="1440"/>
        <w:gridCol w:w="1632"/>
      </w:tblGrid>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（三）所有者投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11"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.所有者投入资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4"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w:t>
            </w:r>
            <w:r>
              <w:rPr>
                <w:color w:val="000000"/>
                <w:spacing w:val="0"/>
                <w:w w:val="100"/>
                <w:position w:val="0"/>
                <w:sz w:val="15"/>
                <w:szCs w:val="15"/>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8,357,831.73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-58,734,411.73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-17,692,870.82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-68,069,450.82</w:t>
            </w:r>
          </w:p>
        </w:tc>
      </w:tr>
      <w:tr>
        <w:trPr>
          <w:trHeight w:val="22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8,357,831.73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-8,357,831.73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w:t>
            </w:r>
            <w:r>
              <w:rPr>
                <w:color w:val="000000"/>
                <w:spacing w:val="0"/>
                <w:w w:val="100"/>
                <w:position w:val="0"/>
                <w:sz w:val="15"/>
                <w:szCs w:val="15"/>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w:t>
            </w:r>
            <w:r>
              <w:rPr>
                <w:color w:val="000000"/>
                <w:spacing w:val="0"/>
                <w:w w:val="100"/>
                <w:position w:val="0"/>
                <w:sz w:val="15"/>
                <w:szCs w:val="15"/>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-42,202,728.00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-17,692,870.82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-59,895,598.82</w:t>
            </w:r>
          </w:p>
        </w:tc>
      </w:tr>
      <w:tr>
        <w:trPr>
          <w:trHeight w:val="2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-8,173,852.00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-8,173,852.00</w:t>
            </w:r>
          </w:p>
        </w:tc>
      </w:tr>
      <w:tr>
        <w:trPr>
          <w:trHeight w:val="4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（五）所有者权 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42,202,728.00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-42,202,728.00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w:t>
            </w:r>
            <w:r>
              <w:rPr>
                <w:color w:val="000000"/>
                <w:spacing w:val="0"/>
                <w:w w:val="100"/>
                <w:position w:val="0"/>
                <w:sz w:val="15"/>
                <w:szCs w:val="15"/>
              </w:rPr>
              <w:t>资本公积转增 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42,202,728.00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-42,202,728.00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1"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w:t>
            </w:r>
            <w:r>
              <w:rPr>
                <w:color w:val="000000"/>
                <w:spacing w:val="0"/>
                <w:w w:val="100"/>
                <w:position w:val="0"/>
                <w:sz w:val="15"/>
                <w:szCs w:val="15"/>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w:t>
            </w:r>
            <w:r>
              <w:rPr>
                <w:color w:val="000000"/>
                <w:spacing w:val="0"/>
                <w:w w:val="100"/>
                <w:position w:val="0"/>
                <w:sz w:val="15"/>
                <w:szCs w:val="15"/>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677,310.68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677,310.68</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182,878,488.00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158,730,921.96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50,538,757.49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197,521,745.93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231,761,935.61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821,431,848.99</w:t>
            </w:r>
          </w:p>
        </w:tc>
      </w:tr>
    </w:tbl>
    <w:p>
      <w:pPr>
        <w:sectPr>
          <w:headerReference w:type="default" r:id="rId17"/>
          <w:footerReference w:type="default" r:id="rId18"/>
          <w:footnotePr>
            <w:pos w:val="pageBottom"/>
            <w:numFmt w:val="decimal"/>
            <w:numRestart w:val="continuous"/>
          </w:footnotePr>
          <w:pgSz w:w="15840" w:h="12240" w:orient="landscape"/>
          <w:pgMar w:top="1795" w:right="771" w:bottom="1838" w:left="1361" w:header="0" w:footer="3" w:gutter="0"/>
          <w:cols w:space="720"/>
          <w:noEndnote/>
          <w:rtlGutter w:val="0"/>
          <w:docGrid w:linePitch="360"/>
        </w:sectPr>
      </w:pPr>
    </w:p>
    <w:p>
      <w:pPr>
        <w:pStyle w:val="Style13"/>
        <w:keepNext w:val="0"/>
        <w:keepLines w:val="0"/>
        <w:framePr w:w="1930" w:h="264" w:wrap="none" w:vAnchor="text" w:hAnchor="page" w:x="1362" w:y="21"/>
        <w:widowControl w:val="0"/>
        <w:shd w:val="clear" w:color="auto" w:fill="auto"/>
        <w:bidi w:val="0"/>
        <w:spacing w:before="0" w:after="0" w:line="240" w:lineRule="auto"/>
        <w:ind w:left="0" w:right="0" w:firstLine="0"/>
        <w:jc w:val="left"/>
      </w:pPr>
      <w:r>
        <w:rPr>
          <w:color w:val="000000"/>
          <w:spacing w:val="0"/>
          <w:w w:val="100"/>
          <w:position w:val="0"/>
        </w:rPr>
        <w:t>法定代表人：赵林中</w:t>
      </w:r>
    </w:p>
    <w:p>
      <w:pPr>
        <w:pStyle w:val="Style13"/>
        <w:keepNext w:val="0"/>
        <w:keepLines w:val="0"/>
        <w:framePr w:w="2554" w:h="264" w:wrap="none" w:vAnchor="text" w:hAnchor="page" w:x="4621" w:y="21"/>
        <w:widowControl w:val="0"/>
        <w:shd w:val="clear" w:color="auto" w:fill="auto"/>
        <w:bidi w:val="0"/>
        <w:spacing w:before="0" w:after="0" w:line="240" w:lineRule="auto"/>
        <w:ind w:left="0" w:right="0" w:firstLine="0"/>
        <w:jc w:val="left"/>
      </w:pPr>
      <w:r>
        <w:rPr>
          <w:color w:val="000000"/>
          <w:spacing w:val="0"/>
          <w:w w:val="100"/>
          <w:position w:val="0"/>
        </w:rPr>
        <w:t>主管会计工作负责人：王坚</w:t>
      </w:r>
    </w:p>
    <w:p>
      <w:pPr>
        <w:pStyle w:val="Style13"/>
        <w:keepNext w:val="0"/>
        <w:keepLines w:val="0"/>
        <w:framePr w:w="2141" w:h="269" w:wrap="none" w:vAnchor="text" w:hAnchor="page" w:x="10285" w:y="21"/>
        <w:widowControl w:val="0"/>
        <w:shd w:val="clear" w:color="auto" w:fill="auto"/>
        <w:bidi w:val="0"/>
        <w:spacing w:before="0" w:after="0" w:line="240" w:lineRule="auto"/>
        <w:ind w:left="0" w:right="0" w:firstLine="0"/>
        <w:jc w:val="left"/>
      </w:pPr>
      <w:r>
        <w:rPr>
          <w:color w:val="000000"/>
          <w:spacing w:val="0"/>
          <w:w w:val="100"/>
          <w:position w:val="0"/>
        </w:rPr>
        <w:t>会计机构负责人：王坚</w:t>
      </w:r>
    </w:p>
    <w:p>
      <w:pPr>
        <w:widowControl w:val="0"/>
        <w:spacing w:after="268" w:line="1" w:lineRule="exact"/>
      </w:pPr>
    </w:p>
    <w:p>
      <w:pPr>
        <w:widowControl w:val="0"/>
        <w:spacing w:line="1" w:lineRule="exact"/>
        <w:sectPr>
          <w:footnotePr>
            <w:pos w:val="pageBottom"/>
            <w:numFmt w:val="decimal"/>
            <w:numRestart w:val="continuous"/>
          </w:footnotePr>
          <w:type w:val="continuous"/>
          <w:pgSz w:w="15840" w:h="12240" w:orient="landscape"/>
          <w:pgMar w:top="1022" w:right="711" w:bottom="988" w:left="1421" w:header="0" w:footer="3" w:gutter="0"/>
          <w:cols w:space="720"/>
          <w:noEndnote/>
          <w:rtlGutter w:val="0"/>
          <w:docGrid w:linePitch="360"/>
        </w:sectPr>
      </w:pPr>
    </w:p>
    <w:p>
      <w:pPr>
        <w:pStyle w:val="Style13"/>
        <w:keepNext w:val="0"/>
        <w:keepLines w:val="0"/>
        <w:widowControl w:val="0"/>
        <w:shd w:val="clear" w:color="auto" w:fill="auto"/>
        <w:bidi w:val="0"/>
        <w:spacing w:before="0" w:after="0" w:line="240" w:lineRule="auto"/>
        <w:ind w:left="5340" w:right="0" w:firstLine="0"/>
        <w:jc w:val="left"/>
      </w:pPr>
      <w:r>
        <w:rPr>
          <w:b/>
          <w:bCs/>
          <w:color w:val="000000"/>
          <w:spacing w:val="0"/>
          <w:w w:val="100"/>
          <w:position w:val="0"/>
        </w:rPr>
        <w:t>母公司所有者权益变动表</w:t>
      </w:r>
    </w:p>
    <w:p>
      <w:pPr>
        <w:pStyle w:val="Style25"/>
        <w:keepNext w:val="0"/>
        <w:keepLines w:val="0"/>
        <w:widowControl w:val="0"/>
        <w:shd w:val="clear" w:color="auto" w:fill="auto"/>
        <w:bidi w:val="0"/>
        <w:spacing w:before="0" w:after="0" w:line="240" w:lineRule="auto"/>
        <w:ind w:left="586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12</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90"/>
        <w:gridCol w:w="1526"/>
        <w:gridCol w:w="1531"/>
        <w:gridCol w:w="850"/>
        <w:gridCol w:w="744"/>
        <w:gridCol w:w="1421"/>
        <w:gridCol w:w="854"/>
        <w:gridCol w:w="1526"/>
        <w:gridCol w:w="1656"/>
      </w:tblGrid>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53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减：库 存股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160" w:right="0" w:firstLine="0"/>
              <w:jc w:val="left"/>
            </w:pPr>
            <w:r>
              <w:rPr>
                <w:color w:val="000000"/>
                <w:spacing w:val="0"/>
                <w:w w:val="100"/>
                <w:position w:val="0"/>
              </w:rPr>
              <w:t>专项 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一般风 险准备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未分配利润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所有者权益合 计</w:t>
            </w:r>
          </w:p>
        </w:tc>
      </w:tr>
      <w:tr>
        <w:trPr>
          <w:trHeight w:val="53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一、上年 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182,878,488.00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154,977,858.01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50,538,757.49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131,545,605.47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519,940,708.97</w:t>
            </w:r>
          </w:p>
        </w:tc>
      </w:tr>
      <w:tr>
        <w:trPr>
          <w:trHeight w:val="79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640"/>
              <w:jc w:val="both"/>
            </w:pPr>
            <w:r>
              <w:rPr>
                <w:color w:val="000000"/>
                <w:spacing w:val="0"/>
                <w:w w:val="100"/>
                <w:position w:val="0"/>
              </w:rPr>
              <w:t>加：</w:t>
            </w:r>
          </w:p>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二、本年 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182,878,488.00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154,977,858.01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50,538,757.49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131,545,605.47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519,940,708.97</w:t>
            </w:r>
          </w:p>
        </w:tc>
      </w:tr>
      <w:tr>
        <w:trPr>
          <w:trHeight w:val="13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三、本期 增减变动 金额（减 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219,465,229.75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7,626,086.98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13,771,236.45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240,862,553.18</w:t>
            </w: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（一）净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76,260,869.83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76,260,869.83</w:t>
            </w:r>
          </w:p>
        </w:tc>
      </w:tr>
      <w:tr>
        <w:trPr>
          <w:trHeight w:val="79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（二）其 他综合收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219,413,167.25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219,413,167.25</w:t>
            </w:r>
          </w:p>
        </w:tc>
      </w:tr>
      <w:tr>
        <w:trPr>
          <w:trHeight w:val="79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exact"/>
              <w:ind w:left="0" w:right="0" w:firstLine="0"/>
              <w:jc w:val="left"/>
            </w:pPr>
            <w:r>
              <w:rPr>
                <w:color w:val="000000"/>
                <w:spacing w:val="0"/>
                <w:w w:val="100"/>
                <w:position w:val="0"/>
              </w:rPr>
              <w:t>上述（一） 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219,413,167.25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76,260,869.83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295,674,037.08</w:t>
            </w:r>
          </w:p>
        </w:tc>
      </w:tr>
      <w:tr>
        <w:trPr>
          <w:trHeight w:val="28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90"/>
        <w:gridCol w:w="1526"/>
        <w:gridCol w:w="1531"/>
        <w:gridCol w:w="850"/>
        <w:gridCol w:w="744"/>
        <w:gridCol w:w="1421"/>
        <w:gridCol w:w="854"/>
        <w:gridCol w:w="1526"/>
        <w:gridCol w:w="1656"/>
      </w:tblGrid>
      <w:tr>
        <w:trPr>
          <w:trHeight w:val="80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（四）利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7,626,086.98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-62,489,633.38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-54,863,546.40</w:t>
            </w: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7,626,086.98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-7,626,086.98</w:t>
            </w: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1"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-54,863,546.40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-54,863,546.40</w:t>
            </w:r>
          </w:p>
        </w:tc>
      </w:tr>
      <w:tr>
        <w:trPr>
          <w:trHeight w:val="2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（五）所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 积转增资 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90"/>
        <w:gridCol w:w="1526"/>
        <w:gridCol w:w="1531"/>
        <w:gridCol w:w="850"/>
        <w:gridCol w:w="744"/>
        <w:gridCol w:w="1421"/>
        <w:gridCol w:w="854"/>
        <w:gridCol w:w="1526"/>
        <w:gridCol w:w="1656"/>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（六）专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（七）其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52,062.50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52,062.50</w:t>
            </w:r>
          </w:p>
        </w:tc>
      </w:tr>
      <w:tr>
        <w:trPr>
          <w:trHeight w:val="54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四、本期 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182,878,488.00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374,443,087.76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58,164,844.47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145,316,841.92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760,803,262.15</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p>
      <w:pPr>
        <w:widowControl w:val="0"/>
        <w:spacing w:line="1" w:lineRule="exact"/>
      </w:pPr>
    </w:p>
    <w:tbl>
      <w:tblPr>
        <w:tblOverlap w:val="never"/>
        <w:jc w:val="center"/>
        <w:tblLayout w:type="fixed"/>
      </w:tblPr>
      <w:tblGrid>
        <w:gridCol w:w="1085"/>
        <w:gridCol w:w="1531"/>
        <w:gridCol w:w="1526"/>
        <w:gridCol w:w="850"/>
        <w:gridCol w:w="739"/>
        <w:gridCol w:w="1426"/>
        <w:gridCol w:w="845"/>
        <w:gridCol w:w="1531"/>
        <w:gridCol w:w="1646"/>
      </w:tblGrid>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5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减：库 存股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140" w:right="0" w:firstLine="0"/>
              <w:jc w:val="left"/>
            </w:pPr>
            <w:r>
              <w:rPr>
                <w:color w:val="000000"/>
                <w:spacing w:val="0"/>
                <w:w w:val="100"/>
                <w:position w:val="0"/>
              </w:rPr>
              <w:t>专项 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一般风 险准备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未分配利润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所有者权益合 计</w:t>
            </w: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一、上年 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140,675,760.00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202,280,814.38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42,180,925.76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98,527,847.95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483,665,348.09</w:t>
            </w:r>
          </w:p>
        </w:tc>
      </w:tr>
      <w:tr>
        <w:trPr>
          <w:trHeight w:val="79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640"/>
              <w:jc w:val="left"/>
            </w:pPr>
            <w:r>
              <w:rPr>
                <w:color w:val="000000"/>
                <w:spacing w:val="0"/>
                <w:w w:val="100"/>
                <w:position w:val="0"/>
              </w:rPr>
              <w:t>加：</w:t>
            </w:r>
          </w:p>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二、本年 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140,675,760.00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202,280,814.38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42,180,925.76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98,527,847.95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483,665,348.09</w:t>
            </w:r>
          </w:p>
        </w:tc>
      </w:tr>
      <w:tr>
        <w:trPr>
          <w:trHeight w:val="28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42,202,728.00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-47,302,956.37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8,357,831.73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33,017,757.52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36,275,360.88</w:t>
            </w:r>
          </w:p>
        </w:tc>
      </w:tr>
    </w:tbl>
    <w:p>
      <w:pPr>
        <w:widowControl w:val="0"/>
        <w:spacing w:line="1" w:lineRule="exact"/>
      </w:pPr>
      <w:r>
        <w:br w:type="page"/>
      </w:r>
    </w:p>
    <w:tbl>
      <w:tblPr>
        <w:tblOverlap w:val="never"/>
        <w:jc w:val="center"/>
        <w:tblLayout w:type="fixed"/>
      </w:tblPr>
      <w:tblGrid>
        <w:gridCol w:w="1085"/>
        <w:gridCol w:w="1531"/>
        <w:gridCol w:w="1526"/>
        <w:gridCol w:w="850"/>
        <w:gridCol w:w="739"/>
        <w:gridCol w:w="1426"/>
        <w:gridCol w:w="845"/>
        <w:gridCol w:w="1531"/>
        <w:gridCol w:w="1646"/>
      </w:tblGrid>
      <w:tr>
        <w:trPr>
          <w:trHeight w:val="10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增减变动 金额（减 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（一）净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83,578,317.25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83,578,317.25</w:t>
            </w:r>
          </w:p>
        </w:tc>
      </w:tr>
      <w:tr>
        <w:trPr>
          <w:trHeight w:val="79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（二）其 他综合收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-5,318,400.00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-5,318,400.00</w:t>
            </w:r>
          </w:p>
        </w:tc>
      </w:tr>
      <w:tr>
        <w:trPr>
          <w:trHeight w:val="79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exact"/>
              <w:ind w:left="0" w:right="0" w:firstLine="0"/>
              <w:jc w:val="both"/>
            </w:pPr>
            <w:r>
              <w:rPr>
                <w:color w:val="000000"/>
                <w:spacing w:val="0"/>
                <w:w w:val="100"/>
                <w:position w:val="0"/>
              </w:rPr>
              <w:t>上述（一） 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-5,318,400.00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83,578,317.25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78,259,917.25</w:t>
            </w:r>
          </w:p>
        </w:tc>
      </w:tr>
      <w:tr>
        <w:trPr>
          <w:trHeight w:val="105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1" w:lineRule="exact"/>
              <w:ind w:left="0" w:right="0" w:firstLine="0"/>
              <w:jc w:val="both"/>
            </w:pPr>
            <w:r>
              <w:rPr>
                <w:color w:val="000000"/>
                <w:spacing w:val="0"/>
                <w:w w:val="100"/>
                <w:position w:val="0"/>
              </w:rPr>
              <w:t>（三）所 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（四）利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8,357,831.73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-50,560,559.73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-42,202,728.00</w:t>
            </w:r>
          </w:p>
        </w:tc>
      </w:tr>
      <w:tr>
        <w:trPr>
          <w:trHeight w:val="53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8,357,831.73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-8,357,831.73</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 者（或股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-42,202,728.00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-42,202,728.00</w:t>
            </w:r>
          </w:p>
        </w:tc>
      </w:tr>
    </w:tbl>
    <w:p>
      <w:pPr>
        <w:widowControl w:val="0"/>
        <w:spacing w:line="1" w:lineRule="exact"/>
      </w:pPr>
      <w:r>
        <w:br w:type="page"/>
      </w:r>
    </w:p>
    <w:tbl>
      <w:tblPr>
        <w:tblOverlap w:val="never"/>
        <w:jc w:val="left"/>
        <w:tblLayout w:type="fixed"/>
      </w:tblPr>
      <w:tblGrid>
        <w:gridCol w:w="1085"/>
        <w:gridCol w:w="1531"/>
        <w:gridCol w:w="1526"/>
        <w:gridCol w:w="850"/>
        <w:gridCol w:w="739"/>
        <w:gridCol w:w="1426"/>
        <w:gridCol w:w="845"/>
        <w:gridCol w:w="1531"/>
        <w:gridCol w:w="1646"/>
      </w:tblGrid>
      <w:tr>
        <w:trPr>
          <w:trHeight w:val="542" w:hRule="exact"/>
        </w:trPr>
        <w:tc>
          <w:tcPr>
            <w:tcBorders>
              <w:top w:val="single" w:sz="4"/>
              <w:left w:val="single" w:sz="4"/>
            </w:tcBorders>
            <w:shd w:val="clear" w:color="auto" w:fill="FFFFFF"/>
            <w:vAlign w:val="bottom"/>
          </w:tcPr>
          <w:p>
            <w:pPr>
              <w:pStyle w:val="Style21"/>
              <w:keepNext w:val="0"/>
              <w:keepLines w:val="0"/>
              <w:framePr w:w="11179" w:h="7478" w:vSpace="274" w:wrap="notBeside" w:vAnchor="text" w:hAnchor="text" w:x="10" w:y="1"/>
              <w:widowControl w:val="0"/>
              <w:shd w:val="clear" w:color="auto" w:fill="auto"/>
              <w:bidi w:val="0"/>
              <w:spacing w:before="0" w:after="0" w:line="254" w:lineRule="exact"/>
              <w:ind w:left="0" w:right="0" w:firstLine="0"/>
              <w:jc w:val="both"/>
            </w:pPr>
            <w:r>
              <w:rPr>
                <w:color w:val="000000"/>
                <w:spacing w:val="0"/>
                <w:w w:val="100"/>
                <w:position w:val="0"/>
              </w:rPr>
              <w:t>东）的分 配</w:t>
            </w: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1179" w:h="7478" w:vSpace="274" w:wrap="notBeside" w:vAnchor="text" w:hAnchor="text" w:x="10"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framePr w:w="11179" w:h="7478" w:vSpace="274" w:wrap="notBeside" w:vAnchor="text" w:hAnchor="text" w:x="10"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1179" w:h="7478" w:vSpace="274" w:wrap="notBeside" w:vAnchor="text" w:hAnchor="text" w:x="10" w:y="1"/>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21"/>
              <w:keepNext w:val="0"/>
              <w:keepLines w:val="0"/>
              <w:framePr w:w="11179" w:h="7478" w:vSpace="274" w:wrap="notBeside" w:vAnchor="text" w:hAnchor="text" w:x="10" w:y="1"/>
              <w:widowControl w:val="0"/>
              <w:shd w:val="clear" w:color="auto" w:fill="auto"/>
              <w:bidi w:val="0"/>
              <w:spacing w:before="0" w:after="0" w:line="259" w:lineRule="exact"/>
              <w:ind w:left="0" w:right="0" w:firstLine="0"/>
              <w:jc w:val="both"/>
            </w:pPr>
            <w:r>
              <w:rPr>
                <w:color w:val="000000"/>
                <w:spacing w:val="0"/>
                <w:w w:val="100"/>
                <w:position w:val="0"/>
              </w:rPr>
              <w:t>（五）所 有者权益 内部结转</w:t>
            </w:r>
          </w:p>
        </w:tc>
        <w:tc>
          <w:tcPr>
            <w:tcBorders>
              <w:top w:val="single" w:sz="4"/>
              <w:left w:val="single" w:sz="4"/>
            </w:tcBorders>
            <w:shd w:val="clear" w:color="auto" w:fill="FFFFFF"/>
            <w:vAlign w:val="center"/>
          </w:tcPr>
          <w:p>
            <w:pPr>
              <w:pStyle w:val="Style21"/>
              <w:keepNext w:val="0"/>
              <w:keepLines w:val="0"/>
              <w:framePr w:w="11179" w:h="7478" w:vSpace="274" w:wrap="notBeside" w:vAnchor="text" w:hAnchor="text" w:x="10" w:y="1"/>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42,202,728.00</w:t>
            </w:r>
          </w:p>
        </w:tc>
        <w:tc>
          <w:tcPr>
            <w:tcBorders>
              <w:top w:val="single" w:sz="4"/>
              <w:left w:val="single" w:sz="4"/>
            </w:tcBorders>
            <w:shd w:val="clear" w:color="auto" w:fill="FFFFFF"/>
            <w:vAlign w:val="center"/>
          </w:tcPr>
          <w:p>
            <w:pPr>
              <w:pStyle w:val="Style21"/>
              <w:keepNext w:val="0"/>
              <w:keepLines w:val="0"/>
              <w:framePr w:w="11179" w:h="7478" w:vSpace="274" w:wrap="notBeside" w:vAnchor="text" w:hAnchor="text" w:x="10"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-42,202,728.00</w:t>
            </w: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1179" w:h="7478" w:vSpace="274" w:wrap="notBeside" w:vAnchor="text" w:hAnchor="text" w:x="10" w:y="1"/>
              <w:widowControl w:val="0"/>
              <w:rPr>
                <w:sz w:val="10"/>
                <w:szCs w:val="10"/>
              </w:rPr>
            </w:pPr>
          </w:p>
        </w:tc>
      </w:tr>
      <w:tr>
        <w:trPr>
          <w:trHeight w:val="1056" w:hRule="exact"/>
        </w:trPr>
        <w:tc>
          <w:tcPr>
            <w:tcBorders>
              <w:top w:val="single" w:sz="4"/>
              <w:left w:val="single" w:sz="4"/>
            </w:tcBorders>
            <w:shd w:val="clear" w:color="auto" w:fill="FFFFFF"/>
            <w:vAlign w:val="bottom"/>
          </w:tcPr>
          <w:p>
            <w:pPr>
              <w:pStyle w:val="Style21"/>
              <w:keepNext w:val="0"/>
              <w:keepLines w:val="0"/>
              <w:framePr w:w="11179" w:h="7478" w:vSpace="274" w:wrap="notBeside" w:vAnchor="text" w:hAnchor="text" w:x="10" w:y="1"/>
              <w:widowControl w:val="0"/>
              <w:shd w:val="clear" w:color="auto" w:fill="auto"/>
              <w:bidi w:val="0"/>
              <w:spacing w:before="0" w:after="0" w:line="25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 积转增资 本（或股 本）</w:t>
            </w:r>
          </w:p>
        </w:tc>
        <w:tc>
          <w:tcPr>
            <w:tcBorders>
              <w:top w:val="single" w:sz="4"/>
              <w:left w:val="single" w:sz="4"/>
            </w:tcBorders>
            <w:shd w:val="clear" w:color="auto" w:fill="FFFFFF"/>
            <w:vAlign w:val="center"/>
          </w:tcPr>
          <w:p>
            <w:pPr>
              <w:pStyle w:val="Style21"/>
              <w:keepNext w:val="0"/>
              <w:keepLines w:val="0"/>
              <w:framePr w:w="11179" w:h="7478" w:vSpace="274" w:wrap="notBeside" w:vAnchor="text" w:hAnchor="text" w:x="10" w:y="1"/>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42,202,728.00</w:t>
            </w:r>
          </w:p>
        </w:tc>
        <w:tc>
          <w:tcPr>
            <w:tcBorders>
              <w:top w:val="single" w:sz="4"/>
              <w:left w:val="single" w:sz="4"/>
            </w:tcBorders>
            <w:shd w:val="clear" w:color="auto" w:fill="FFFFFF"/>
            <w:vAlign w:val="center"/>
          </w:tcPr>
          <w:p>
            <w:pPr>
              <w:pStyle w:val="Style21"/>
              <w:keepNext w:val="0"/>
              <w:keepLines w:val="0"/>
              <w:framePr w:w="11179" w:h="7478" w:vSpace="274" w:wrap="notBeside" w:vAnchor="text" w:hAnchor="text" w:x="10"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-42,202,728.00</w:t>
            </w: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1179" w:h="7478" w:vSpace="274" w:wrap="notBeside" w:vAnchor="text" w:hAnchor="text" w:x="10" w:y="1"/>
              <w:widowControl w:val="0"/>
              <w:rPr>
                <w:sz w:val="10"/>
                <w:szCs w:val="10"/>
              </w:rPr>
            </w:pPr>
          </w:p>
        </w:tc>
      </w:tr>
      <w:tr>
        <w:trPr>
          <w:trHeight w:val="1056" w:hRule="exact"/>
        </w:trPr>
        <w:tc>
          <w:tcPr>
            <w:tcBorders>
              <w:top w:val="single" w:sz="4"/>
              <w:left w:val="single" w:sz="4"/>
            </w:tcBorders>
            <w:shd w:val="clear" w:color="auto" w:fill="FFFFFF"/>
            <w:vAlign w:val="bottom"/>
          </w:tcPr>
          <w:p>
            <w:pPr>
              <w:pStyle w:val="Style21"/>
              <w:keepNext w:val="0"/>
              <w:keepLines w:val="0"/>
              <w:framePr w:w="11179" w:h="7478" w:vSpace="274" w:wrap="notBeside" w:vAnchor="text" w:hAnchor="text" w:x="10" w:y="1"/>
              <w:widowControl w:val="0"/>
              <w:shd w:val="clear" w:color="auto" w:fill="auto"/>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 积转增资 本（或股 本）</w:t>
            </w: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1179" w:h="7478" w:vSpace="274" w:wrap="notBeside" w:vAnchor="text" w:hAnchor="text" w:x="10" w:y="1"/>
              <w:widowControl w:val="0"/>
              <w:rPr>
                <w:sz w:val="10"/>
                <w:szCs w:val="10"/>
              </w:rPr>
            </w:pPr>
          </w:p>
        </w:tc>
      </w:tr>
      <w:tr>
        <w:trPr>
          <w:trHeight w:val="797" w:hRule="exact"/>
        </w:trPr>
        <w:tc>
          <w:tcPr>
            <w:tcBorders>
              <w:top w:val="single" w:sz="4"/>
              <w:left w:val="single" w:sz="4"/>
            </w:tcBorders>
            <w:shd w:val="clear" w:color="auto" w:fill="FFFFFF"/>
            <w:vAlign w:val="top"/>
          </w:tcPr>
          <w:p>
            <w:pPr>
              <w:pStyle w:val="Style21"/>
              <w:keepNext w:val="0"/>
              <w:keepLines w:val="0"/>
              <w:framePr w:w="11179" w:h="7478" w:vSpace="274" w:wrap="notBeside" w:vAnchor="text" w:hAnchor="text" w:x="10" w:y="1"/>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 积弥补亏 损</w:t>
            </w: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1179" w:h="7478" w:vSpace="274" w:wrap="notBeside" w:vAnchor="text" w:hAnchor="text" w:x="10" w:y="1"/>
              <w:widowControl w:val="0"/>
              <w:rPr>
                <w:sz w:val="10"/>
                <w:szCs w:val="10"/>
              </w:rPr>
            </w:pPr>
          </w:p>
        </w:tc>
      </w:tr>
      <w:tr>
        <w:trPr>
          <w:trHeight w:val="274" w:hRule="exact"/>
        </w:trPr>
        <w:tc>
          <w:tcPr>
            <w:tcBorders>
              <w:top w:val="single" w:sz="4"/>
              <w:left w:val="single" w:sz="4"/>
            </w:tcBorders>
            <w:shd w:val="clear" w:color="auto" w:fill="FFFFFF"/>
            <w:vAlign w:val="top"/>
          </w:tcPr>
          <w:p>
            <w:pPr>
              <w:pStyle w:val="Style21"/>
              <w:keepNext w:val="0"/>
              <w:keepLines w:val="0"/>
              <w:framePr w:w="11179" w:h="7478" w:vSpace="274" w:wrap="notBeside" w:vAnchor="text" w:hAnchor="text" w:x="10"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1179" w:h="7478" w:vSpace="274" w:wrap="notBeside" w:vAnchor="text" w:hAnchor="text" w:x="10" w:y="1"/>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1"/>
              <w:keepNext w:val="0"/>
              <w:keepLines w:val="0"/>
              <w:framePr w:w="11179" w:h="7478" w:vSpace="274" w:wrap="notBeside" w:vAnchor="text" w:hAnchor="text" w:x="10" w:y="1"/>
              <w:widowControl w:val="0"/>
              <w:shd w:val="clear" w:color="auto" w:fill="auto"/>
              <w:bidi w:val="0"/>
              <w:spacing w:before="0" w:after="0" w:line="259" w:lineRule="exact"/>
              <w:ind w:left="0" w:right="0" w:firstLine="0"/>
              <w:jc w:val="both"/>
            </w:pPr>
            <w:r>
              <w:rPr>
                <w:color w:val="000000"/>
                <w:spacing w:val="0"/>
                <w:w w:val="100"/>
                <w:position w:val="0"/>
              </w:rPr>
              <w:t>（六）专 项储备</w:t>
            </w: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1179" w:h="7478" w:vSpace="274" w:wrap="notBeside" w:vAnchor="text" w:hAnchor="text" w:x="10" w:y="1"/>
              <w:widowControl w:val="0"/>
              <w:rPr>
                <w:sz w:val="10"/>
                <w:szCs w:val="10"/>
              </w:rPr>
            </w:pPr>
          </w:p>
        </w:tc>
      </w:tr>
      <w:tr>
        <w:trPr>
          <w:trHeight w:val="538" w:hRule="exact"/>
        </w:trPr>
        <w:tc>
          <w:tcPr>
            <w:tcBorders>
              <w:top w:val="single" w:sz="4"/>
              <w:left w:val="single" w:sz="4"/>
            </w:tcBorders>
            <w:shd w:val="clear" w:color="auto" w:fill="FFFFFF"/>
            <w:vAlign w:val="top"/>
          </w:tcPr>
          <w:p>
            <w:pPr>
              <w:pStyle w:val="Style21"/>
              <w:keepNext w:val="0"/>
              <w:keepLines w:val="0"/>
              <w:framePr w:w="11179" w:h="7478" w:vSpace="274" w:wrap="notBeside" w:vAnchor="text" w:hAnchor="text" w:x="10" w:y="1"/>
              <w:widowControl w:val="0"/>
              <w:shd w:val="clear" w:color="auto" w:fill="auto"/>
              <w:bidi w:val="0"/>
              <w:spacing w:before="0" w:after="0" w:line="25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 取</w:t>
            </w: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1179" w:h="7478" w:vSpace="274" w:wrap="notBeside" w:vAnchor="text" w:hAnchor="text" w:x="10" w:y="1"/>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1"/>
              <w:keepNext w:val="0"/>
              <w:keepLines w:val="0"/>
              <w:framePr w:w="11179" w:h="7478" w:vSpace="274" w:wrap="notBeside" w:vAnchor="text" w:hAnchor="text" w:x="10" w:y="1"/>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 用</w:t>
            </w: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1179" w:h="7478" w:vSpace="274" w:wrap="notBeside" w:vAnchor="text" w:hAnchor="text" w:x="10" w:y="1"/>
              <w:widowControl w:val="0"/>
              <w:rPr>
                <w:sz w:val="10"/>
                <w:szCs w:val="10"/>
              </w:rPr>
            </w:pPr>
          </w:p>
        </w:tc>
      </w:tr>
      <w:tr>
        <w:trPr>
          <w:trHeight w:val="538" w:hRule="exact"/>
        </w:trPr>
        <w:tc>
          <w:tcPr>
            <w:tcBorders>
              <w:top w:val="single" w:sz="4"/>
              <w:left w:val="single" w:sz="4"/>
            </w:tcBorders>
            <w:shd w:val="clear" w:color="auto" w:fill="FFFFFF"/>
            <w:vAlign w:val="top"/>
          </w:tcPr>
          <w:p>
            <w:pPr>
              <w:pStyle w:val="Style21"/>
              <w:keepNext w:val="0"/>
              <w:keepLines w:val="0"/>
              <w:framePr w:w="11179" w:h="7478" w:vSpace="274" w:wrap="notBeside" w:vAnchor="text" w:hAnchor="text" w:x="10" w:y="1"/>
              <w:widowControl w:val="0"/>
              <w:shd w:val="clear" w:color="auto" w:fill="auto"/>
              <w:bidi w:val="0"/>
              <w:spacing w:before="0" w:after="0" w:line="254" w:lineRule="exact"/>
              <w:ind w:left="0" w:right="0" w:firstLine="0"/>
              <w:jc w:val="both"/>
            </w:pPr>
            <w:r>
              <w:rPr>
                <w:color w:val="000000"/>
                <w:spacing w:val="0"/>
                <w:w w:val="100"/>
                <w:position w:val="0"/>
              </w:rPr>
              <w:t>（七）其 他</w:t>
            </w: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11179" w:h="7478" w:vSpace="274" w:wrap="notBeside" w:vAnchor="text" w:hAnchor="text" w:x="10" w:y="1"/>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218,171.63</w:t>
            </w: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framePr w:w="11179" w:h="7478" w:vSpace="274" w:wrap="notBeside" w:vAnchor="text" w:hAnchor="text" w:x="10"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218,171.63</w:t>
            </w:r>
          </w:p>
        </w:tc>
      </w:tr>
      <w:tr>
        <w:trPr>
          <w:trHeight w:val="542" w:hRule="exact"/>
        </w:trPr>
        <w:tc>
          <w:tcPr>
            <w:tcBorders>
              <w:top w:val="single" w:sz="4"/>
              <w:left w:val="single" w:sz="4"/>
              <w:bottom w:val="single" w:sz="4"/>
            </w:tcBorders>
            <w:shd w:val="clear" w:color="auto" w:fill="FFFFFF"/>
            <w:vAlign w:val="top"/>
          </w:tcPr>
          <w:p>
            <w:pPr>
              <w:pStyle w:val="Style21"/>
              <w:keepNext w:val="0"/>
              <w:keepLines w:val="0"/>
              <w:framePr w:w="11179" w:h="7478" w:vSpace="274" w:wrap="notBeside" w:vAnchor="text" w:hAnchor="text" w:x="10" w:y="1"/>
              <w:widowControl w:val="0"/>
              <w:shd w:val="clear" w:color="auto" w:fill="auto"/>
              <w:bidi w:val="0"/>
              <w:spacing w:before="0" w:after="0" w:line="259" w:lineRule="exact"/>
              <w:ind w:left="0" w:right="0" w:firstLine="0"/>
              <w:jc w:val="both"/>
            </w:pPr>
            <w:r>
              <w:rPr>
                <w:color w:val="000000"/>
                <w:spacing w:val="0"/>
                <w:w w:val="100"/>
                <w:position w:val="0"/>
              </w:rPr>
              <w:t>四、本期 期末余额</w:t>
            </w:r>
          </w:p>
        </w:tc>
        <w:tc>
          <w:tcPr>
            <w:tcBorders>
              <w:top w:val="single" w:sz="4"/>
              <w:left w:val="single" w:sz="4"/>
              <w:bottom w:val="single" w:sz="4"/>
            </w:tcBorders>
            <w:shd w:val="clear" w:color="auto" w:fill="FFFFFF"/>
            <w:vAlign w:val="center"/>
          </w:tcPr>
          <w:p>
            <w:pPr>
              <w:pStyle w:val="Style21"/>
              <w:keepNext w:val="0"/>
              <w:keepLines w:val="0"/>
              <w:framePr w:w="11179" w:h="7478" w:vSpace="274" w:wrap="notBeside" w:vAnchor="text" w:hAnchor="text" w:x="1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182,878,488.00</w:t>
            </w:r>
          </w:p>
        </w:tc>
        <w:tc>
          <w:tcPr>
            <w:tcBorders>
              <w:top w:val="single" w:sz="4"/>
              <w:left w:val="single" w:sz="4"/>
              <w:bottom w:val="single" w:sz="4"/>
            </w:tcBorders>
            <w:shd w:val="clear" w:color="auto" w:fill="FFFFFF"/>
            <w:vAlign w:val="center"/>
          </w:tcPr>
          <w:p>
            <w:pPr>
              <w:pStyle w:val="Style21"/>
              <w:keepNext w:val="0"/>
              <w:keepLines w:val="0"/>
              <w:framePr w:w="11179" w:h="7478" w:vSpace="274" w:wrap="notBeside" w:vAnchor="text" w:hAnchor="text" w:x="10"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154,977,858.01</w:t>
            </w:r>
          </w:p>
        </w:tc>
        <w:tc>
          <w:tcPr>
            <w:tcBorders>
              <w:top w:val="single" w:sz="4"/>
              <w:left w:val="single" w:sz="4"/>
              <w:bottom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bottom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11179" w:h="7478" w:vSpace="274" w:wrap="notBeside" w:vAnchor="text" w:hAnchor="text" w:x="1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50,538,757.49</w:t>
            </w:r>
          </w:p>
        </w:tc>
        <w:tc>
          <w:tcPr>
            <w:tcBorders>
              <w:top w:val="single" w:sz="4"/>
              <w:left w:val="single" w:sz="4"/>
              <w:bottom w:val="single" w:sz="4"/>
            </w:tcBorders>
            <w:shd w:val="clear" w:color="auto" w:fill="FFFFFF"/>
            <w:vAlign w:val="top"/>
          </w:tcPr>
          <w:p>
            <w:pPr>
              <w:framePr w:w="11179" w:h="7478" w:vSpace="274" w:wrap="notBeside" w:vAnchor="text" w:hAnchor="text" w:x="10" w:y="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11179" w:h="7478" w:vSpace="274" w:wrap="notBeside" w:vAnchor="text" w:hAnchor="text" w:x="1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131,545,605.47</w:t>
            </w:r>
          </w:p>
        </w:tc>
        <w:tc>
          <w:tcPr>
            <w:tcBorders>
              <w:top w:val="single" w:sz="4"/>
              <w:left w:val="single" w:sz="4"/>
              <w:bottom w:val="single" w:sz="4"/>
              <w:right w:val="single" w:sz="4"/>
            </w:tcBorders>
            <w:shd w:val="clear" w:color="auto" w:fill="FFFFFF"/>
            <w:vAlign w:val="center"/>
          </w:tcPr>
          <w:p>
            <w:pPr>
              <w:pStyle w:val="Style21"/>
              <w:keepNext w:val="0"/>
              <w:keepLines w:val="0"/>
              <w:framePr w:w="11179" w:h="7478" w:vSpace="274" w:wrap="notBeside" w:vAnchor="text" w:hAnchor="text" w:x="10"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519,940,708.97</w:t>
            </w:r>
          </w:p>
        </w:tc>
      </w:tr>
    </w:tbl>
    <w:p>
      <w:pPr>
        <w:pStyle w:val="Style19"/>
        <w:keepNext w:val="0"/>
        <w:keepLines w:val="0"/>
        <w:framePr w:w="1930" w:h="264" w:hSpace="9" w:wrap="notBeside" w:vAnchor="text" w:hAnchor="text" w:x="10" w:y="7484"/>
        <w:widowControl w:val="0"/>
        <w:shd w:val="clear" w:color="auto" w:fill="auto"/>
        <w:bidi w:val="0"/>
        <w:spacing w:before="0" w:after="0" w:line="240" w:lineRule="auto"/>
        <w:ind w:left="0" w:right="0" w:firstLine="0"/>
        <w:jc w:val="left"/>
      </w:pPr>
      <w:r>
        <w:rPr>
          <w:color w:val="000000"/>
          <w:spacing w:val="0"/>
          <w:w w:val="100"/>
          <w:position w:val="0"/>
        </w:rPr>
        <w:t>法定代表人：赵林中</w:t>
      </w:r>
    </w:p>
    <w:p>
      <w:pPr>
        <w:pStyle w:val="Style19"/>
        <w:keepNext w:val="0"/>
        <w:keepLines w:val="0"/>
        <w:framePr w:w="2554" w:h="264" w:hSpace="9" w:wrap="notBeside" w:vAnchor="text" w:hAnchor="text" w:x="3269" w:y="7484"/>
        <w:widowControl w:val="0"/>
        <w:shd w:val="clear" w:color="auto" w:fill="auto"/>
        <w:bidi w:val="0"/>
        <w:spacing w:before="0" w:after="0" w:line="240" w:lineRule="auto"/>
        <w:ind w:left="0" w:right="0" w:firstLine="0"/>
        <w:jc w:val="center"/>
      </w:pPr>
      <w:r>
        <w:rPr>
          <w:color w:val="000000"/>
          <w:spacing w:val="0"/>
          <w:w w:val="100"/>
          <w:position w:val="0"/>
        </w:rPr>
        <w:t>主管会计工作负责人：王坚</w:t>
      </w:r>
    </w:p>
    <w:p>
      <w:pPr>
        <w:pStyle w:val="Style19"/>
        <w:keepNext w:val="0"/>
        <w:keepLines w:val="0"/>
        <w:framePr w:w="2141" w:h="269" w:hSpace="9" w:wrap="notBeside" w:vAnchor="text" w:hAnchor="text" w:x="7570" w:y="7484"/>
        <w:widowControl w:val="0"/>
        <w:shd w:val="clear" w:color="auto" w:fill="auto"/>
        <w:bidi w:val="0"/>
        <w:spacing w:before="0" w:after="0" w:line="240" w:lineRule="auto"/>
        <w:ind w:left="0" w:right="0" w:firstLine="0"/>
        <w:jc w:val="center"/>
      </w:pPr>
      <w:r>
        <w:rPr>
          <w:color w:val="000000"/>
          <w:spacing w:val="0"/>
          <w:w w:val="100"/>
          <w:position w:val="0"/>
        </w:rPr>
        <w:t>会计机构负责人：王坚</w:t>
      </w:r>
    </w:p>
    <w:p>
      <w:pPr>
        <w:widowControl w:val="0"/>
        <w:spacing w:line="1" w:lineRule="exact"/>
        <w:sectPr>
          <w:footnotePr>
            <w:pos w:val="pageBottom"/>
            <w:numFmt w:val="decimal"/>
            <w:numRestart w:val="continuous"/>
          </w:footnotePr>
          <w:pgSz w:w="15840" w:h="12240" w:orient="landscape"/>
          <w:pgMar w:top="1795" w:right="3225" w:bottom="1848" w:left="1417" w:header="0" w:footer="3" w:gutter="0"/>
          <w:cols w:space="720"/>
          <w:noEndnote/>
          <w:rtlGutter w:val="0"/>
          <w:docGrid w:linePitch="360"/>
        </w:sectPr>
      </w:pPr>
    </w:p>
    <w:p>
      <w:pPr>
        <w:pStyle w:val="Style13"/>
        <w:keepNext w:val="0"/>
        <w:keepLines w:val="0"/>
        <w:widowControl w:val="0"/>
        <w:shd w:val="clear" w:color="auto" w:fill="auto"/>
        <w:tabs>
          <w:tab w:pos="549" w:val="left"/>
        </w:tabs>
        <w:bidi w:val="0"/>
        <w:spacing w:before="240" w:after="0" w:line="272" w:lineRule="exact"/>
        <w:ind w:left="0" w:right="0" w:firstLine="0"/>
        <w:jc w:val="left"/>
      </w:pPr>
      <w:bookmarkStart w:id="125" w:name="bookmark125"/>
      <w:r>
        <w:rPr>
          <w:color w:val="000000"/>
          <w:spacing w:val="0"/>
          <w:w w:val="100"/>
          <w:position w:val="0"/>
        </w:rPr>
        <w:t>三</w:t>
      </w:r>
      <w:bookmarkEnd w:id="125"/>
      <w:r>
        <w:rPr>
          <w:color w:val="000000"/>
          <w:spacing w:val="0"/>
          <w:w w:val="100"/>
          <w:position w:val="0"/>
        </w:rPr>
        <w:t>、</w:t>
        <w:tab/>
        <w:t>公司基本情况</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浙江富润股份有限公司（以下简称公司或本公司）系经原浙江省股份制试点工作协调小组浙股 </w:t>
      </w:r>
      <w:r>
        <w:rPr>
          <w:rFonts w:ascii="Times New Roman" w:eastAsia="Times New Roman" w:hAnsi="Times New Roman" w:cs="Times New Roman"/>
          <w:color w:val="000000"/>
          <w:spacing w:val="0"/>
          <w:w w:val="100"/>
          <w:position w:val="0"/>
        </w:rPr>
        <w:t>[1994]8</w:t>
      </w:r>
      <w:r>
        <w:rPr>
          <w:color w:val="000000"/>
          <w:spacing w:val="0"/>
          <w:w w:val="100"/>
          <w:position w:val="0"/>
        </w:rPr>
        <w:t>号文批准设立的股份制试点企业，于</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日在浙江省工商行政管理局登记注 册，现持有注册号为</w:t>
      </w:r>
      <w:r>
        <w:rPr>
          <w:rFonts w:ascii="Times New Roman" w:eastAsia="Times New Roman" w:hAnsi="Times New Roman" w:cs="Times New Roman"/>
          <w:color w:val="000000"/>
          <w:spacing w:val="0"/>
          <w:w w:val="100"/>
          <w:position w:val="0"/>
        </w:rPr>
        <w:t>330000000066430</w:t>
      </w:r>
      <w:r>
        <w:rPr>
          <w:color w:val="000000"/>
          <w:spacing w:val="0"/>
          <w:w w:val="100"/>
          <w:position w:val="0"/>
        </w:rPr>
        <w:t>的《企业法人营业执照》。公司现有注册资本</w:t>
      </w:r>
      <w:r>
        <w:rPr>
          <w:rFonts w:ascii="Times New Roman" w:eastAsia="Times New Roman" w:hAnsi="Times New Roman" w:cs="Times New Roman"/>
          <w:color w:val="000000"/>
          <w:spacing w:val="0"/>
          <w:w w:val="100"/>
          <w:position w:val="0"/>
        </w:rPr>
        <w:t xml:space="preserve">182,878,488.00 </w:t>
      </w:r>
      <w:r>
        <w:rPr>
          <w:color w:val="000000"/>
          <w:spacing w:val="0"/>
          <w:w w:val="100"/>
          <w:position w:val="0"/>
        </w:rPr>
        <w:t>元，股份总数</w:t>
      </w:r>
      <w:r>
        <w:rPr>
          <w:rFonts w:ascii="Times New Roman" w:eastAsia="Times New Roman" w:hAnsi="Times New Roman" w:cs="Times New Roman"/>
          <w:color w:val="000000"/>
          <w:spacing w:val="0"/>
          <w:w w:val="100"/>
          <w:position w:val="0"/>
        </w:rPr>
        <w:t>182,878,488.00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 xml:space="preserve">182,878,488.00 </w:t>
      </w:r>
      <w:r>
        <w:rPr>
          <w:color w:val="000000"/>
          <w:spacing w:val="0"/>
          <w:w w:val="100"/>
          <w:position w:val="0"/>
        </w:rPr>
        <w:t>股。公司股票已于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日在上海证券交易所挂牌交易。</w:t>
      </w:r>
    </w:p>
    <w:p>
      <w:pPr>
        <w:pStyle w:val="Style13"/>
        <w:keepNext w:val="0"/>
        <w:keepLines w:val="0"/>
        <w:widowControl w:val="0"/>
        <w:shd w:val="clear" w:color="auto" w:fill="auto"/>
        <w:bidi w:val="0"/>
        <w:spacing w:before="0" w:after="220" w:line="272" w:lineRule="exact"/>
        <w:ind w:left="0" w:right="0" w:firstLine="0"/>
        <w:jc w:val="both"/>
      </w:pPr>
      <w:r>
        <w:rPr>
          <w:color w:val="000000"/>
          <w:spacing w:val="0"/>
          <w:w w:val="100"/>
          <w:position w:val="0"/>
        </w:rPr>
        <w:t>公司经营范围为：交通基础设施及热电工程的投资开发，旅游服务（不含旅行社），服装的制造 加工、印染；针纺织品、服装、纺织原辅材料、五金交电、建筑材料、机电设备、百货、日用 杂货、农副产品销售；机械设备安装维修；仓储，经济信息服务。</w:t>
      </w:r>
    </w:p>
    <w:p>
      <w:pPr>
        <w:pStyle w:val="Style13"/>
        <w:keepNext w:val="0"/>
        <w:keepLines w:val="0"/>
        <w:widowControl w:val="0"/>
        <w:shd w:val="clear" w:color="auto" w:fill="auto"/>
        <w:tabs>
          <w:tab w:pos="549" w:val="left"/>
        </w:tabs>
        <w:bidi w:val="0"/>
        <w:spacing w:before="0" w:after="0" w:line="274" w:lineRule="exact"/>
        <w:ind w:left="0" w:right="0" w:firstLine="0"/>
        <w:jc w:val="both"/>
      </w:pPr>
      <w:bookmarkStart w:id="126" w:name="bookmark126"/>
      <w:r>
        <w:rPr>
          <w:color w:val="000000"/>
          <w:spacing w:val="0"/>
          <w:w w:val="100"/>
          <w:position w:val="0"/>
        </w:rPr>
        <w:t>四</w:t>
      </w:r>
      <w:bookmarkEnd w:id="126"/>
      <w:r>
        <w:rPr>
          <w:color w:val="000000"/>
          <w:spacing w:val="0"/>
          <w:w w:val="100"/>
          <w:position w:val="0"/>
        </w:rPr>
        <w:t>、</w:t>
        <w:tab/>
        <w:t>公司主要会计政策、会计估计和前期差错：</w:t>
      </w:r>
    </w:p>
    <w:p>
      <w:pPr>
        <w:pStyle w:val="Style13"/>
        <w:keepNext w:val="0"/>
        <w:keepLines w:val="0"/>
        <w:widowControl w:val="0"/>
        <w:shd w:val="clear" w:color="auto" w:fill="auto"/>
        <w:tabs>
          <w:tab w:pos="549" w:val="left"/>
        </w:tabs>
        <w:bidi w:val="0"/>
        <w:spacing w:before="0" w:after="0"/>
        <w:ind w:left="0" w:right="0" w:firstLine="0"/>
        <w:jc w:val="both"/>
      </w:pPr>
      <w:bookmarkStart w:id="127" w:name="bookmark127"/>
      <w:r>
        <w:rPr>
          <w:rFonts w:ascii="Times New Roman" w:eastAsia="Times New Roman" w:hAnsi="Times New Roman" w:cs="Times New Roman"/>
          <w:color w:val="000000"/>
          <w:spacing w:val="0"/>
          <w:w w:val="100"/>
          <w:position w:val="0"/>
        </w:rPr>
        <w:t>（</w:t>
      </w:r>
      <w:bookmarkEnd w:id="127"/>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财务报表的编制基础：</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本公司财务报表以持续经营为编制基础。</w:t>
      </w:r>
    </w:p>
    <w:p>
      <w:pPr>
        <w:pStyle w:val="Style13"/>
        <w:keepNext w:val="0"/>
        <w:keepLines w:val="0"/>
        <w:widowControl w:val="0"/>
        <w:shd w:val="clear" w:color="auto" w:fill="auto"/>
        <w:tabs>
          <w:tab w:pos="549" w:val="left"/>
        </w:tabs>
        <w:bidi w:val="0"/>
        <w:spacing w:before="0" w:after="0"/>
        <w:ind w:left="0" w:right="0" w:firstLine="0"/>
        <w:jc w:val="both"/>
      </w:pPr>
      <w:bookmarkStart w:id="128" w:name="bookmark128"/>
      <w:r>
        <w:rPr>
          <w:rFonts w:ascii="Times New Roman" w:eastAsia="Times New Roman" w:hAnsi="Times New Roman" w:cs="Times New Roman"/>
          <w:color w:val="000000"/>
          <w:spacing w:val="0"/>
          <w:w w:val="100"/>
          <w:position w:val="0"/>
        </w:rPr>
        <w:t>（</w:t>
      </w:r>
      <w:bookmarkEnd w:id="128"/>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遵循企业会计准则的声明：</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本公司所编制的财务报表符合企业会计准则的要求，真实、完整地反映了公司的财务状况、经 营成果、股东权益变动和现金流量等有关信息。</w:t>
      </w:r>
    </w:p>
    <w:p>
      <w:pPr>
        <w:pStyle w:val="Style13"/>
        <w:keepNext w:val="0"/>
        <w:keepLines w:val="0"/>
        <w:widowControl w:val="0"/>
        <w:shd w:val="clear" w:color="auto" w:fill="auto"/>
        <w:tabs>
          <w:tab w:pos="549" w:val="left"/>
        </w:tabs>
        <w:bidi w:val="0"/>
        <w:spacing w:before="0" w:after="0"/>
        <w:ind w:left="0" w:right="0" w:firstLine="0"/>
        <w:jc w:val="both"/>
      </w:pPr>
      <w:bookmarkStart w:id="129" w:name="bookmark129"/>
      <w:r>
        <w:rPr>
          <w:rFonts w:ascii="Times New Roman" w:eastAsia="Times New Roman" w:hAnsi="Times New Roman" w:cs="Times New Roman"/>
          <w:color w:val="000000"/>
          <w:spacing w:val="0"/>
          <w:w w:val="100"/>
          <w:position w:val="0"/>
        </w:rPr>
        <w:t>（</w:t>
      </w:r>
      <w:bookmarkEnd w:id="129"/>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会计期间：</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13"/>
        <w:keepNext w:val="0"/>
        <w:keepLines w:val="0"/>
        <w:widowControl w:val="0"/>
        <w:shd w:val="clear" w:color="auto" w:fill="auto"/>
        <w:tabs>
          <w:tab w:pos="549" w:val="left"/>
        </w:tabs>
        <w:bidi w:val="0"/>
        <w:spacing w:before="0" w:after="0"/>
        <w:ind w:left="0" w:right="0" w:firstLine="0"/>
        <w:jc w:val="both"/>
      </w:pPr>
      <w:bookmarkStart w:id="130" w:name="bookmark130"/>
      <w:r>
        <w:rPr>
          <w:rFonts w:ascii="Times New Roman" w:eastAsia="Times New Roman" w:hAnsi="Times New Roman" w:cs="Times New Roman"/>
          <w:color w:val="000000"/>
          <w:spacing w:val="0"/>
          <w:w w:val="100"/>
          <w:position w:val="0"/>
        </w:rPr>
        <w:t>（</w:t>
      </w:r>
      <w:bookmarkEnd w:id="130"/>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记账本位币：</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本公司的记账本位币为人民币。</w:t>
      </w:r>
    </w:p>
    <w:p>
      <w:pPr>
        <w:pStyle w:val="Style13"/>
        <w:keepNext w:val="0"/>
        <w:keepLines w:val="0"/>
        <w:widowControl w:val="0"/>
        <w:shd w:val="clear" w:color="auto" w:fill="auto"/>
        <w:tabs>
          <w:tab w:pos="549" w:val="left"/>
        </w:tabs>
        <w:bidi w:val="0"/>
        <w:spacing w:before="0" w:after="0"/>
        <w:ind w:left="0" w:right="0" w:firstLine="0"/>
        <w:jc w:val="both"/>
      </w:pPr>
      <w:bookmarkStart w:id="131" w:name="bookmark131"/>
      <w:r>
        <w:rPr>
          <w:rFonts w:ascii="Times New Roman" w:eastAsia="Times New Roman" w:hAnsi="Times New Roman" w:cs="Times New Roman"/>
          <w:color w:val="000000"/>
          <w:spacing w:val="0"/>
          <w:w w:val="100"/>
          <w:position w:val="0"/>
        </w:rPr>
        <w:t>（</w:t>
      </w:r>
      <w:bookmarkEnd w:id="131"/>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同一控制下和非同一控制下企业合并的会计处理方法</w:t>
      </w:r>
    </w:p>
    <w:p>
      <w:pPr>
        <w:pStyle w:val="Style13"/>
        <w:keepNext w:val="0"/>
        <w:keepLines w:val="0"/>
        <w:widowControl w:val="0"/>
        <w:numPr>
          <w:ilvl w:val="0"/>
          <w:numId w:val="7"/>
        </w:numPr>
        <w:shd w:val="clear" w:color="auto" w:fill="auto"/>
        <w:tabs>
          <w:tab w:pos="315" w:val="left"/>
        </w:tabs>
        <w:bidi w:val="0"/>
        <w:spacing w:before="0" w:after="0"/>
        <w:ind w:left="0" w:right="0" w:firstLine="0"/>
        <w:jc w:val="both"/>
      </w:pPr>
      <w:bookmarkStart w:id="132" w:name="bookmark132"/>
      <w:bookmarkEnd w:id="132"/>
      <w:r>
        <w:rPr>
          <w:color w:val="000000"/>
          <w:spacing w:val="0"/>
          <w:w w:val="100"/>
          <w:position w:val="0"/>
        </w:rPr>
        <w:t>同一控制下企业合并的会计处理方法</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公司在企业合并中取得的资产和负债，按照合并日在被合并方的账面价值计量。公司取得的净 资产账面价值与支付的合并对价账面价值（或发行股份面值总额）的差额，调整资本公积；资 本公积不足冲减的，调整留存收益。</w:t>
      </w:r>
    </w:p>
    <w:p>
      <w:pPr>
        <w:pStyle w:val="Style13"/>
        <w:keepNext w:val="0"/>
        <w:keepLines w:val="0"/>
        <w:widowControl w:val="0"/>
        <w:numPr>
          <w:ilvl w:val="0"/>
          <w:numId w:val="7"/>
        </w:numPr>
        <w:shd w:val="clear" w:color="auto" w:fill="auto"/>
        <w:tabs>
          <w:tab w:pos="330" w:val="left"/>
        </w:tabs>
        <w:bidi w:val="0"/>
        <w:spacing w:before="0" w:after="0"/>
        <w:ind w:left="0" w:right="0" w:firstLine="0"/>
        <w:jc w:val="both"/>
      </w:pPr>
      <w:bookmarkStart w:id="133" w:name="bookmark133"/>
      <w:bookmarkEnd w:id="133"/>
      <w:r>
        <w:rPr>
          <w:color w:val="000000"/>
          <w:spacing w:val="0"/>
          <w:w w:val="100"/>
          <w:position w:val="0"/>
        </w:rPr>
        <w:t>非同一控制下企业合并的会计处理方法</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公司在购买日对合并成本大于合并中取得的被购买方可辨认净资产公允价值份额的差额，确认 为商誉；如果合并成本小于合并中取得的被购买方可辨认净资产公允价值份额，首先对取得的 被购买方各项可辨认资产、负债及或有负债的公允价值以及合并成本的计量进行复核，经复核 后合并成本仍小于合并中取得的被购买方可辨认净资产公允价值份额的，其差额计入当期损益。</w:t>
      </w:r>
    </w:p>
    <w:p>
      <w:pPr>
        <w:pStyle w:val="Style13"/>
        <w:keepNext w:val="0"/>
        <w:keepLines w:val="0"/>
        <w:widowControl w:val="0"/>
        <w:shd w:val="clear" w:color="auto" w:fill="auto"/>
        <w:tabs>
          <w:tab w:pos="549" w:val="left"/>
        </w:tabs>
        <w:bidi w:val="0"/>
        <w:spacing w:before="0" w:after="0"/>
        <w:ind w:left="0" w:right="0" w:firstLine="0"/>
        <w:jc w:val="both"/>
      </w:pPr>
      <w:bookmarkStart w:id="134" w:name="bookmark134"/>
      <w:r>
        <w:rPr>
          <w:rFonts w:ascii="Times New Roman" w:eastAsia="Times New Roman" w:hAnsi="Times New Roman" w:cs="Times New Roman"/>
          <w:color w:val="000000"/>
          <w:spacing w:val="0"/>
          <w:w w:val="100"/>
          <w:position w:val="0"/>
        </w:rPr>
        <w:t>（</w:t>
      </w:r>
      <w:bookmarkEnd w:id="134"/>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合并财务报表的编制方法：</w:t>
      </w:r>
    </w:p>
    <w:p>
      <w:pPr>
        <w:pStyle w:val="Style13"/>
        <w:keepNext w:val="0"/>
        <w:keepLines w:val="0"/>
        <w:widowControl w:val="0"/>
        <w:shd w:val="clear" w:color="auto" w:fill="auto"/>
        <w:bidi w:val="0"/>
        <w:spacing w:before="0" w:after="280" w:line="274" w:lineRule="exact"/>
        <w:ind w:left="0" w:right="0" w:firstLine="0"/>
        <w:jc w:val="both"/>
      </w:pPr>
      <w:bookmarkStart w:id="135" w:name="bookmark135"/>
      <w:r>
        <w:rPr>
          <w:rFonts w:ascii="Times New Roman" w:eastAsia="Times New Roman" w:hAnsi="Times New Roman" w:cs="Times New Roman"/>
          <w:color w:val="000000"/>
          <w:spacing w:val="0"/>
          <w:w w:val="100"/>
          <w:position w:val="0"/>
        </w:rPr>
        <w:t>1</w:t>
      </w:r>
      <w:bookmarkEnd w:id="135"/>
      <w:r>
        <w:rPr>
          <w:color w:val="000000"/>
          <w:spacing w:val="0"/>
          <w:w w:val="100"/>
          <w:position w:val="0"/>
        </w:rPr>
        <w:t>、母公司将其控制的所有子公司纳入合并财务报表的合并范围。合并财务报表以母公司及其 子公司的财务报表为基础，根据其他有关资料，按照权益法调整对子公司的长期股权投资后， 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w:t>
      </w:r>
    </w:p>
    <w:p>
      <w:pPr>
        <w:pStyle w:val="Style13"/>
        <w:keepNext w:val="0"/>
        <w:keepLines w:val="0"/>
        <w:widowControl w:val="0"/>
        <w:shd w:val="clear" w:color="auto" w:fill="auto"/>
        <w:tabs>
          <w:tab w:pos="549" w:val="left"/>
        </w:tabs>
        <w:bidi w:val="0"/>
        <w:spacing w:before="0" w:after="0" w:line="290" w:lineRule="auto"/>
        <w:ind w:left="0" w:right="0" w:firstLine="0"/>
        <w:jc w:val="both"/>
      </w:pPr>
      <w:bookmarkStart w:id="136" w:name="bookmark136"/>
      <w:r>
        <w:rPr>
          <w:rFonts w:ascii="Times New Roman" w:eastAsia="Times New Roman" w:hAnsi="Times New Roman" w:cs="Times New Roman"/>
          <w:color w:val="000000"/>
          <w:spacing w:val="0"/>
          <w:w w:val="100"/>
          <w:position w:val="0"/>
        </w:rPr>
        <w:t>（</w:t>
      </w:r>
      <w:bookmarkEnd w:id="136"/>
      <w:r>
        <w:rPr>
          <w:color w:val="000000"/>
          <w:spacing w:val="0"/>
          <w:w w:val="100"/>
          <w:position w:val="0"/>
        </w:rPr>
        <w:t>七</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现金及现金等价物的确定标准：</w:t>
      </w:r>
    </w:p>
    <w:p>
      <w:pPr>
        <w:pStyle w:val="Style13"/>
        <w:keepNext w:val="0"/>
        <w:keepLines w:val="0"/>
        <w:widowControl w:val="0"/>
        <w:shd w:val="clear" w:color="auto" w:fill="auto"/>
        <w:bidi w:val="0"/>
        <w:spacing w:before="0" w:after="280" w:line="278" w:lineRule="exact"/>
        <w:ind w:left="0" w:right="0" w:firstLine="0"/>
        <w:jc w:val="both"/>
      </w:pPr>
      <w:r>
        <w:rPr>
          <w:color w:val="000000"/>
          <w:spacing w:val="0"/>
          <w:w w:val="100"/>
          <w:position w:val="0"/>
        </w:rPr>
        <w:t>列示于现金流量表中的现金是指库存现金以及可以随时用于支付的存款。现金等价物是指企业 持有的期限短、流动性强、易于转换为已知金额现金、价值变动风险很小的投资。</w:t>
      </w:r>
    </w:p>
    <w:p>
      <w:pPr>
        <w:pStyle w:val="Style13"/>
        <w:keepNext w:val="0"/>
        <w:keepLines w:val="0"/>
        <w:widowControl w:val="0"/>
        <w:shd w:val="clear" w:color="auto" w:fill="auto"/>
        <w:tabs>
          <w:tab w:pos="549" w:val="left"/>
        </w:tabs>
        <w:bidi w:val="0"/>
        <w:spacing w:before="0" w:after="0"/>
        <w:ind w:left="0" w:right="0" w:firstLine="0"/>
        <w:jc w:val="both"/>
      </w:pPr>
      <w:bookmarkStart w:id="137" w:name="bookmark137"/>
      <w:r>
        <w:rPr>
          <w:rFonts w:ascii="Times New Roman" w:eastAsia="Times New Roman" w:hAnsi="Times New Roman" w:cs="Times New Roman"/>
          <w:color w:val="000000"/>
          <w:spacing w:val="0"/>
          <w:w w:val="100"/>
          <w:position w:val="0"/>
        </w:rPr>
        <w:t>（</w:t>
      </w:r>
      <w:bookmarkEnd w:id="137"/>
      <w:r>
        <w:rPr>
          <w:color w:val="000000"/>
          <w:spacing w:val="0"/>
          <w:w w:val="100"/>
          <w:position w:val="0"/>
        </w:rPr>
        <w:t>八</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外币业务和外币报表折算：</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 xml:space="preserve">外币交易在初始确认时，采用交易发生日即期汇率近似的汇率折算为人民币金额。资产负债表 日，外币货币性项目采用资产负债表日即期汇率折算，因汇率不同而产生的汇兑差额，除与购 </w:t>
      </w:r>
      <w:r>
        <w:rPr>
          <w:color w:val="000000"/>
          <w:spacing w:val="0"/>
          <w:w w:val="100"/>
          <w:position w:val="0"/>
        </w:rPr>
        <w:t>建符合资本化条件资产有关的外币专门借款本金及利息的汇兑差额外，计入当期损益；以历史 成本计量的外币非货币性项目仍采用初始确认的汇率折算，不改变其人民币金额；以公允价值 计量的外币非货币性项目，采用公允价值确定日的即期汇率折算，差额计入当期损益或资本公 积。</w:t>
      </w:r>
    </w:p>
    <w:p>
      <w:pPr>
        <w:pStyle w:val="Style13"/>
        <w:keepNext w:val="0"/>
        <w:keepLines w:val="0"/>
        <w:widowControl w:val="0"/>
        <w:shd w:val="clear" w:color="auto" w:fill="auto"/>
        <w:bidi w:val="0"/>
        <w:spacing w:before="0" w:after="0"/>
        <w:ind w:left="0" w:right="0" w:firstLine="0"/>
        <w:jc w:val="both"/>
      </w:pPr>
      <w:bookmarkStart w:id="138" w:name="bookmark138"/>
      <w:r>
        <w:rPr>
          <w:rFonts w:ascii="Times New Roman" w:eastAsia="Times New Roman" w:hAnsi="Times New Roman" w:cs="Times New Roman"/>
          <w:color w:val="000000"/>
          <w:spacing w:val="0"/>
          <w:w w:val="100"/>
          <w:position w:val="0"/>
        </w:rPr>
        <w:t>（</w:t>
      </w:r>
      <w:bookmarkEnd w:id="138"/>
      <w:r>
        <w:rPr>
          <w:color w:val="000000"/>
          <w:spacing w:val="0"/>
          <w:w w:val="100"/>
          <w:position w:val="0"/>
        </w:rPr>
        <w:t>九</w:t>
      </w:r>
      <w:r>
        <w:rPr>
          <w:color w:val="000000"/>
          <w:spacing w:val="0"/>
          <w:w w:val="100"/>
          <w:position w:val="0"/>
        </w:rPr>
        <w:t>）</w:t>
      </w:r>
      <w:r>
        <w:rPr>
          <w:color w:val="000000"/>
          <w:spacing w:val="0"/>
          <w:w w:val="100"/>
          <w:position w:val="0"/>
        </w:rPr>
        <w:t>金融工具：</w:t>
      </w:r>
    </w:p>
    <w:p>
      <w:pPr>
        <w:pStyle w:val="Style13"/>
        <w:keepNext w:val="0"/>
        <w:keepLines w:val="0"/>
        <w:widowControl w:val="0"/>
        <w:numPr>
          <w:ilvl w:val="0"/>
          <w:numId w:val="9"/>
        </w:numPr>
        <w:shd w:val="clear" w:color="auto" w:fill="auto"/>
        <w:tabs>
          <w:tab w:pos="267" w:val="left"/>
        </w:tabs>
        <w:bidi w:val="0"/>
        <w:spacing w:before="0" w:after="0"/>
        <w:ind w:left="0" w:right="0" w:firstLine="0"/>
        <w:jc w:val="both"/>
      </w:pPr>
      <w:bookmarkStart w:id="139" w:name="bookmark139"/>
      <w:bookmarkEnd w:id="139"/>
      <w:r>
        <w:rPr>
          <w:color w:val="000000"/>
          <w:spacing w:val="0"/>
          <w:w w:val="100"/>
          <w:position w:val="0"/>
        </w:rPr>
        <w:t>金融资产和金融负债的分类</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金融资产在初始确认时划分为以下四类：以公允价值计量且其变动计入当期损益的金融资产（包 括交易性金融资产和指定为以公允价值计量且其变动计入当期损益的金融资产）、持有至到期投 资、贷款和应收款项、可供出售金融资产。</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金融负债在初始确认时划分为以下两类：以公允价值计量且其变动计入当期损益的金融负债（包 括交易性金融负债和指定为以公允价值计量且其变动计入当期损益的金融负债）、其他金融负 债。</w:t>
      </w:r>
    </w:p>
    <w:p>
      <w:pPr>
        <w:pStyle w:val="Style13"/>
        <w:keepNext w:val="0"/>
        <w:keepLines w:val="0"/>
        <w:widowControl w:val="0"/>
        <w:numPr>
          <w:ilvl w:val="0"/>
          <w:numId w:val="9"/>
        </w:numPr>
        <w:shd w:val="clear" w:color="auto" w:fill="auto"/>
        <w:tabs>
          <w:tab w:pos="274" w:val="left"/>
        </w:tabs>
        <w:bidi w:val="0"/>
        <w:spacing w:before="0" w:after="0"/>
        <w:ind w:left="0" w:right="0" w:firstLine="0"/>
        <w:jc w:val="both"/>
      </w:pPr>
      <w:bookmarkStart w:id="140" w:name="bookmark140"/>
      <w:bookmarkEnd w:id="140"/>
      <w:r>
        <w:rPr>
          <w:color w:val="000000"/>
          <w:spacing w:val="0"/>
          <w:w w:val="100"/>
          <w:position w:val="0"/>
        </w:rPr>
        <w:t>金融资产和金融负债的确认依据、计量方法和终止确认条件</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公司成为金融工具合同的一方时，确认一项金融资产或金融负债。初始确认金融资产或金融负 债时，按照公允价值计量；对于以公允价值计量且其变动计入当期损益的金融资产和金融负债, 相关交易费用直接计入当期损益；对于其他类别的金融资产或金融负债，相关交易费用计入初 始确认金额。</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公司按照公允价值对金融资产进行后续计量，且不扣除将来处置该金融资产时可能发生的交易 费用，但下列情况除外：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持有至到期投资以及贷款和应收款项采用实际利率法，按摊余成本 计量；</w:t>
      </w:r>
      <w:r>
        <w:rPr>
          <w:rFonts w:ascii="Times New Roman" w:eastAsia="Times New Roman" w:hAnsi="Times New Roman" w:cs="Times New Roman"/>
          <w:color w:val="000000"/>
          <w:spacing w:val="0"/>
          <w:w w:val="100"/>
          <w:position w:val="0"/>
        </w:rPr>
        <w:t>（2）</w:t>
      </w:r>
      <w:r>
        <w:rPr>
          <w:color w:val="000000"/>
          <w:spacing w:val="0"/>
          <w:w w:val="100"/>
          <w:position w:val="0"/>
        </w:rPr>
        <w:t>在活跃市场中没有报价且其公允价值不能可靠计量的权益工具投资，以及与该权益工 具挂钩并须通过交付该权益工具结算的衍生金融资产，按照成本计量。</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公司采用实际利率法，按摊余成本对金融负债进行后续计量，但下列情况除外：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 计量且其变动计入当期损益的金融负债，按照公允价值计量，且不扣除将来结清金融负债时可 能发生的交易费用；</w:t>
      </w:r>
      <w:r>
        <w:rPr>
          <w:rFonts w:ascii="Times New Roman" w:eastAsia="Times New Roman" w:hAnsi="Times New Roman" w:cs="Times New Roman"/>
          <w:color w:val="000000"/>
          <w:spacing w:val="0"/>
          <w:w w:val="100"/>
          <w:position w:val="0"/>
        </w:rPr>
        <w:t xml:space="preserve">（2） </w:t>
      </w:r>
      <w:r>
        <w:rPr>
          <w:color w:val="000000"/>
          <w:spacing w:val="0"/>
          <w:w w:val="100"/>
          <w:position w:val="0"/>
        </w:rPr>
        <w:t>与在活跃市场中没有报价、公允价值不能可靠计量的权益工具挂钩并须 通过交付该权益工具结算的衍生金融负债，按照成本计量；</w:t>
      </w:r>
      <w:r>
        <w:rPr>
          <w:rFonts w:ascii="Times New Roman" w:eastAsia="Times New Roman" w:hAnsi="Times New Roman" w:cs="Times New Roman"/>
          <w:color w:val="000000"/>
          <w:spacing w:val="0"/>
          <w:w w:val="100"/>
          <w:position w:val="0"/>
        </w:rPr>
        <w:t>（3）</w:t>
      </w:r>
      <w:r>
        <w:rPr>
          <w:color w:val="000000"/>
          <w:spacing w:val="0"/>
          <w:w w:val="100"/>
          <w:position w:val="0"/>
        </w:rPr>
        <w:t>不属于指定为以公允价值计量且 其变动计入当期损益的金融负债的财务担保合同，或没有指定为以公允价值计量且其变动计入 当期损益并将以低于市场利率贷款的贷款承诺，在初始确认后按照下列两项金额之中的较高者 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或有事项》确定的金额；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 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收入》的原则确定的累积摊销额后的余额。</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金融资产或金融负债公允价值变动形成的利得或损失，除与套期保值有关外，按照如下方法处 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以公允价值计量且其变动计入当期损益的金融资产或金融负债公允价值变动形成的利得 或损失，计入公允价值变动损益；在资产持有期间所取得的利息或现金股利，确认为投资收益; 处置时，将实际收到的金额与初始入账金额之间的差额确认为投资收益，同时调整公允价值变 动损益。</w:t>
      </w:r>
      <w:r>
        <w:rPr>
          <w:rFonts w:ascii="Times New Roman" w:eastAsia="Times New Roman" w:hAnsi="Times New Roman" w:cs="Times New Roman"/>
          <w:color w:val="000000"/>
          <w:spacing w:val="0"/>
          <w:w w:val="100"/>
          <w:position w:val="0"/>
        </w:rPr>
        <w:t>（2）</w:t>
      </w:r>
      <w:r>
        <w:rPr>
          <w:color w:val="000000"/>
          <w:spacing w:val="0"/>
          <w:w w:val="100"/>
          <w:position w:val="0"/>
        </w:rPr>
        <w:t>可供出售金融资产的公允价值变动计入资本公积；持有期间按实际利率法计算的利 息，计入投资收益；可供出售权益工具投资的现金股利，于被投资单位宣告发放股利时计入投 资收益；处置时，将实际收到的金额与账面价值扣除原直接计入资本公积的公允价值变动累计 额之后的差额确认为投资收益。</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当收取某项金融资产现金流量的合同权利已终止或该金融资产所有权上几乎所有的风险和报酬 已转移时，终止确认该金融资产；当金融负债的现时义务全部或部分解除时，相应终止确认该 金融负债或其一部分。</w:t>
      </w:r>
    </w:p>
    <w:p>
      <w:pPr>
        <w:pStyle w:val="Style13"/>
        <w:keepNext w:val="0"/>
        <w:keepLines w:val="0"/>
        <w:widowControl w:val="0"/>
        <w:numPr>
          <w:ilvl w:val="0"/>
          <w:numId w:val="9"/>
        </w:numPr>
        <w:shd w:val="clear" w:color="auto" w:fill="auto"/>
        <w:tabs>
          <w:tab w:pos="274" w:val="left"/>
        </w:tabs>
        <w:bidi w:val="0"/>
        <w:spacing w:before="0" w:after="0"/>
        <w:ind w:left="0" w:right="0" w:firstLine="0"/>
        <w:jc w:val="both"/>
      </w:pPr>
      <w:bookmarkStart w:id="141" w:name="bookmark141"/>
      <w:bookmarkEnd w:id="141"/>
      <w:r>
        <w:rPr>
          <w:color w:val="000000"/>
          <w:spacing w:val="0"/>
          <w:w w:val="100"/>
          <w:position w:val="0"/>
        </w:rPr>
        <w:t>金融资产转移的确认依据和计量方法</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公司已将金融资产所有权上几乎所有的风险和报酬转移给了转入方的，终止确认该金融资产； 保留了金融资产所有权上几乎所有的风险和报酬的，继续确认所转移的金融资产，并将收到的 对价确认为一项金融负债。公司既没有转移也没有保留金融资产所有权上几乎所有的风险和报 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放弃了对该金融资产控制的，终止确认该金融资产；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未放弃 对该金融资产控制的，按照继续涉入所转移金融资产的程度确认有关金融资产，并相应确认有 </w:t>
      </w:r>
      <w:r>
        <w:rPr>
          <w:color w:val="000000"/>
          <w:spacing w:val="0"/>
          <w:w w:val="100"/>
          <w:position w:val="0"/>
        </w:rPr>
        <w:t>关负债。</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所转移金融 资产的账面价值；</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因转移而收到的对价，与原直接计入所有者权益的公允价值变动累计额之 和。金融资产部分转移满足终止确认条件的，将所转移金融资产整体的账面价值，在终止确认 部分和未终止确认部分之间，按照各自的相对公允价值进行分摊，并将下列两项金额的差额计 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 益的公允价值变动累计额中对应终止确认部分的金额之和。</w:t>
      </w:r>
    </w:p>
    <w:p>
      <w:pPr>
        <w:pStyle w:val="Style13"/>
        <w:keepNext w:val="0"/>
        <w:keepLines w:val="0"/>
        <w:widowControl w:val="0"/>
        <w:numPr>
          <w:ilvl w:val="0"/>
          <w:numId w:val="9"/>
        </w:numPr>
        <w:shd w:val="clear" w:color="auto" w:fill="auto"/>
        <w:tabs>
          <w:tab w:pos="330" w:val="left"/>
        </w:tabs>
        <w:bidi w:val="0"/>
        <w:spacing w:before="0" w:after="0"/>
        <w:ind w:left="0" w:right="0" w:firstLine="0"/>
        <w:jc w:val="both"/>
      </w:pPr>
      <w:bookmarkStart w:id="142" w:name="bookmark142"/>
      <w:bookmarkEnd w:id="142"/>
      <w:r>
        <w:rPr>
          <w:color w:val="000000"/>
          <w:spacing w:val="0"/>
          <w:w w:val="100"/>
          <w:position w:val="0"/>
        </w:rPr>
        <w:t>主要金融资产和金融负债的公允价值确定方法</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存在活跃市场的金融资产或金融负债，以活跃市场的报价确定其公允价值；不存在活跃市场的 金融资产或金融负债，采用估值技术（包括参考熟悉情况并自愿交易的各方最近进行的市场交 易中使用的价格、参照实质上相同的其他金融工具的当前公允价值、现金流量折现法和期权定 价模型等）确定其公允价值；初始取得或源生的金融资产或承担的金融负债，以市场交易价格 作为确定其公允价值的基础。</w:t>
      </w:r>
    </w:p>
    <w:p>
      <w:pPr>
        <w:pStyle w:val="Style13"/>
        <w:keepNext w:val="0"/>
        <w:keepLines w:val="0"/>
        <w:widowControl w:val="0"/>
        <w:numPr>
          <w:ilvl w:val="0"/>
          <w:numId w:val="9"/>
        </w:numPr>
        <w:shd w:val="clear" w:color="auto" w:fill="auto"/>
        <w:tabs>
          <w:tab w:pos="330" w:val="left"/>
        </w:tabs>
        <w:bidi w:val="0"/>
        <w:spacing w:before="0" w:after="0"/>
        <w:ind w:left="0" w:right="0" w:firstLine="0"/>
        <w:jc w:val="both"/>
      </w:pPr>
      <w:bookmarkStart w:id="143" w:name="bookmark143"/>
      <w:bookmarkEnd w:id="143"/>
      <w:r>
        <w:rPr>
          <w:color w:val="000000"/>
          <w:spacing w:val="0"/>
          <w:w w:val="100"/>
          <w:position w:val="0"/>
        </w:rPr>
        <w:t>金融资产的减值测试和减值准备计提方法</w:t>
      </w:r>
    </w:p>
    <w:p>
      <w:pPr>
        <w:pStyle w:val="Style13"/>
        <w:keepNext w:val="0"/>
        <w:keepLines w:val="0"/>
        <w:widowControl w:val="0"/>
        <w:shd w:val="clear" w:color="auto" w:fill="auto"/>
        <w:tabs>
          <w:tab w:pos="370" w:val="left"/>
        </w:tabs>
        <w:bidi w:val="0"/>
        <w:spacing w:before="0" w:after="0" w:line="272" w:lineRule="exact"/>
        <w:ind w:left="0" w:right="0" w:firstLine="0"/>
        <w:jc w:val="both"/>
      </w:pPr>
      <w:bookmarkStart w:id="144" w:name="bookmark144"/>
      <w:r>
        <w:rPr>
          <w:rFonts w:ascii="Times New Roman" w:eastAsia="Times New Roman" w:hAnsi="Times New Roman" w:cs="Times New Roman"/>
          <w:color w:val="000000"/>
          <w:spacing w:val="0"/>
          <w:w w:val="100"/>
          <w:position w:val="0"/>
        </w:rPr>
        <w:t>（</w:t>
      </w:r>
      <w:bookmarkEnd w:id="144"/>
      <w:r>
        <w:rPr>
          <w:rFonts w:ascii="Times New Roman" w:eastAsia="Times New Roman" w:hAnsi="Times New Roman" w:cs="Times New Roman"/>
          <w:color w:val="000000"/>
          <w:spacing w:val="0"/>
          <w:w w:val="100"/>
          <w:position w:val="0"/>
        </w:rPr>
        <w:t>1）</w:t>
        <w:tab/>
      </w:r>
      <w:r>
        <w:rPr>
          <w:color w:val="000000"/>
          <w:spacing w:val="0"/>
          <w:w w:val="100"/>
          <w:position w:val="0"/>
        </w:rPr>
        <w:t>资产负债表日对以公允价值计量且其变动计入当期损益的金融资产以外的金融资产的账面 价值进行检查，如有客观证据表明该金融资产发生减值的，计提减值准备。</w:t>
      </w:r>
    </w:p>
    <w:p>
      <w:pPr>
        <w:pStyle w:val="Style13"/>
        <w:keepNext w:val="0"/>
        <w:keepLines w:val="0"/>
        <w:widowControl w:val="0"/>
        <w:shd w:val="clear" w:color="auto" w:fill="auto"/>
        <w:tabs>
          <w:tab w:pos="370" w:val="left"/>
        </w:tabs>
        <w:bidi w:val="0"/>
        <w:spacing w:before="0" w:after="0" w:line="272" w:lineRule="exact"/>
        <w:ind w:left="0" w:right="0" w:firstLine="0"/>
        <w:jc w:val="both"/>
      </w:pPr>
      <w:bookmarkStart w:id="145" w:name="bookmark145"/>
      <w:r>
        <w:rPr>
          <w:rFonts w:ascii="Times New Roman" w:eastAsia="Times New Roman" w:hAnsi="Times New Roman" w:cs="Times New Roman"/>
          <w:color w:val="000000"/>
          <w:spacing w:val="0"/>
          <w:w w:val="100"/>
          <w:position w:val="0"/>
        </w:rPr>
        <w:t>（</w:t>
      </w:r>
      <w:bookmarkEnd w:id="145"/>
      <w:r>
        <w:rPr>
          <w:rFonts w:ascii="Times New Roman" w:eastAsia="Times New Roman" w:hAnsi="Times New Roman" w:cs="Times New Roman"/>
          <w:color w:val="000000"/>
          <w:spacing w:val="0"/>
          <w:w w:val="100"/>
          <w:position w:val="0"/>
        </w:rPr>
        <w:t>2）</w:t>
        <w:tab/>
      </w:r>
      <w:r>
        <w:rPr>
          <w:color w:val="000000"/>
          <w:spacing w:val="0"/>
          <w:w w:val="100"/>
          <w:position w:val="0"/>
        </w:rPr>
        <w:t>对单项金额重大的金融资产单独进行减值测试；对单项金额不重大的金融资产，可以单独进 行减值测试，或包括在具有类似信用风险特征的金融资产组合中进行减值测试；单独测试未发 生减值的金融资产（包括单项金额重大和不重大的金融资产），包括在具有类似信用风险特征的 金融资产组合中再进行减值测试。</w:t>
      </w:r>
    </w:p>
    <w:p>
      <w:pPr>
        <w:pStyle w:val="Style13"/>
        <w:keepNext w:val="0"/>
        <w:keepLines w:val="0"/>
        <w:widowControl w:val="0"/>
        <w:shd w:val="clear" w:color="auto" w:fill="auto"/>
        <w:tabs>
          <w:tab w:pos="370" w:val="left"/>
        </w:tabs>
        <w:bidi w:val="0"/>
        <w:spacing w:before="0" w:after="0" w:line="272" w:lineRule="exact"/>
        <w:ind w:left="0" w:right="0" w:firstLine="0"/>
        <w:jc w:val="both"/>
      </w:pPr>
      <w:bookmarkStart w:id="146" w:name="bookmark146"/>
      <w:r>
        <w:rPr>
          <w:rFonts w:ascii="Times New Roman" w:eastAsia="Times New Roman" w:hAnsi="Times New Roman" w:cs="Times New Roman"/>
          <w:color w:val="000000"/>
          <w:spacing w:val="0"/>
          <w:w w:val="100"/>
          <w:position w:val="0"/>
        </w:rPr>
        <w:t>（</w:t>
      </w:r>
      <w:bookmarkEnd w:id="146"/>
      <w:r>
        <w:rPr>
          <w:rFonts w:ascii="Times New Roman" w:eastAsia="Times New Roman" w:hAnsi="Times New Roman" w:cs="Times New Roman"/>
          <w:color w:val="000000"/>
          <w:spacing w:val="0"/>
          <w:w w:val="100"/>
          <w:position w:val="0"/>
        </w:rPr>
        <w:t>3）</w:t>
        <w:tab/>
      </w:r>
      <w:r>
        <w:rPr>
          <w:color w:val="000000"/>
          <w:spacing w:val="0"/>
          <w:w w:val="100"/>
          <w:position w:val="0"/>
        </w:rPr>
        <w:t>按摊余成本计量的金融资产，期末有客观证据表明其发生了减值的，根据其账面价值高于预 计未来现金流量现值的差额确认减值损失。在活跃市场中没有报价且其公允价值不能可靠计量 的权益工具投资，或与该权益工具挂钩并须通过交付该权益工具结算的衍生金融资产发生减值 时，将该权益工具投资或衍生金融资产的账面价值，高于按照类似金融资产当时市场收益率对 未来现金流量折现确定的现值的差额，确认为减值损失。可供出售金融资产的公允价值发生较 大幅度下降，或在综合考虑各种相关因素后，预期这种下降趋势属于非暂时性的，确认其减值 损失，并将原直接计入所有者权益的公允价值累计损失一并转出计入减值损失。</w:t>
      </w:r>
    </w:p>
    <w:p>
      <w:pPr>
        <w:pStyle w:val="Style13"/>
        <w:keepNext w:val="0"/>
        <w:keepLines w:val="0"/>
        <w:widowControl w:val="0"/>
        <w:shd w:val="clear" w:color="auto" w:fill="auto"/>
        <w:tabs>
          <w:tab w:pos="370" w:val="left"/>
        </w:tabs>
        <w:bidi w:val="0"/>
        <w:spacing w:before="0" w:after="0"/>
        <w:ind w:left="0" w:right="0" w:firstLine="0"/>
        <w:jc w:val="both"/>
      </w:pPr>
      <w:bookmarkStart w:id="147" w:name="bookmark147"/>
      <w:r>
        <w:rPr>
          <w:rFonts w:ascii="Times New Roman" w:eastAsia="Times New Roman" w:hAnsi="Times New Roman" w:cs="Times New Roman"/>
          <w:color w:val="000000"/>
          <w:spacing w:val="0"/>
          <w:w w:val="100"/>
          <w:position w:val="0"/>
        </w:rPr>
        <w:t>（</w:t>
      </w:r>
      <w:bookmarkEnd w:id="147"/>
      <w:r>
        <w:rPr>
          <w:rFonts w:ascii="Times New Roman" w:eastAsia="Times New Roman" w:hAnsi="Times New Roman" w:cs="Times New Roman"/>
          <w:color w:val="000000"/>
          <w:spacing w:val="0"/>
          <w:w w:val="100"/>
          <w:position w:val="0"/>
        </w:rPr>
        <w:t>4）</w:t>
        <w:tab/>
      </w:r>
      <w:r>
        <w:rPr>
          <w:color w:val="000000"/>
          <w:spacing w:val="0"/>
          <w:w w:val="100"/>
          <w:position w:val="0"/>
        </w:rPr>
        <w:t>可供出售金融资产减值的客观证据</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表明可供出售权益工具投资发生减值的客观证据包括权益工具投资的公允价值发生严重或非暂 时性下跌。本公司于资产负债表日对各项可供出售权益工具投资单独进行检查，若该权益工具 投资于资产负债表日的公允价值低于其成本超过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）或低于其成本持续时间超过</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个月（含</w:t>
      </w:r>
      <w:r>
        <w:rPr>
          <w:rFonts w:ascii="Times New Roman" w:eastAsia="Times New Roman" w:hAnsi="Times New Roman" w:cs="Times New Roman"/>
          <w:color w:val="000000"/>
          <w:spacing w:val="0"/>
          <w:w w:val="100"/>
          <w:position w:val="0"/>
        </w:rPr>
        <w:t>12</w:t>
      </w:r>
      <w:r>
        <w:rPr>
          <w:color w:val="000000"/>
          <w:spacing w:val="0"/>
          <w:w w:val="100"/>
          <w:position w:val="0"/>
        </w:rPr>
        <w:t>个月）的，则表明其发生减值；若该权益工具投资于资产负债表日的公允价值低于 其成本超过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）但尚未达到</w:t>
      </w:r>
      <w:r>
        <w:rPr>
          <w:rFonts w:ascii="Times New Roman" w:eastAsia="Times New Roman" w:hAnsi="Times New Roman" w:cs="Times New Roman"/>
          <w:color w:val="000000"/>
          <w:spacing w:val="0"/>
          <w:w w:val="100"/>
          <w:position w:val="0"/>
        </w:rPr>
        <w:t>50%</w:t>
      </w:r>
      <w:r>
        <w:rPr>
          <w:color w:val="000000"/>
          <w:spacing w:val="0"/>
          <w:w w:val="100"/>
          <w:position w:val="0"/>
        </w:rPr>
        <w:t>的，或低于其成本持续时间超过</w:t>
      </w:r>
      <w:r>
        <w:rPr>
          <w:rFonts w:ascii="Times New Roman" w:eastAsia="Times New Roman" w:hAnsi="Times New Roman" w:cs="Times New Roman"/>
          <w:color w:val="000000"/>
          <w:spacing w:val="0"/>
          <w:w w:val="100"/>
          <w:position w:val="0"/>
        </w:rPr>
        <w:t>6</w:t>
      </w:r>
      <w:r>
        <w:rPr>
          <w:color w:val="000000"/>
          <w:spacing w:val="0"/>
          <w:w w:val="100"/>
          <w:position w:val="0"/>
        </w:rPr>
        <w:t>个月（含</w:t>
      </w:r>
      <w:r>
        <w:rPr>
          <w:rFonts w:ascii="Times New Roman" w:eastAsia="Times New Roman" w:hAnsi="Times New Roman" w:cs="Times New Roman"/>
          <w:color w:val="000000"/>
          <w:spacing w:val="0"/>
          <w:w w:val="100"/>
          <w:position w:val="0"/>
        </w:rPr>
        <w:t>6</w:t>
      </w:r>
      <w:r>
        <w:rPr>
          <w:color w:val="000000"/>
          <w:spacing w:val="0"/>
          <w:w w:val="100"/>
          <w:position w:val="0"/>
        </w:rPr>
        <w:t>个月） 但未超过</w:t>
      </w:r>
      <w:r>
        <w:rPr>
          <w:rFonts w:ascii="Times New Roman" w:eastAsia="Times New Roman" w:hAnsi="Times New Roman" w:cs="Times New Roman"/>
          <w:color w:val="000000"/>
          <w:spacing w:val="0"/>
          <w:w w:val="100"/>
          <w:position w:val="0"/>
        </w:rPr>
        <w:t>12</w:t>
      </w:r>
      <w:r>
        <w:rPr>
          <w:color w:val="000000"/>
          <w:spacing w:val="0"/>
          <w:w w:val="100"/>
          <w:position w:val="0"/>
        </w:rPr>
        <w:t>个月的，本公司会综合考虑其他相关因素，诸如价格波动率等，判断该权益工具投 资是否发生减值。</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上段所述</w:t>
      </w:r>
      <w:r>
        <w:rPr>
          <w:rFonts w:ascii="Times New Roman" w:eastAsia="Times New Roman" w:hAnsi="Times New Roman" w:cs="Times New Roman"/>
          <w:color w:val="000000"/>
          <w:spacing w:val="0"/>
          <w:w w:val="100"/>
          <w:position w:val="0"/>
        </w:rPr>
        <w:t>"</w:t>
      </w:r>
      <w:r>
        <w:rPr>
          <w:color w:val="000000"/>
          <w:spacing w:val="0"/>
          <w:w w:val="100"/>
          <w:position w:val="0"/>
        </w:rPr>
        <w:t>成本</w:t>
      </w:r>
      <w:r>
        <w:rPr>
          <w:rFonts w:ascii="Times New Roman" w:eastAsia="Times New Roman" w:hAnsi="Times New Roman" w:cs="Times New Roman"/>
          <w:color w:val="000000"/>
          <w:spacing w:val="0"/>
          <w:w w:val="100"/>
          <w:position w:val="0"/>
        </w:rPr>
        <w:t>"</w:t>
      </w:r>
      <w:r>
        <w:rPr>
          <w:color w:val="000000"/>
          <w:spacing w:val="0"/>
          <w:w w:val="100"/>
          <w:position w:val="0"/>
        </w:rPr>
        <w:t>按照可供出售权益工具投资的初始取得成本扣除已收回本金和已摊销金额确 定；</w:t>
      </w:r>
      <w:r>
        <w:rPr>
          <w:rFonts w:ascii="Times New Roman" w:eastAsia="Times New Roman" w:hAnsi="Times New Roman" w:cs="Times New Roman"/>
          <w:color w:val="000000"/>
          <w:spacing w:val="0"/>
          <w:w w:val="100"/>
          <w:position w:val="0"/>
        </w:rPr>
        <w:t>"</w:t>
      </w:r>
      <w:r>
        <w:rPr>
          <w:color w:val="000000"/>
          <w:spacing w:val="0"/>
          <w:w w:val="100"/>
          <w:position w:val="0"/>
        </w:rPr>
        <w:t>公允价值</w:t>
      </w:r>
      <w:r>
        <w:rPr>
          <w:rFonts w:ascii="Times New Roman" w:eastAsia="Times New Roman" w:hAnsi="Times New Roman" w:cs="Times New Roman"/>
          <w:color w:val="000000"/>
          <w:spacing w:val="0"/>
          <w:w w:val="100"/>
          <w:position w:val="0"/>
        </w:rPr>
        <w:t>”</w:t>
      </w:r>
      <w:r>
        <w:rPr>
          <w:color w:val="000000"/>
          <w:spacing w:val="0"/>
          <w:w w:val="100"/>
          <w:position w:val="0"/>
        </w:rPr>
        <w:t>根据证券交易所期末收盘价确定。</w:t>
      </w:r>
    </w:p>
    <w:p>
      <w:pPr>
        <w:pStyle w:val="Style13"/>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可供出售金融资产发生减值时，原直接计入所有者权益的因公允价值下降形成的累计损失予以 转出并计入减值损失。对已确认减值损失的可供出售债务工具投资，在期后公允价值上升且客 观上与确认原减值损失后发生的事项有关的，原确认的减值损失予以转回并计入当期损益。对 已确认减值损失的可供出售权益工具投资，期后公允价值上升直接计入所有者权益。</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应收款项：</w:t>
      </w:r>
    </w:p>
    <w:p>
      <w:pPr>
        <w:pStyle w:val="Style19"/>
        <w:keepNext w:val="0"/>
        <w:keepLines w:val="0"/>
        <w:widowControl w:val="0"/>
        <w:shd w:val="clear" w:color="auto" w:fill="auto"/>
        <w:tabs>
          <w:tab w:pos="48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单项金额重大并单项计提坏账准备的应收款项:</w:t>
      </w:r>
    </w:p>
    <w:tbl>
      <w:tblPr>
        <w:tblOverlap w:val="never"/>
        <w:jc w:val="center"/>
        <w:tblLayout w:type="fixed"/>
      </w:tblPr>
      <w:tblGrid>
        <w:gridCol w:w="4661"/>
        <w:gridCol w:w="4656"/>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金额</w:t>
            </w:r>
            <w:r>
              <w:rPr>
                <w:rFonts w:ascii="Times New Roman" w:eastAsia="Times New Roman" w:hAnsi="Times New Roman" w:cs="Times New Roman"/>
                <w:color w:val="000000"/>
                <w:spacing w:val="0"/>
                <w:w w:val="100"/>
                <w:position w:val="0"/>
              </w:rPr>
              <w:t>100</w:t>
            </w:r>
            <w:r>
              <w:rPr>
                <w:color w:val="000000"/>
                <w:spacing w:val="0"/>
                <w:w w:val="100"/>
                <w:position w:val="0"/>
              </w:rPr>
              <w:t xml:space="preserve">万元以上（含）且占应收款项账面余额 </w:t>
            </w:r>
            <w:r>
              <w:rPr>
                <w:rFonts w:ascii="Times New Roman" w:eastAsia="Times New Roman" w:hAnsi="Times New Roman" w:cs="Times New Roman"/>
                <w:color w:val="000000"/>
                <w:spacing w:val="0"/>
                <w:w w:val="100"/>
                <w:position w:val="0"/>
              </w:rPr>
              <w:t>10%</w:t>
            </w:r>
            <w:r>
              <w:rPr>
                <w:color w:val="000000"/>
                <w:spacing w:val="0"/>
                <w:w w:val="100"/>
                <w:position w:val="0"/>
              </w:rPr>
              <w:t>以上的款项</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单独进行减值测试，根据其未来现金流量现值低</w:t>
            </w:r>
          </w:p>
        </w:tc>
      </w:tr>
    </w:tbl>
    <w:p>
      <w:pPr>
        <w:widowControl w:val="0"/>
        <w:spacing w:line="1" w:lineRule="exact"/>
      </w:pPr>
      <w:r>
        <w:br w:type="page"/>
      </w:r>
    </w:p>
    <w:tbl>
      <w:tblPr>
        <w:tblOverlap w:val="never"/>
        <w:jc w:val="center"/>
        <w:tblLayout w:type="fixed"/>
      </w:tblPr>
      <w:tblGrid>
        <w:gridCol w:w="4661"/>
        <w:gridCol w:w="4656"/>
      </w:tblGrid>
      <w:tr>
        <w:trPr>
          <w:trHeight w:val="30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于其账面价值的差额计提坏账准备。</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 按组合计提坏账准备应收款项:</w:t>
      </w:r>
    </w:p>
    <w:tbl>
      <w:tblPr>
        <w:tblOverlap w:val="never"/>
        <w:jc w:val="center"/>
        <w:tblLayout w:type="fixed"/>
      </w:tblPr>
      <w:tblGrid>
        <w:gridCol w:w="4661"/>
        <w:gridCol w:w="4656"/>
      </w:tblGrid>
      <w:tr>
        <w:trPr>
          <w:trHeight w:val="293"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相同账龄的应收款项具有类似信用风险特征</w:t>
            </w:r>
          </w:p>
        </w:tc>
      </w:tr>
      <w:tr>
        <w:trPr>
          <w:trHeight w:val="28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按组合计提坏账准备的计提方法：</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组合中，采用账龄分析法计提坏账准备的:</w:t>
      </w:r>
    </w:p>
    <w:tbl>
      <w:tblPr>
        <w:tblOverlap w:val="never"/>
        <w:jc w:val="center"/>
        <w:tblLayout w:type="fixed"/>
      </w:tblPr>
      <w:tblGrid>
        <w:gridCol w:w="2357"/>
        <w:gridCol w:w="3475"/>
        <w:gridCol w:w="3485"/>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应收账款计提比例说明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其他应收款计提比例说明</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w:t>
            </w:r>
          </w:p>
        </w:tc>
      </w:tr>
    </w:tbl>
    <w:p>
      <w:pPr>
        <w:widowControl w:val="0"/>
        <w:spacing w:after="4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单项金额虽不重大但单项计提坏账准备的应收账款:</w:t>
      </w:r>
    </w:p>
    <w:tbl>
      <w:tblPr>
        <w:tblOverlap w:val="never"/>
        <w:jc w:val="center"/>
        <w:tblLayout w:type="fixed"/>
      </w:tblPr>
      <w:tblGrid>
        <w:gridCol w:w="4661"/>
        <w:gridCol w:w="4656"/>
      </w:tblGrid>
      <w:tr>
        <w:trPr>
          <w:trHeight w:val="8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应收款项的未来现金流量现值与以账龄为信用风 险特征的应收款项组合的未来现金流量现值存在 显著差异</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单独进行减值测试，根据其未来现金流量现值低 于其账面价值的差额计提坏账准备</w:t>
            </w:r>
          </w:p>
        </w:tc>
      </w:tr>
    </w:tbl>
    <w:p>
      <w:pPr>
        <w:widowControl w:val="0"/>
        <w:spacing w:after="239" w:line="1" w:lineRule="exact"/>
      </w:pP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、其他应收款项</w:t>
      </w:r>
    </w:p>
    <w:p>
      <w:pPr>
        <w:pStyle w:val="Style13"/>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对应收票据、预付款项、应收利息、长期应收款等其他应收款项，根据其未来现金流量现值低 于其账面价值的差额计提坏账准备。</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w:t>
      </w:r>
      <w:r>
        <w:rPr>
          <w:color w:val="000000"/>
          <w:spacing w:val="0"/>
          <w:w w:val="100"/>
          <w:position w:val="0"/>
        </w:rPr>
        <w:t>存货：</w:t>
      </w:r>
    </w:p>
    <w:p>
      <w:pPr>
        <w:pStyle w:val="Style13"/>
        <w:keepNext w:val="0"/>
        <w:keepLines w:val="0"/>
        <w:widowControl w:val="0"/>
        <w:shd w:val="clear" w:color="auto" w:fill="auto"/>
        <w:tabs>
          <w:tab w:pos="424" w:val="left"/>
        </w:tabs>
        <w:bidi w:val="0"/>
        <w:spacing w:before="0" w:after="0" w:line="274" w:lineRule="exact"/>
        <w:ind w:left="0" w:right="0" w:firstLine="0"/>
        <w:jc w:val="both"/>
      </w:pPr>
      <w:bookmarkStart w:id="148" w:name="bookmark148"/>
      <w:r>
        <w:rPr>
          <w:rFonts w:ascii="Times New Roman" w:eastAsia="Times New Roman" w:hAnsi="Times New Roman" w:cs="Times New Roman"/>
          <w:color w:val="000000"/>
          <w:spacing w:val="0"/>
          <w:w w:val="100"/>
          <w:position w:val="0"/>
        </w:rPr>
        <w:t>1</w:t>
      </w:r>
      <w:bookmarkEnd w:id="148"/>
      <w:r>
        <w:rPr>
          <w:color w:val="000000"/>
          <w:spacing w:val="0"/>
          <w:w w:val="100"/>
          <w:position w:val="0"/>
        </w:rPr>
        <w:t>、</w:t>
        <w:tab/>
        <w:t>存货的分类</w:t>
      </w:r>
    </w:p>
    <w:p>
      <w:pPr>
        <w:pStyle w:val="Style13"/>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存货包括在日常活动中持有以备出售的产成品或商品、处在生产过程中的在产品、在生产过程 或提供劳务过程中耗用的材料和物料等和在开发经营过程中为出售或耗用而持有的开发用土 地、开发产品、库存材料、库存设备和低值易耗品等，以及在开发过程中的开发成本。</w:t>
      </w:r>
    </w:p>
    <w:p>
      <w:pPr>
        <w:pStyle w:val="Style13"/>
        <w:keepNext w:val="0"/>
        <w:keepLines w:val="0"/>
        <w:widowControl w:val="0"/>
        <w:shd w:val="clear" w:color="auto" w:fill="auto"/>
        <w:tabs>
          <w:tab w:pos="424" w:val="left"/>
        </w:tabs>
        <w:bidi w:val="0"/>
        <w:spacing w:before="0" w:after="0" w:line="277" w:lineRule="exact"/>
        <w:ind w:left="0" w:right="0" w:firstLine="0"/>
        <w:jc w:val="both"/>
      </w:pPr>
      <w:bookmarkStart w:id="149" w:name="bookmark149"/>
      <w:r>
        <w:rPr>
          <w:rFonts w:ascii="Times New Roman" w:eastAsia="Times New Roman" w:hAnsi="Times New Roman" w:cs="Times New Roman"/>
          <w:color w:val="000000"/>
          <w:spacing w:val="0"/>
          <w:w w:val="100"/>
          <w:position w:val="0"/>
        </w:rPr>
        <w:t>2</w:t>
      </w:r>
      <w:bookmarkEnd w:id="149"/>
      <w:r>
        <w:rPr>
          <w:color w:val="000000"/>
          <w:spacing w:val="0"/>
          <w:w w:val="100"/>
          <w:position w:val="0"/>
        </w:rPr>
        <w:t>、</w:t>
        <w:tab/>
        <w:t>发出存货的计价方法</w:t>
      </w:r>
    </w:p>
    <w:p>
      <w:pPr>
        <w:pStyle w:val="Style13"/>
        <w:keepNext w:val="0"/>
        <w:keepLines w:val="0"/>
        <w:widowControl w:val="0"/>
        <w:numPr>
          <w:ilvl w:val="0"/>
          <w:numId w:val="11"/>
        </w:numPr>
        <w:shd w:val="clear" w:color="auto" w:fill="auto"/>
        <w:tabs>
          <w:tab w:pos="430" w:val="left"/>
        </w:tabs>
        <w:bidi w:val="0"/>
        <w:spacing w:before="0" w:after="0" w:line="277" w:lineRule="exact"/>
        <w:ind w:left="0" w:right="0" w:firstLine="0"/>
        <w:jc w:val="both"/>
      </w:pPr>
      <w:bookmarkStart w:id="150" w:name="bookmark150"/>
      <w:bookmarkEnd w:id="150"/>
      <w:r>
        <w:rPr>
          <w:color w:val="000000"/>
          <w:spacing w:val="0"/>
          <w:w w:val="100"/>
          <w:position w:val="0"/>
        </w:rPr>
        <w:t>日常活动中持有的存货及开发经营过程中发出材料、设备采用月末一次加权平均法。</w:t>
      </w:r>
    </w:p>
    <w:p>
      <w:pPr>
        <w:pStyle w:val="Style13"/>
        <w:keepNext w:val="0"/>
        <w:keepLines w:val="0"/>
        <w:widowControl w:val="0"/>
        <w:numPr>
          <w:ilvl w:val="0"/>
          <w:numId w:val="11"/>
        </w:numPr>
        <w:shd w:val="clear" w:color="auto" w:fill="auto"/>
        <w:tabs>
          <w:tab w:pos="430" w:val="left"/>
        </w:tabs>
        <w:bidi w:val="0"/>
        <w:spacing w:before="0" w:after="0" w:line="277" w:lineRule="exact"/>
        <w:ind w:left="0" w:right="0" w:firstLine="0"/>
        <w:jc w:val="both"/>
      </w:pPr>
      <w:bookmarkStart w:id="151" w:name="bookmark151"/>
      <w:bookmarkEnd w:id="151"/>
      <w:r>
        <w:rPr>
          <w:color w:val="000000"/>
          <w:spacing w:val="0"/>
          <w:w w:val="100"/>
          <w:position w:val="0"/>
        </w:rPr>
        <w:t>项目开发时，开发用土地按开发产品占地面积计算分摊计入项目的开发成本。</w:t>
      </w:r>
    </w:p>
    <w:p>
      <w:pPr>
        <w:pStyle w:val="Style13"/>
        <w:keepNext w:val="0"/>
        <w:keepLines w:val="0"/>
        <w:widowControl w:val="0"/>
        <w:numPr>
          <w:ilvl w:val="0"/>
          <w:numId w:val="11"/>
        </w:numPr>
        <w:shd w:val="clear" w:color="auto" w:fill="auto"/>
        <w:tabs>
          <w:tab w:pos="430" w:val="left"/>
        </w:tabs>
        <w:bidi w:val="0"/>
        <w:spacing w:before="0" w:after="0" w:line="277" w:lineRule="exact"/>
        <w:ind w:left="0" w:right="0" w:firstLine="0"/>
        <w:jc w:val="both"/>
      </w:pPr>
      <w:bookmarkStart w:id="152" w:name="bookmark152"/>
      <w:bookmarkEnd w:id="152"/>
      <w:r>
        <w:rPr>
          <w:color w:val="000000"/>
          <w:spacing w:val="0"/>
          <w:w w:val="100"/>
          <w:position w:val="0"/>
        </w:rPr>
        <w:t>发出开发产品分类别按建筑面积平均法核算。</w:t>
      </w:r>
    </w:p>
    <w:p>
      <w:pPr>
        <w:pStyle w:val="Style13"/>
        <w:keepNext w:val="0"/>
        <w:keepLines w:val="0"/>
        <w:widowControl w:val="0"/>
        <w:numPr>
          <w:ilvl w:val="0"/>
          <w:numId w:val="11"/>
        </w:numPr>
        <w:shd w:val="clear" w:color="auto" w:fill="auto"/>
        <w:tabs>
          <w:tab w:pos="430" w:val="left"/>
        </w:tabs>
        <w:bidi w:val="0"/>
        <w:spacing w:before="0" w:after="240" w:line="277" w:lineRule="exact"/>
        <w:ind w:left="0" w:right="0" w:firstLine="0"/>
        <w:jc w:val="both"/>
      </w:pPr>
      <w:bookmarkStart w:id="153" w:name="bookmark153"/>
      <w:bookmarkEnd w:id="153"/>
      <w:r>
        <w:rPr>
          <w:color w:val="000000"/>
          <w:spacing w:val="0"/>
          <w:w w:val="100"/>
          <w:position w:val="0"/>
        </w:rPr>
        <w:t>如果公共配套设施早于有关开发产品完工的，在公共配套设施完工决算后，按有关开发项目 的建筑面积分配计入有关开发项目的开发成本；如果公共配套设施晚于有关开发产品完工的， 则先由有关开发产品预提公共配套设施费，待公共配套设施完工决算后再按实际发生数与预提 数之间的差额调整有关开发产品成本。</w:t>
      </w:r>
    </w:p>
    <w:p>
      <w:pPr>
        <w:pStyle w:val="Style13"/>
        <w:keepNext w:val="0"/>
        <w:keepLines w:val="0"/>
        <w:widowControl w:val="0"/>
        <w:shd w:val="clear" w:color="auto" w:fill="auto"/>
        <w:tabs>
          <w:tab w:pos="424" w:val="left"/>
        </w:tabs>
        <w:bidi w:val="0"/>
        <w:spacing w:before="0" w:after="240" w:line="277" w:lineRule="exact"/>
        <w:ind w:left="0" w:right="0" w:firstLine="0"/>
        <w:jc w:val="both"/>
      </w:pPr>
      <w:bookmarkStart w:id="154" w:name="bookmark154"/>
      <w:r>
        <w:rPr>
          <w:rFonts w:ascii="Times New Roman" w:eastAsia="Times New Roman" w:hAnsi="Times New Roman" w:cs="Times New Roman"/>
          <w:color w:val="000000"/>
          <w:spacing w:val="0"/>
          <w:w w:val="100"/>
          <w:position w:val="0"/>
        </w:rPr>
        <w:t>3</w:t>
      </w:r>
      <w:bookmarkEnd w:id="154"/>
      <w:r>
        <w:rPr>
          <w:color w:val="000000"/>
          <w:spacing w:val="0"/>
          <w:w w:val="100"/>
          <w:position w:val="0"/>
        </w:rPr>
        <w:t>、</w:t>
        <w:tab/>
        <w:t>存货可变现净值的确定依据及存货跌价准备的计提方法</w:t>
      </w:r>
    </w:p>
    <w:p>
      <w:pPr>
        <w:pStyle w:val="Style13"/>
        <w:keepNext w:val="0"/>
        <w:keepLines w:val="0"/>
        <w:widowControl w:val="0"/>
        <w:shd w:val="clear" w:color="auto" w:fill="auto"/>
        <w:bidi w:val="0"/>
        <w:spacing w:before="0" w:after="280" w:line="272" w:lineRule="exact"/>
        <w:ind w:left="0" w:right="0" w:firstLine="0"/>
        <w:jc w:val="both"/>
      </w:pPr>
      <w:r>
        <w:rPr>
          <w:color w:val="000000"/>
          <w:spacing w:val="0"/>
          <w:w w:val="100"/>
          <w:position w:val="0"/>
        </w:rPr>
        <w:t>资产负债表日，存货采用成本与可变现净值孰低计量，按照存货类别成本高于可变现净值的差 额计提存货跌价准备。直接用于出售的存货，在正常生产经营过程中以该存货的估计售价减去 估计的销售费用和相关税费后的金额确定其可变现净值；需要经过加工的存货，在正常生产经 营过程中以所生产的产成品的估计售价减去至完工时估计将要发生的成本、估计的销售费用和 相关税费后的金额确定其可变现净值；资产负债表日，同一项存货中一部分有合同价格约定、 其他部分不存在合同价格的，分别确定其可变现净值，并与其对应的成本进行比较，分别确定 存货跌价准备的计提或转回的金额。</w:t>
      </w:r>
    </w:p>
    <w:p>
      <w:pPr>
        <w:pStyle w:val="Style13"/>
        <w:keepNext w:val="0"/>
        <w:keepLines w:val="0"/>
        <w:widowControl w:val="0"/>
        <w:shd w:val="clear" w:color="auto" w:fill="auto"/>
        <w:tabs>
          <w:tab w:pos="455" w:val="left"/>
        </w:tabs>
        <w:bidi w:val="0"/>
        <w:spacing w:before="0" w:after="0" w:line="288" w:lineRule="auto"/>
        <w:ind w:left="0" w:right="0" w:firstLine="0"/>
        <w:jc w:val="both"/>
      </w:pPr>
      <w:bookmarkStart w:id="155" w:name="bookmark155"/>
      <w:r>
        <w:rPr>
          <w:rFonts w:ascii="Times New Roman" w:eastAsia="Times New Roman" w:hAnsi="Times New Roman" w:cs="Times New Roman"/>
          <w:color w:val="000000"/>
          <w:spacing w:val="0"/>
          <w:w w:val="100"/>
          <w:position w:val="0"/>
        </w:rPr>
        <w:t>4</w:t>
      </w:r>
      <w:bookmarkEnd w:id="155"/>
      <w:r>
        <w:rPr>
          <w:color w:val="000000"/>
          <w:spacing w:val="0"/>
          <w:w w:val="100"/>
          <w:position w:val="0"/>
        </w:rPr>
        <w:t>、</w:t>
        <w:tab/>
        <w:t>存货的盘存制度</w:t>
      </w:r>
    </w:p>
    <w:p>
      <w:pPr>
        <w:pStyle w:val="Style13"/>
        <w:keepNext w:val="0"/>
        <w:keepLines w:val="0"/>
        <w:widowControl w:val="0"/>
        <w:shd w:val="clear" w:color="auto" w:fill="auto"/>
        <w:bidi w:val="0"/>
        <w:spacing w:before="0" w:after="280" w:line="275" w:lineRule="exact"/>
        <w:ind w:left="0" w:right="0" w:firstLine="0"/>
        <w:jc w:val="both"/>
      </w:pPr>
      <w:r>
        <w:rPr>
          <w:color w:val="000000"/>
          <w:spacing w:val="0"/>
          <w:w w:val="100"/>
          <w:position w:val="0"/>
        </w:rPr>
        <w:t>永续盘存制</w:t>
      </w:r>
    </w:p>
    <w:p>
      <w:pPr>
        <w:pStyle w:val="Style13"/>
        <w:keepNext w:val="0"/>
        <w:keepLines w:val="0"/>
        <w:widowControl w:val="0"/>
        <w:shd w:val="clear" w:color="auto" w:fill="auto"/>
        <w:tabs>
          <w:tab w:pos="455" w:val="left"/>
        </w:tabs>
        <w:bidi w:val="0"/>
        <w:spacing w:before="0" w:after="0" w:line="288" w:lineRule="auto"/>
        <w:ind w:left="0" w:right="0" w:firstLine="0"/>
        <w:jc w:val="both"/>
      </w:pPr>
      <w:bookmarkStart w:id="156" w:name="bookmark156"/>
      <w:r>
        <w:rPr>
          <w:rFonts w:ascii="Times New Roman" w:eastAsia="Times New Roman" w:hAnsi="Times New Roman" w:cs="Times New Roman"/>
          <w:color w:val="000000"/>
          <w:spacing w:val="0"/>
          <w:w w:val="100"/>
          <w:position w:val="0"/>
        </w:rPr>
        <w:t>5</w:t>
      </w:r>
      <w:bookmarkEnd w:id="156"/>
      <w:r>
        <w:rPr>
          <w:color w:val="000000"/>
          <w:spacing w:val="0"/>
          <w:w w:val="100"/>
          <w:position w:val="0"/>
        </w:rPr>
        <w:t>、</w:t>
        <w:tab/>
        <w:t>低值易耗品和包装物的摊销方法</w:t>
      </w:r>
    </w:p>
    <w:p>
      <w:pPr>
        <w:pStyle w:val="Style13"/>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低值易耗品</w:t>
      </w:r>
    </w:p>
    <w:p>
      <w:pPr>
        <w:pStyle w:val="Style13"/>
        <w:keepNext w:val="0"/>
        <w:keepLines w:val="0"/>
        <w:widowControl w:val="0"/>
        <w:shd w:val="clear" w:color="auto" w:fill="auto"/>
        <w:bidi w:val="0"/>
        <w:spacing w:before="0" w:after="220" w:line="275" w:lineRule="exact"/>
        <w:ind w:left="0" w:right="0" w:firstLine="0"/>
        <w:jc w:val="both"/>
      </w:pPr>
      <w:r>
        <w:rPr>
          <w:color w:val="000000"/>
          <w:spacing w:val="0"/>
          <w:w w:val="100"/>
          <w:position w:val="0"/>
        </w:rPr>
        <w:t>一次摊销法</w:t>
      </w:r>
    </w:p>
    <w:p>
      <w:pPr>
        <w:pStyle w:val="Style13"/>
        <w:keepNext w:val="0"/>
        <w:keepLines w:val="0"/>
        <w:widowControl w:val="0"/>
        <w:shd w:val="clear" w:color="auto" w:fill="auto"/>
        <w:bidi w:val="0"/>
        <w:spacing w:before="0" w:after="0" w:line="275" w:lineRule="exact"/>
        <w:ind w:left="0" w:right="0" w:firstLine="0"/>
        <w:jc w:val="both"/>
      </w:pPr>
      <w:r>
        <w:rPr>
          <w:color w:val="000000"/>
          <w:spacing w:val="0"/>
          <w:w w:val="100"/>
          <w:position w:val="0"/>
        </w:rPr>
        <w:t>⑵包装物</w:t>
      </w:r>
    </w:p>
    <w:p>
      <w:pPr>
        <w:pStyle w:val="Style13"/>
        <w:keepNext w:val="0"/>
        <w:keepLines w:val="0"/>
        <w:widowControl w:val="0"/>
        <w:shd w:val="clear" w:color="auto" w:fill="auto"/>
        <w:bidi w:val="0"/>
        <w:spacing w:before="0" w:after="280" w:line="275" w:lineRule="exact"/>
        <w:ind w:left="0" w:right="0" w:firstLine="0"/>
        <w:jc w:val="both"/>
      </w:pPr>
      <w:r>
        <w:rPr>
          <w:color w:val="000000"/>
          <w:spacing w:val="0"/>
          <w:w w:val="100"/>
          <w:position w:val="0"/>
        </w:rPr>
        <w:t>一次摊销法</w:t>
      </w:r>
    </w:p>
    <w:p>
      <w:pPr>
        <w:pStyle w:val="Style13"/>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其他周转材料</w:t>
      </w:r>
    </w:p>
    <w:p>
      <w:pPr>
        <w:pStyle w:val="Style13"/>
        <w:keepNext w:val="0"/>
        <w:keepLines w:val="0"/>
        <w:widowControl w:val="0"/>
        <w:shd w:val="clear" w:color="auto" w:fill="auto"/>
        <w:bidi w:val="0"/>
        <w:spacing w:before="0" w:after="280" w:line="275" w:lineRule="exact"/>
        <w:ind w:left="0" w:right="0" w:firstLine="0"/>
        <w:jc w:val="both"/>
      </w:pPr>
      <w:r>
        <w:rPr>
          <w:color w:val="000000"/>
          <w:spacing w:val="0"/>
          <w:w w:val="100"/>
          <w:position w:val="0"/>
        </w:rPr>
        <w:t>其他周转材料</w:t>
      </w:r>
      <w:r>
        <w:rPr>
          <w:rFonts w:ascii="Times New Roman" w:eastAsia="Times New Roman" w:hAnsi="Times New Roman" w:cs="Times New Roman"/>
          <w:color w:val="000000"/>
          <w:spacing w:val="0"/>
          <w:w w:val="100"/>
          <w:position w:val="0"/>
        </w:rPr>
        <w:t>--</w:t>
      </w:r>
      <w:r>
        <w:rPr>
          <w:color w:val="000000"/>
          <w:spacing w:val="0"/>
          <w:w w:val="100"/>
          <w:position w:val="0"/>
        </w:rPr>
        <w:t>芯棒、定径辊分次进行摊销。</w:t>
      </w:r>
    </w:p>
    <w:p>
      <w:pPr>
        <w:pStyle w:val="Style13"/>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长期股权投资：</w:t>
      </w:r>
    </w:p>
    <w:p>
      <w:pPr>
        <w:pStyle w:val="Style13"/>
        <w:keepNext w:val="0"/>
        <w:keepLines w:val="0"/>
        <w:widowControl w:val="0"/>
        <w:shd w:val="clear" w:color="auto" w:fill="auto"/>
        <w:tabs>
          <w:tab w:pos="455" w:val="left"/>
        </w:tabs>
        <w:bidi w:val="0"/>
        <w:spacing w:before="0" w:after="0" w:line="288" w:lineRule="auto"/>
        <w:ind w:left="0" w:right="0" w:firstLine="0"/>
        <w:jc w:val="both"/>
      </w:pPr>
      <w:bookmarkStart w:id="157" w:name="bookmark157"/>
      <w:r>
        <w:rPr>
          <w:rFonts w:ascii="Times New Roman" w:eastAsia="Times New Roman" w:hAnsi="Times New Roman" w:cs="Times New Roman"/>
          <w:color w:val="000000"/>
          <w:spacing w:val="0"/>
          <w:w w:val="100"/>
          <w:position w:val="0"/>
        </w:rPr>
        <w:t>1</w:t>
      </w:r>
      <w:bookmarkEnd w:id="157"/>
      <w:r>
        <w:rPr>
          <w:color w:val="000000"/>
          <w:spacing w:val="0"/>
          <w:w w:val="100"/>
          <w:position w:val="0"/>
        </w:rPr>
        <w:t>、</w:t>
        <w:tab/>
        <w:t>投资成本确定</w:t>
      </w:r>
    </w:p>
    <w:p>
      <w:pPr>
        <w:pStyle w:val="Style13"/>
        <w:keepNext w:val="0"/>
        <w:keepLines w:val="0"/>
        <w:widowControl w:val="0"/>
        <w:numPr>
          <w:ilvl w:val="0"/>
          <w:numId w:val="13"/>
        </w:numPr>
        <w:shd w:val="clear" w:color="auto" w:fill="auto"/>
        <w:tabs>
          <w:tab w:pos="455" w:val="left"/>
        </w:tabs>
        <w:bidi w:val="0"/>
        <w:spacing w:before="0" w:after="0" w:line="277" w:lineRule="exact"/>
        <w:ind w:left="0" w:right="0" w:firstLine="0"/>
        <w:jc w:val="both"/>
      </w:pPr>
      <w:bookmarkStart w:id="158" w:name="bookmark158"/>
      <w:bookmarkEnd w:id="158"/>
      <w:r>
        <w:rPr>
          <w:color w:val="000000"/>
          <w:spacing w:val="0"/>
          <w:w w:val="100"/>
          <w:position w:val="0"/>
        </w:rPr>
        <w:t>同一控制下的企业合并形成的，合并方以支付现金、转让非现金资产、承担债务或发行权益 性证券作为合并对价的，在合并日按照取得被合并方所有者权益账面价值的份额作为其初始投 资成本。长期股权投资初始投资成本与支付的合并对价的账面价值或发行股份的面值总额之间 的差额调整资本公积；资本公积不足冲减的，调整留存收益。</w:t>
      </w:r>
    </w:p>
    <w:p>
      <w:pPr>
        <w:pStyle w:val="Style13"/>
        <w:keepNext w:val="0"/>
        <w:keepLines w:val="0"/>
        <w:widowControl w:val="0"/>
        <w:numPr>
          <w:ilvl w:val="0"/>
          <w:numId w:val="13"/>
        </w:numPr>
        <w:shd w:val="clear" w:color="auto" w:fill="auto"/>
        <w:tabs>
          <w:tab w:pos="455" w:val="left"/>
        </w:tabs>
        <w:bidi w:val="0"/>
        <w:spacing w:before="0" w:after="0" w:line="277" w:lineRule="exact"/>
        <w:ind w:left="0" w:right="0" w:firstLine="0"/>
        <w:jc w:val="both"/>
      </w:pPr>
      <w:bookmarkStart w:id="159" w:name="bookmark159"/>
      <w:bookmarkEnd w:id="159"/>
      <w:r>
        <w:rPr>
          <w:color w:val="000000"/>
          <w:spacing w:val="0"/>
          <w:w w:val="100"/>
          <w:position w:val="0"/>
        </w:rPr>
        <w:t>非同一控制下的企业合并形成的，在购买日按照支付的合并对价的公允价值作为其初始投资 成本。</w:t>
      </w:r>
    </w:p>
    <w:p>
      <w:pPr>
        <w:pStyle w:val="Style13"/>
        <w:keepNext w:val="0"/>
        <w:keepLines w:val="0"/>
        <w:widowControl w:val="0"/>
        <w:numPr>
          <w:ilvl w:val="0"/>
          <w:numId w:val="13"/>
        </w:numPr>
        <w:shd w:val="clear" w:color="auto" w:fill="auto"/>
        <w:tabs>
          <w:tab w:pos="455" w:val="left"/>
        </w:tabs>
        <w:bidi w:val="0"/>
        <w:spacing w:before="0" w:after="280" w:line="277" w:lineRule="exact"/>
        <w:ind w:left="0" w:right="0" w:firstLine="0"/>
        <w:jc w:val="both"/>
      </w:pPr>
      <w:bookmarkStart w:id="160" w:name="bookmark160"/>
      <w:bookmarkEnd w:id="160"/>
      <w:r>
        <w:rPr>
          <w:color w:val="000000"/>
          <w:spacing w:val="0"/>
          <w:w w:val="100"/>
          <w:position w:val="0"/>
        </w:rPr>
        <w:t>除企业合并形成以外的：以支付现金取得的,按照实际支付的购买价款作为其初始投资成本; 以发行权益性证券取得的，按照发行权益性证券的公允价值作为其初始投资成本；投资者投入 的，按照投资合同或协议约定的价值作为其初始投资成本(合同或协议约定价值不公允的除外)。</w:t>
      </w:r>
    </w:p>
    <w:p>
      <w:pPr>
        <w:pStyle w:val="Style13"/>
        <w:keepNext w:val="0"/>
        <w:keepLines w:val="0"/>
        <w:widowControl w:val="0"/>
        <w:shd w:val="clear" w:color="auto" w:fill="auto"/>
        <w:tabs>
          <w:tab w:pos="455" w:val="left"/>
        </w:tabs>
        <w:bidi w:val="0"/>
        <w:spacing w:before="0" w:after="0" w:line="288" w:lineRule="auto"/>
        <w:ind w:left="0" w:right="0" w:firstLine="0"/>
        <w:jc w:val="both"/>
      </w:pPr>
      <w:bookmarkStart w:id="161" w:name="bookmark161"/>
      <w:r>
        <w:rPr>
          <w:rFonts w:ascii="Times New Roman" w:eastAsia="Times New Roman" w:hAnsi="Times New Roman" w:cs="Times New Roman"/>
          <w:color w:val="000000"/>
          <w:spacing w:val="0"/>
          <w:w w:val="100"/>
          <w:position w:val="0"/>
        </w:rPr>
        <w:t>2</w:t>
      </w:r>
      <w:bookmarkEnd w:id="161"/>
      <w:r>
        <w:rPr>
          <w:color w:val="000000"/>
          <w:spacing w:val="0"/>
          <w:w w:val="100"/>
          <w:position w:val="0"/>
        </w:rPr>
        <w:t>、</w:t>
        <w:tab/>
        <w:t>后续计量及损益确认方法</w:t>
      </w:r>
    </w:p>
    <w:p>
      <w:pPr>
        <w:pStyle w:val="Style13"/>
        <w:keepNext w:val="0"/>
        <w:keepLines w:val="0"/>
        <w:widowControl w:val="0"/>
        <w:shd w:val="clear" w:color="auto" w:fill="auto"/>
        <w:bidi w:val="0"/>
        <w:spacing w:before="0" w:after="280" w:line="275" w:lineRule="exact"/>
        <w:ind w:left="0" w:right="0" w:firstLine="0"/>
        <w:jc w:val="both"/>
      </w:pPr>
      <w:r>
        <w:rPr>
          <w:color w:val="000000"/>
          <w:spacing w:val="0"/>
          <w:w w:val="100"/>
          <w:position w:val="0"/>
        </w:rPr>
        <w:t>对被投资单位能够实施控制的长期股权投资采用成本法核算，在编制合并财务报表时按照权益 法进行调整；对不具有共同控制或重大影响，并且在活跃市场中没有报价、公允价值不能可靠 计量的长期股权投资，采用成本法核算；对具有共同控制或重大影响的长期股权投资，采用权 益法核算。</w:t>
      </w:r>
    </w:p>
    <w:p>
      <w:pPr>
        <w:pStyle w:val="Style13"/>
        <w:keepNext w:val="0"/>
        <w:keepLines w:val="0"/>
        <w:widowControl w:val="0"/>
        <w:shd w:val="clear" w:color="auto" w:fill="auto"/>
        <w:tabs>
          <w:tab w:pos="455" w:val="left"/>
        </w:tabs>
        <w:bidi w:val="0"/>
        <w:spacing w:before="0" w:after="0"/>
        <w:ind w:left="0" w:right="0" w:firstLine="0"/>
        <w:jc w:val="both"/>
      </w:pPr>
      <w:bookmarkStart w:id="162" w:name="bookmark162"/>
      <w:r>
        <w:rPr>
          <w:rFonts w:ascii="Times New Roman" w:eastAsia="Times New Roman" w:hAnsi="Times New Roman" w:cs="Times New Roman"/>
          <w:color w:val="000000"/>
          <w:spacing w:val="0"/>
          <w:w w:val="100"/>
          <w:position w:val="0"/>
        </w:rPr>
        <w:t>3</w:t>
      </w:r>
      <w:bookmarkEnd w:id="162"/>
      <w:r>
        <w:rPr>
          <w:color w:val="000000"/>
          <w:spacing w:val="0"/>
          <w:w w:val="100"/>
          <w:position w:val="0"/>
        </w:rPr>
        <w:t>、</w:t>
        <w:tab/>
        <w:t>确定对被投资单位具有共同控制、重大影响的依据</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按照合同约定，与被投资单位相关的重要财务和经营决策需要分享控制权的投资方一致同意的， 认定为共同控制；对被投资单位的财务和经营政策有参与决策的权力，但并不能够控制或者与 其他方一起共同控制这些政策的制定的，认定为重大影响。</w:t>
      </w:r>
    </w:p>
    <w:p>
      <w:pPr>
        <w:pStyle w:val="Style13"/>
        <w:keepNext w:val="0"/>
        <w:keepLines w:val="0"/>
        <w:widowControl w:val="0"/>
        <w:shd w:val="clear" w:color="auto" w:fill="auto"/>
        <w:tabs>
          <w:tab w:pos="455" w:val="left"/>
        </w:tabs>
        <w:bidi w:val="0"/>
        <w:spacing w:before="0" w:after="0"/>
        <w:ind w:left="0" w:right="0" w:firstLine="0"/>
        <w:jc w:val="both"/>
      </w:pPr>
      <w:bookmarkStart w:id="163" w:name="bookmark163"/>
      <w:r>
        <w:rPr>
          <w:rFonts w:ascii="Times New Roman" w:eastAsia="Times New Roman" w:hAnsi="Times New Roman" w:cs="Times New Roman"/>
          <w:color w:val="000000"/>
          <w:spacing w:val="0"/>
          <w:w w:val="100"/>
          <w:position w:val="0"/>
        </w:rPr>
        <w:t>4</w:t>
      </w:r>
      <w:bookmarkEnd w:id="163"/>
      <w:r>
        <w:rPr>
          <w:color w:val="000000"/>
          <w:spacing w:val="0"/>
          <w:w w:val="100"/>
          <w:position w:val="0"/>
        </w:rPr>
        <w:t>、</w:t>
        <w:tab/>
        <w:t>减值测试方法及减值准备计提方法</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对子公司、联营企业及合营企业的投资，在资产负债表日有客观证据表明其发生减值的，按照 账面价值高于可收回金额的差额计提相应的减值准备；对被投资单位不具有共同控制或重大影 响、在活跃市场中没有报价、公允价值不能可靠计量的长期股权投资，按照《企业会计准则第</w:t>
      </w:r>
    </w:p>
    <w:p>
      <w:pPr>
        <w:pStyle w:val="Style13"/>
        <w:keepNext w:val="0"/>
        <w:keepLines w:val="0"/>
        <w:widowControl w:val="0"/>
        <w:shd w:val="clear" w:color="auto" w:fill="auto"/>
        <w:bidi w:val="0"/>
        <w:spacing w:before="0" w:after="240" w:line="274" w:lineRule="exact"/>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金融工具确认和计量》的规定计提相应的减值准备。</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投资性房地产：</w:t>
      </w:r>
    </w:p>
    <w:p>
      <w:pPr>
        <w:pStyle w:val="Style13"/>
        <w:keepNext w:val="0"/>
        <w:keepLines w:val="0"/>
        <w:widowControl w:val="0"/>
        <w:numPr>
          <w:ilvl w:val="0"/>
          <w:numId w:val="15"/>
        </w:numPr>
        <w:shd w:val="clear" w:color="auto" w:fill="auto"/>
        <w:tabs>
          <w:tab w:pos="330" w:val="left"/>
        </w:tabs>
        <w:bidi w:val="0"/>
        <w:spacing w:before="0" w:after="0" w:line="275" w:lineRule="exact"/>
        <w:ind w:left="0" w:right="0" w:firstLine="0"/>
        <w:jc w:val="left"/>
      </w:pPr>
      <w:bookmarkStart w:id="164" w:name="bookmark164"/>
      <w:bookmarkEnd w:id="164"/>
      <w:r>
        <w:rPr>
          <w:color w:val="000000"/>
          <w:spacing w:val="0"/>
          <w:w w:val="100"/>
          <w:position w:val="0"/>
        </w:rPr>
        <w:t>投资性房地产包括已出租的土地使用权、持有并准备增值后转让的土地使用权和已出租的建 筑物。</w:t>
      </w:r>
    </w:p>
    <w:p>
      <w:pPr>
        <w:pStyle w:val="Style13"/>
        <w:keepNext w:val="0"/>
        <w:keepLines w:val="0"/>
        <w:widowControl w:val="0"/>
        <w:numPr>
          <w:ilvl w:val="0"/>
          <w:numId w:val="15"/>
        </w:numPr>
        <w:shd w:val="clear" w:color="auto" w:fill="auto"/>
        <w:tabs>
          <w:tab w:pos="334" w:val="left"/>
        </w:tabs>
        <w:bidi w:val="0"/>
        <w:spacing w:before="0" w:after="240" w:line="275" w:lineRule="exact"/>
        <w:ind w:left="0" w:right="0" w:firstLine="0"/>
        <w:jc w:val="left"/>
      </w:pPr>
      <w:bookmarkStart w:id="165" w:name="bookmark165"/>
      <w:bookmarkEnd w:id="165"/>
      <w:r>
        <w:rPr>
          <w:color w:val="000000"/>
          <w:spacing w:val="0"/>
          <w:w w:val="100"/>
          <w:position w:val="0"/>
        </w:rPr>
        <w:t>投资性房地产按照成本进行初始计量，采用成本模式进行后续计量，并采用与固定资产和无 形资产相同的方法计提折旧或进行摊销。资产负债表日，有迹象表明投资性房地产发生减值的， 按照账面价值高于可收回金额的差额计提相应的减值准备。</w:t>
      </w: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固定资产：</w:t>
      </w:r>
    </w:p>
    <w:p>
      <w:pPr>
        <w:pStyle w:val="Style13"/>
        <w:keepNext w:val="0"/>
        <w:keepLines w:val="0"/>
        <w:widowControl w:val="0"/>
        <w:shd w:val="clear" w:color="auto" w:fill="auto"/>
        <w:tabs>
          <w:tab w:pos="528" w:val="left"/>
        </w:tabs>
        <w:bidi w:val="0"/>
        <w:spacing w:before="0" w:after="0" w:line="274" w:lineRule="exact"/>
        <w:ind w:left="0" w:right="0" w:firstLine="0"/>
        <w:jc w:val="left"/>
      </w:pPr>
      <w:bookmarkStart w:id="166" w:name="bookmark166"/>
      <w:r>
        <w:rPr>
          <w:rFonts w:ascii="Times New Roman" w:eastAsia="Times New Roman" w:hAnsi="Times New Roman" w:cs="Times New Roman"/>
          <w:color w:val="000000"/>
          <w:spacing w:val="0"/>
          <w:w w:val="100"/>
          <w:position w:val="0"/>
        </w:rPr>
        <w:t>1</w:t>
      </w:r>
      <w:bookmarkEnd w:id="166"/>
      <w:r>
        <w:rPr>
          <w:color w:val="000000"/>
          <w:spacing w:val="0"/>
          <w:w w:val="100"/>
          <w:position w:val="0"/>
        </w:rPr>
        <w:t>、</w:t>
        <w:tab/>
        <w:t>固定资产确认条件、计价和折旧方法：</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固定资产是指为生产商品、提供劳务、出租或经营管理而持有的，使用年限超过一年，单位价 值较高的有形资产。</w:t>
      </w:r>
    </w:p>
    <w:p>
      <w:pPr>
        <w:pStyle w:val="Style13"/>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固定资产以取得时的实际成本入账，并从其达到预定可使用状态的次月起，采用直线法</w:t>
      </w:r>
      <w:r>
        <w:rPr>
          <w:rFonts w:ascii="Times New Roman" w:eastAsia="Times New Roman" w:hAnsi="Times New Roman" w:cs="Times New Roman"/>
          <w:color w:val="000000"/>
          <w:spacing w:val="0"/>
          <w:w w:val="100"/>
          <w:position w:val="0"/>
        </w:rPr>
        <w:t>（</w:t>
      </w:r>
      <w:r>
        <w:rPr>
          <w:color w:val="000000"/>
          <w:spacing w:val="0"/>
          <w:w w:val="100"/>
          <w:position w:val="0"/>
        </w:rPr>
        <w:t>年限平 均法</w:t>
      </w:r>
      <w:r>
        <w:rPr>
          <w:rFonts w:ascii="Times New Roman" w:eastAsia="Times New Roman" w:hAnsi="Times New Roman" w:cs="Times New Roman"/>
          <w:color w:val="000000"/>
          <w:spacing w:val="0"/>
          <w:w w:val="100"/>
          <w:position w:val="0"/>
        </w:rPr>
        <w:t>）</w:t>
      </w:r>
      <w:r>
        <w:rPr>
          <w:color w:val="000000"/>
          <w:spacing w:val="0"/>
          <w:w w:val="100"/>
          <w:position w:val="0"/>
        </w:rPr>
        <w:t>提取折旧。</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 各类固定资产的折旧方法:</w:t>
      </w:r>
    </w:p>
    <w:tbl>
      <w:tblPr>
        <w:tblOverlap w:val="never"/>
        <w:jc w:val="center"/>
        <w:tblLayout w:type="fixed"/>
      </w:tblPr>
      <w:tblGrid>
        <w:gridCol w:w="1906"/>
        <w:gridCol w:w="2563"/>
        <w:gridCol w:w="2371"/>
        <w:gridCol w:w="247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20"/>
                <w:szCs w:val="20"/>
              </w:rPr>
              <w:t>残值率</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20"/>
                <w:szCs w:val="20"/>
              </w:rPr>
              <w:t>年折旧率</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9.70-2.77</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19.40-6.93</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12.13-6.93</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19.40-12.13</w:t>
            </w:r>
          </w:p>
        </w:tc>
      </w:tr>
    </w:tbl>
    <w:p>
      <w:pPr>
        <w:widowControl w:val="0"/>
        <w:spacing w:after="239" w:line="1" w:lineRule="exact"/>
      </w:pPr>
    </w:p>
    <w:p>
      <w:pPr>
        <w:pStyle w:val="Style13"/>
        <w:keepNext w:val="0"/>
        <w:keepLines w:val="0"/>
        <w:widowControl w:val="0"/>
        <w:shd w:val="clear" w:color="auto" w:fill="auto"/>
        <w:tabs>
          <w:tab w:pos="528" w:val="left"/>
        </w:tabs>
        <w:bidi w:val="0"/>
        <w:spacing w:before="0" w:after="240" w:line="276" w:lineRule="exact"/>
        <w:ind w:left="0" w:right="0" w:firstLine="0"/>
        <w:jc w:val="left"/>
      </w:pPr>
      <w:bookmarkStart w:id="167" w:name="bookmark167"/>
      <w:r>
        <w:rPr>
          <w:rFonts w:ascii="Times New Roman" w:eastAsia="Times New Roman" w:hAnsi="Times New Roman" w:cs="Times New Roman"/>
          <w:color w:val="000000"/>
          <w:spacing w:val="0"/>
          <w:w w:val="100"/>
          <w:position w:val="0"/>
          <w:shd w:val="clear" w:color="auto" w:fill="FFFFFF"/>
        </w:rPr>
        <w:t>3</w:t>
      </w:r>
      <w:bookmarkEnd w:id="167"/>
      <w:r>
        <w:rPr>
          <w:color w:val="000000"/>
          <w:spacing w:val="0"/>
          <w:w w:val="100"/>
          <w:position w:val="0"/>
          <w:shd w:val="clear" w:color="auto" w:fill="FFFFFF"/>
        </w:rPr>
        <w:t>、</w:t>
      </w:r>
      <w:r>
        <w:rPr>
          <w:color w:val="000000"/>
          <w:spacing w:val="0"/>
          <w:w w:val="100"/>
          <w:position w:val="0"/>
        </w:rPr>
        <w:tab/>
        <w:t>固定资产的减值测试方法、减值准备计提方法 资产负债表日，有迹象表明固定资产发生减值的，按照账面价值高于可收回金额的差额计提相 应的减值准备。</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在建工程：</w:t>
      </w:r>
    </w:p>
    <w:p>
      <w:pPr>
        <w:pStyle w:val="Style13"/>
        <w:keepNext w:val="0"/>
        <w:keepLines w:val="0"/>
        <w:widowControl w:val="0"/>
        <w:numPr>
          <w:ilvl w:val="0"/>
          <w:numId w:val="17"/>
        </w:numPr>
        <w:shd w:val="clear" w:color="auto" w:fill="auto"/>
        <w:tabs>
          <w:tab w:pos="330" w:val="left"/>
        </w:tabs>
        <w:bidi w:val="0"/>
        <w:spacing w:before="0" w:after="0" w:line="275" w:lineRule="exact"/>
        <w:ind w:left="0" w:right="0" w:firstLine="0"/>
        <w:jc w:val="left"/>
      </w:pPr>
      <w:bookmarkStart w:id="168" w:name="bookmark168"/>
      <w:bookmarkEnd w:id="168"/>
      <w:r>
        <w:rPr>
          <w:color w:val="000000"/>
          <w:spacing w:val="0"/>
          <w:w w:val="100"/>
          <w:position w:val="0"/>
        </w:rPr>
        <w:t>在建工程同时满足经济利益很可能流入、成本能够可靠计量则予以确认。在建工程按建造该 项资产达到预定可使用状态前所发生的实际成本计量。</w:t>
      </w:r>
    </w:p>
    <w:p>
      <w:pPr>
        <w:pStyle w:val="Style13"/>
        <w:keepNext w:val="0"/>
        <w:keepLines w:val="0"/>
        <w:widowControl w:val="0"/>
        <w:numPr>
          <w:ilvl w:val="0"/>
          <w:numId w:val="17"/>
        </w:numPr>
        <w:shd w:val="clear" w:color="auto" w:fill="auto"/>
        <w:tabs>
          <w:tab w:pos="334" w:val="left"/>
        </w:tabs>
        <w:bidi w:val="0"/>
        <w:spacing w:before="0" w:after="0" w:line="275" w:lineRule="exact"/>
        <w:ind w:left="0" w:right="0" w:firstLine="0"/>
        <w:jc w:val="left"/>
      </w:pPr>
      <w:bookmarkStart w:id="169" w:name="bookmark169"/>
      <w:bookmarkEnd w:id="169"/>
      <w:r>
        <w:rPr>
          <w:color w:val="000000"/>
          <w:spacing w:val="0"/>
          <w:w w:val="100"/>
          <w:position w:val="0"/>
        </w:rPr>
        <w:t>在建工程达到预定可使用状态时，按工程实际成本转入固定资产。已达到预定可使用状态但 尚未办理竣工决算的，先按估计价值转入固定资产，待办理竣工决算后再按实际成本调整原暂 估价值，但不再调整原已计提的折旧。</w:t>
      </w:r>
    </w:p>
    <w:p>
      <w:pPr>
        <w:pStyle w:val="Style13"/>
        <w:keepNext w:val="0"/>
        <w:keepLines w:val="0"/>
        <w:widowControl w:val="0"/>
        <w:numPr>
          <w:ilvl w:val="0"/>
          <w:numId w:val="17"/>
        </w:numPr>
        <w:shd w:val="clear" w:color="auto" w:fill="auto"/>
        <w:tabs>
          <w:tab w:pos="334" w:val="left"/>
        </w:tabs>
        <w:bidi w:val="0"/>
        <w:spacing w:before="0" w:after="240" w:line="293" w:lineRule="exact"/>
        <w:ind w:left="0" w:right="0" w:firstLine="0"/>
        <w:jc w:val="left"/>
      </w:pPr>
      <w:bookmarkStart w:id="170" w:name="bookmark170"/>
      <w:bookmarkEnd w:id="170"/>
      <w:r>
        <w:rPr>
          <w:color w:val="000000"/>
          <w:spacing w:val="0"/>
          <w:w w:val="100"/>
          <w:position w:val="0"/>
        </w:rPr>
        <w:t>资产负债表日，有迹象表明在建工程发生减值的，按照账面价值高于可收回金额的差额计提 相应的减值准备。</w:t>
      </w: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借款费用</w:t>
      </w:r>
      <w:r>
        <w:rPr>
          <w:color w:val="000000"/>
          <w:spacing w:val="0"/>
          <w:w w:val="100"/>
          <w:position w:val="0"/>
        </w:rPr>
        <w:t>：</w:t>
      </w:r>
    </w:p>
    <w:p>
      <w:pPr>
        <w:pStyle w:val="Style13"/>
        <w:keepNext w:val="0"/>
        <w:keepLines w:val="0"/>
        <w:widowControl w:val="0"/>
        <w:numPr>
          <w:ilvl w:val="0"/>
          <w:numId w:val="19"/>
        </w:numPr>
        <w:shd w:val="clear" w:color="auto" w:fill="auto"/>
        <w:tabs>
          <w:tab w:pos="315" w:val="left"/>
        </w:tabs>
        <w:bidi w:val="0"/>
        <w:spacing w:before="0" w:after="0" w:line="274" w:lineRule="exact"/>
        <w:ind w:left="0" w:right="0" w:firstLine="0"/>
        <w:jc w:val="left"/>
      </w:pPr>
      <w:bookmarkStart w:id="171" w:name="bookmark171"/>
      <w:bookmarkEnd w:id="171"/>
      <w:r>
        <w:rPr>
          <w:color w:val="000000"/>
          <w:spacing w:val="0"/>
          <w:w w:val="100"/>
          <w:position w:val="0"/>
        </w:rPr>
        <w:t>借款费用资本化的确认原则</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13"/>
        <w:keepNext w:val="0"/>
        <w:keepLines w:val="0"/>
        <w:widowControl w:val="0"/>
        <w:numPr>
          <w:ilvl w:val="0"/>
          <w:numId w:val="19"/>
        </w:numPr>
        <w:shd w:val="clear" w:color="auto" w:fill="auto"/>
        <w:tabs>
          <w:tab w:pos="363" w:val="left"/>
        </w:tabs>
        <w:bidi w:val="0"/>
        <w:spacing w:before="0" w:after="0" w:line="274" w:lineRule="exact"/>
        <w:ind w:left="0" w:right="0" w:firstLine="0"/>
        <w:jc w:val="left"/>
      </w:pPr>
      <w:bookmarkStart w:id="172" w:name="bookmark172"/>
      <w:bookmarkEnd w:id="172"/>
      <w:r>
        <w:rPr>
          <w:color w:val="000000"/>
          <w:spacing w:val="0"/>
          <w:w w:val="100"/>
          <w:position w:val="0"/>
        </w:rPr>
        <w:t>借款费用资本化期间</w:t>
      </w:r>
    </w:p>
    <w:p>
      <w:pPr>
        <w:pStyle w:val="Style13"/>
        <w:keepNext w:val="0"/>
        <w:keepLines w:val="0"/>
        <w:widowControl w:val="0"/>
        <w:shd w:val="clear" w:color="auto" w:fill="auto"/>
        <w:tabs>
          <w:tab w:pos="430" w:val="left"/>
        </w:tabs>
        <w:bidi w:val="0"/>
        <w:spacing w:before="0" w:after="0" w:line="274" w:lineRule="exact"/>
        <w:ind w:left="0" w:right="0" w:firstLine="0"/>
        <w:jc w:val="left"/>
      </w:pPr>
      <w:bookmarkStart w:id="173" w:name="bookmark173"/>
      <w:r>
        <w:rPr>
          <w:rFonts w:ascii="Times New Roman" w:eastAsia="Times New Roman" w:hAnsi="Times New Roman" w:cs="Times New Roman"/>
          <w:color w:val="000000"/>
          <w:spacing w:val="0"/>
          <w:w w:val="100"/>
          <w:position w:val="0"/>
        </w:rPr>
        <w:t>（</w:t>
      </w:r>
      <w:bookmarkEnd w:id="173"/>
      <w:r>
        <w:rPr>
          <w:rFonts w:ascii="Times New Roman" w:eastAsia="Times New Roman" w:hAnsi="Times New Roman" w:cs="Times New Roman"/>
          <w:color w:val="000000"/>
          <w:spacing w:val="0"/>
          <w:w w:val="100"/>
          <w:position w:val="0"/>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 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13"/>
        <w:keepNext w:val="0"/>
        <w:keepLines w:val="0"/>
        <w:widowControl w:val="0"/>
        <w:shd w:val="clear" w:color="auto" w:fill="auto"/>
        <w:tabs>
          <w:tab w:pos="430" w:val="left"/>
        </w:tabs>
        <w:bidi w:val="0"/>
        <w:spacing w:before="0" w:after="0" w:line="274" w:lineRule="exact"/>
        <w:ind w:left="0" w:right="0" w:firstLine="0"/>
        <w:jc w:val="left"/>
      </w:pPr>
      <w:bookmarkStart w:id="174" w:name="bookmark174"/>
      <w:r>
        <w:rPr>
          <w:rFonts w:ascii="Times New Roman" w:eastAsia="Times New Roman" w:hAnsi="Times New Roman" w:cs="Times New Roman"/>
          <w:color w:val="000000"/>
          <w:spacing w:val="0"/>
          <w:w w:val="100"/>
          <w:position w:val="0"/>
        </w:rPr>
        <w:t>（</w:t>
      </w:r>
      <w:bookmarkEnd w:id="174"/>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个月，暂停借款费用的资本化；中断期间发生的借款费用确认为当期费用，直至资产的购建或 者生产活动重新开始。</w:t>
      </w:r>
    </w:p>
    <w:p>
      <w:pPr>
        <w:pStyle w:val="Style13"/>
        <w:keepNext w:val="0"/>
        <w:keepLines w:val="0"/>
        <w:widowControl w:val="0"/>
        <w:shd w:val="clear" w:color="auto" w:fill="auto"/>
        <w:tabs>
          <w:tab w:pos="430" w:val="left"/>
        </w:tabs>
        <w:bidi w:val="0"/>
        <w:spacing w:before="0" w:after="0" w:line="274" w:lineRule="exact"/>
        <w:ind w:left="0" w:right="0" w:firstLine="0"/>
        <w:jc w:val="left"/>
      </w:pPr>
      <w:bookmarkStart w:id="175" w:name="bookmark175"/>
      <w:r>
        <w:rPr>
          <w:rFonts w:ascii="Times New Roman" w:eastAsia="Times New Roman" w:hAnsi="Times New Roman" w:cs="Times New Roman"/>
          <w:color w:val="000000"/>
          <w:spacing w:val="0"/>
          <w:w w:val="100"/>
          <w:position w:val="0"/>
        </w:rPr>
        <w:t>（</w:t>
      </w:r>
      <w:bookmarkEnd w:id="175"/>
      <w:r>
        <w:rPr>
          <w:rFonts w:ascii="Times New Roman" w:eastAsia="Times New Roman" w:hAnsi="Times New Roman" w:cs="Times New Roman"/>
          <w:color w:val="000000"/>
          <w:spacing w:val="0"/>
          <w:w w:val="100"/>
          <w:position w:val="0"/>
        </w:rPr>
        <w:t>3）</w:t>
        <w:tab/>
      </w:r>
      <w:r>
        <w:rPr>
          <w:color w:val="000000"/>
          <w:spacing w:val="0"/>
          <w:w w:val="100"/>
          <w:position w:val="0"/>
        </w:rPr>
        <w:t xml:space="preserve">当所购建或者生产符合资本化条件的资产达到预定可使用或可销售状态时，借款费用停止资 </w:t>
      </w:r>
      <w:r>
        <w:rPr>
          <w:color w:val="000000"/>
          <w:spacing w:val="0"/>
          <w:w w:val="100"/>
          <w:position w:val="0"/>
        </w:rPr>
        <w:t>本化。</w:t>
      </w:r>
    </w:p>
    <w:p>
      <w:pPr>
        <w:pStyle w:val="Style13"/>
        <w:keepNext w:val="0"/>
        <w:keepLines w:val="0"/>
        <w:widowControl w:val="0"/>
        <w:numPr>
          <w:ilvl w:val="0"/>
          <w:numId w:val="19"/>
        </w:numPr>
        <w:shd w:val="clear" w:color="auto" w:fill="auto"/>
        <w:bidi w:val="0"/>
        <w:spacing w:before="0" w:after="0" w:line="271" w:lineRule="exact"/>
        <w:ind w:left="0" w:right="0" w:firstLine="0"/>
        <w:jc w:val="left"/>
      </w:pPr>
      <w:bookmarkStart w:id="176" w:name="bookmark176"/>
      <w:bookmarkEnd w:id="176"/>
      <w:r>
        <w:rPr>
          <w:color w:val="000000"/>
          <w:spacing w:val="0"/>
          <w:w w:val="100"/>
          <w:position w:val="0"/>
        </w:rPr>
        <w:t>借款费用资本化金额</w:t>
      </w:r>
    </w:p>
    <w:p>
      <w:pPr>
        <w:pStyle w:val="Style13"/>
        <w:keepNext w:val="0"/>
        <w:keepLines w:val="0"/>
        <w:widowControl w:val="0"/>
        <w:shd w:val="clear" w:color="auto" w:fill="auto"/>
        <w:bidi w:val="0"/>
        <w:spacing w:before="0" w:after="240" w:line="271" w:lineRule="exact"/>
        <w:ind w:left="0" w:right="0" w:firstLine="0"/>
        <w:jc w:val="both"/>
      </w:pPr>
      <w:r>
        <w:rPr>
          <w:color w:val="000000"/>
          <w:spacing w:val="0"/>
          <w:w w:val="100"/>
          <w:position w:val="0"/>
        </w:rPr>
        <w:t>为购建或者生产符合资本化条件的资产而借入专门借款的，以专门借款当期实际发生的利息费 用（包括按照实际利率法确定的折价或溢价的摊销），减去将尚未动用的借款资金存入银行取得 的利息收入或进行暂时性投资取得的投资收益后的金额，确定应予资本化的利息金额；为购建 或者生产符合资本化条件的资产占用了一般借款的，根据累计资产支出超过专门借款的资产支 出加权平均数乘以占用一般借款的资本化率，计算确定一般借款应予资本化的利息金额。</w:t>
      </w:r>
    </w:p>
    <w:p>
      <w:pPr>
        <w:pStyle w:val="Style13"/>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无形资产：</w:t>
      </w:r>
    </w:p>
    <w:p>
      <w:pPr>
        <w:pStyle w:val="Style13"/>
        <w:keepNext w:val="0"/>
        <w:keepLines w:val="0"/>
        <w:widowControl w:val="0"/>
        <w:numPr>
          <w:ilvl w:val="0"/>
          <w:numId w:val="21"/>
        </w:numPr>
        <w:shd w:val="clear" w:color="auto" w:fill="auto"/>
        <w:tabs>
          <w:tab w:pos="320" w:val="left"/>
        </w:tabs>
        <w:bidi w:val="0"/>
        <w:spacing w:before="0" w:after="0" w:line="278" w:lineRule="exact"/>
        <w:ind w:left="0" w:right="0" w:firstLine="0"/>
        <w:jc w:val="both"/>
      </w:pPr>
      <w:bookmarkStart w:id="177" w:name="bookmark177"/>
      <w:bookmarkEnd w:id="177"/>
      <w:r>
        <w:rPr>
          <w:color w:val="000000"/>
          <w:spacing w:val="0"/>
          <w:w w:val="100"/>
          <w:position w:val="0"/>
        </w:rPr>
        <w:t>无形资产包括土地使用权、专利权及非专利技术等，按成本进行初始计量。</w:t>
      </w:r>
    </w:p>
    <w:p>
      <w:pPr>
        <w:pStyle w:val="Style13"/>
        <w:keepNext w:val="0"/>
        <w:keepLines w:val="0"/>
        <w:widowControl w:val="0"/>
        <w:numPr>
          <w:ilvl w:val="0"/>
          <w:numId w:val="21"/>
        </w:numPr>
        <w:shd w:val="clear" w:color="auto" w:fill="auto"/>
        <w:tabs>
          <w:tab w:pos="334" w:val="left"/>
        </w:tabs>
        <w:bidi w:val="0"/>
        <w:spacing w:before="0" w:after="0" w:line="278" w:lineRule="exact"/>
        <w:ind w:left="0" w:right="0" w:firstLine="0"/>
        <w:jc w:val="both"/>
      </w:pPr>
      <w:bookmarkStart w:id="178" w:name="bookmark178"/>
      <w:bookmarkEnd w:id="178"/>
      <w:r>
        <w:rPr>
          <w:color w:val="000000"/>
          <w:spacing w:val="0"/>
          <w:w w:val="100"/>
          <w:position w:val="0"/>
        </w:rPr>
        <w:t>使用寿命有限的无形资产，在使用寿命内按照与该项无形资产有关的经济利益的预期实现方 式系统合理地摊销，无法可靠确定预期实现方式的，采用直线法摊销。具体年限如下：</w:t>
      </w:r>
    </w:p>
    <w:p>
      <w:pPr>
        <w:pStyle w:val="Style13"/>
        <w:keepNext w:val="0"/>
        <w:keepLines w:val="0"/>
        <w:widowControl w:val="0"/>
        <w:shd w:val="clear" w:color="auto" w:fill="auto"/>
        <w:tabs>
          <w:tab w:pos="2107" w:val="left"/>
        </w:tabs>
        <w:bidi w:val="0"/>
        <w:spacing w:before="0" w:after="0" w:line="278" w:lineRule="exact"/>
        <w:ind w:left="0" w:right="0" w:firstLine="0"/>
        <w:jc w:val="both"/>
      </w:pPr>
      <w:r>
        <w:rPr>
          <w:color w:val="000000"/>
          <w:spacing w:val="0"/>
          <w:w w:val="100"/>
          <w:position w:val="0"/>
        </w:rPr>
        <w:t>项目</w:t>
        <w:tab/>
        <w:t>摊销年限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p>
      <w:pPr>
        <w:pStyle w:val="Style13"/>
        <w:keepNext w:val="0"/>
        <w:keepLines w:val="0"/>
        <w:widowControl w:val="0"/>
        <w:shd w:val="clear" w:color="auto" w:fill="auto"/>
        <w:tabs>
          <w:tab w:pos="2107" w:val="left"/>
        </w:tabs>
        <w:bidi w:val="0"/>
        <w:spacing w:before="0" w:after="300" w:line="275" w:lineRule="exact"/>
        <w:ind w:left="0" w:right="0" w:firstLine="0"/>
        <w:jc w:val="both"/>
      </w:pPr>
      <w:r>
        <w:rPr>
          <w:color w:val="000000"/>
          <w:spacing w:val="0"/>
          <w:w w:val="100"/>
          <w:position w:val="0"/>
        </w:rPr>
        <w:t>土地使用权</w:t>
        <w:tab/>
      </w:r>
      <w:r>
        <w:rPr>
          <w:rFonts w:ascii="Times New Roman" w:eastAsia="Times New Roman" w:hAnsi="Times New Roman" w:cs="Times New Roman"/>
          <w:color w:val="000000"/>
          <w:spacing w:val="0"/>
          <w:w w:val="100"/>
          <w:position w:val="0"/>
        </w:rPr>
        <w:t>40-50</w:t>
      </w:r>
    </w:p>
    <w:p>
      <w:pPr>
        <w:pStyle w:val="Style13"/>
        <w:keepNext w:val="0"/>
        <w:keepLines w:val="0"/>
        <w:widowControl w:val="0"/>
        <w:numPr>
          <w:ilvl w:val="0"/>
          <w:numId w:val="21"/>
        </w:numPr>
        <w:shd w:val="clear" w:color="auto" w:fill="auto"/>
        <w:tabs>
          <w:tab w:pos="358" w:val="left"/>
        </w:tabs>
        <w:bidi w:val="0"/>
        <w:spacing w:before="0" w:after="0" w:line="275" w:lineRule="exact"/>
        <w:ind w:left="0" w:right="0" w:firstLine="0"/>
        <w:jc w:val="both"/>
      </w:pPr>
      <w:bookmarkStart w:id="179" w:name="bookmark179"/>
      <w:bookmarkEnd w:id="179"/>
      <w:r>
        <w:rPr>
          <w:color w:val="000000"/>
          <w:spacing w:val="0"/>
          <w:w w:val="100"/>
          <w:position w:val="0"/>
        </w:rPr>
        <w:t>使用寿命确定的无形资产，在资产负债表日有迹象表明发生减值的，按照账面价值高于可 收回金额的差额计提相应的减值准备；使用寿命不确定的无形资产和尚未达到可使用状态的无 形资产，无论是否存在减值迹象，每年均进行减值测试。</w:t>
      </w:r>
    </w:p>
    <w:p>
      <w:pPr>
        <w:pStyle w:val="Style13"/>
        <w:keepNext w:val="0"/>
        <w:keepLines w:val="0"/>
        <w:widowControl w:val="0"/>
        <w:numPr>
          <w:ilvl w:val="0"/>
          <w:numId w:val="21"/>
        </w:numPr>
        <w:shd w:val="clear" w:color="auto" w:fill="auto"/>
        <w:tabs>
          <w:tab w:pos="353" w:val="left"/>
        </w:tabs>
        <w:bidi w:val="0"/>
        <w:spacing w:before="0" w:after="520" w:line="275" w:lineRule="exact"/>
        <w:ind w:left="0" w:right="0" w:firstLine="0"/>
        <w:jc w:val="both"/>
      </w:pPr>
      <w:bookmarkStart w:id="180" w:name="bookmark180"/>
      <w:bookmarkEnd w:id="180"/>
      <w:r>
        <w:rPr>
          <w:color w:val="000000"/>
          <w:spacing w:val="0"/>
          <w:w w:val="100"/>
          <w:position w:val="0"/>
        </w:rPr>
        <w:t>内部研究开发项目研究阶段的支出，于发生时计入当期损益。内部研究开发项目开发阶段的 支出，同时满足下列条件的，确认为无形资产：</w:t>
      </w:r>
      <w:r>
        <w:rPr>
          <w:rFonts w:ascii="Arial Unicode MS" w:eastAsia="Arial Unicode MS" w:hAnsi="Arial Unicode MS" w:cs="Arial Unicode MS"/>
          <w:color w:val="000000"/>
          <w:spacing w:val="0"/>
          <w:w w:val="100"/>
          <w:position w:val="0"/>
          <w:sz w:val="17"/>
          <w:szCs w:val="17"/>
        </w:rPr>
        <w:t>（1）</w:t>
      </w:r>
      <w:r>
        <w:rPr>
          <w:color w:val="000000"/>
          <w:spacing w:val="0"/>
          <w:w w:val="100"/>
          <w:position w:val="0"/>
        </w:rPr>
        <w:t>完成该无形资产以使其能够使用或出售在 技术上具有可行性；</w:t>
      </w:r>
      <w:r>
        <w:rPr>
          <w:rFonts w:ascii="Arial Unicode MS" w:eastAsia="Arial Unicode MS" w:hAnsi="Arial Unicode MS" w:cs="Arial Unicode MS"/>
          <w:color w:val="000000"/>
          <w:spacing w:val="0"/>
          <w:w w:val="100"/>
          <w:position w:val="0"/>
          <w:sz w:val="17"/>
          <w:szCs w:val="17"/>
        </w:rPr>
        <w:t>（2）</w:t>
      </w:r>
      <w:r>
        <w:rPr>
          <w:color w:val="000000"/>
          <w:spacing w:val="0"/>
          <w:w w:val="100"/>
          <w:position w:val="0"/>
        </w:rPr>
        <w:t>具有完成该无形资产并使用或出售的意图；</w:t>
      </w:r>
      <w:r>
        <w:rPr>
          <w:rFonts w:ascii="Arial Unicode MS" w:eastAsia="Arial Unicode MS" w:hAnsi="Arial Unicode MS" w:cs="Arial Unicode MS"/>
          <w:color w:val="000000"/>
          <w:spacing w:val="0"/>
          <w:w w:val="100"/>
          <w:position w:val="0"/>
          <w:sz w:val="17"/>
          <w:szCs w:val="17"/>
        </w:rPr>
        <w:t>（3）</w:t>
      </w:r>
      <w:r>
        <w:rPr>
          <w:color w:val="000000"/>
          <w:spacing w:val="0"/>
          <w:w w:val="100"/>
          <w:position w:val="0"/>
        </w:rPr>
        <w:t>无形资产产生经济利 益的方式，包括能够证明运用该无形资产生产的产品存在市场或无形资产自身存在市场，无形 资产将在内部使用的，能证明其有用性；</w:t>
      </w:r>
      <w:r>
        <w:rPr>
          <w:rFonts w:ascii="Arial Unicode MS" w:eastAsia="Arial Unicode MS" w:hAnsi="Arial Unicode MS" w:cs="Arial Unicode MS"/>
          <w:color w:val="000000"/>
          <w:spacing w:val="0"/>
          <w:w w:val="100"/>
          <w:position w:val="0"/>
          <w:sz w:val="17"/>
          <w:szCs w:val="17"/>
        </w:rPr>
        <w:t>（4）</w:t>
      </w:r>
      <w:r>
        <w:rPr>
          <w:color w:val="000000"/>
          <w:spacing w:val="0"/>
          <w:w w:val="100"/>
          <w:position w:val="0"/>
        </w:rPr>
        <w:t>有足够的技术、财务资源和其他资源支持，以完 成该无形资产的开发，并有能力使用或出售该无形资产；</w:t>
      </w:r>
      <w:r>
        <w:rPr>
          <w:rFonts w:ascii="Arial Unicode MS" w:eastAsia="Arial Unicode MS" w:hAnsi="Arial Unicode MS" w:cs="Arial Unicode MS"/>
          <w:color w:val="000000"/>
          <w:spacing w:val="0"/>
          <w:w w:val="100"/>
          <w:position w:val="0"/>
          <w:sz w:val="17"/>
          <w:szCs w:val="17"/>
        </w:rPr>
        <w:t>（5）</w:t>
      </w:r>
      <w:r>
        <w:rPr>
          <w:color w:val="000000"/>
          <w:spacing w:val="0"/>
          <w:w w:val="100"/>
          <w:position w:val="0"/>
        </w:rPr>
        <w:t>归属于该无形资产开发阶段的支 出能够可靠地计量。</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长期待摊费用：</w:t>
      </w:r>
    </w:p>
    <w:p>
      <w:pPr>
        <w:pStyle w:val="Style13"/>
        <w:keepNext w:val="0"/>
        <w:keepLines w:val="0"/>
        <w:widowControl w:val="0"/>
        <w:shd w:val="clear" w:color="auto" w:fill="auto"/>
        <w:bidi w:val="0"/>
        <w:spacing w:before="0" w:after="240" w:line="274" w:lineRule="exact"/>
        <w:ind w:left="0" w:right="0" w:firstLine="0"/>
        <w:jc w:val="both"/>
      </w:pPr>
      <w:r>
        <w:rPr>
          <w:color w:val="000000"/>
          <w:spacing w:val="0"/>
          <w:w w:val="100"/>
          <w:position w:val="0"/>
        </w:rPr>
        <w:t>长期待摊费用按实际发生额入账，在受益期或规定的期限内分期平均摊销。如果长期待摊的费 用项目不能使以后会计期间受益则将尚未摊销的该项目的摊余价值全部转入当期损益。</w:t>
      </w:r>
    </w:p>
    <w:p>
      <w:pPr>
        <w:pStyle w:val="Style13"/>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预计负债：</w:t>
      </w:r>
    </w:p>
    <w:p>
      <w:pPr>
        <w:pStyle w:val="Style13"/>
        <w:keepNext w:val="0"/>
        <w:keepLines w:val="0"/>
        <w:widowControl w:val="0"/>
        <w:numPr>
          <w:ilvl w:val="0"/>
          <w:numId w:val="23"/>
        </w:numPr>
        <w:shd w:val="clear" w:color="auto" w:fill="auto"/>
        <w:tabs>
          <w:tab w:pos="320" w:val="left"/>
        </w:tabs>
        <w:bidi w:val="0"/>
        <w:spacing w:before="0" w:after="0" w:line="275" w:lineRule="exact"/>
        <w:ind w:left="0" w:right="0" w:firstLine="0"/>
        <w:jc w:val="both"/>
      </w:pPr>
      <w:bookmarkStart w:id="181" w:name="bookmark181"/>
      <w:bookmarkEnd w:id="181"/>
      <w:r>
        <w:rPr>
          <w:color w:val="000000"/>
          <w:spacing w:val="0"/>
          <w:w w:val="100"/>
          <w:position w:val="0"/>
        </w:rPr>
        <w:t>因对外提供担保、诉讼事项、产品质量保证、亏损合同等或有事项形成的义务成为公司承担 的现时义务，履行该义务很可能导致经济利益流出公司，且该义务的金额能够可靠的计量时， 公司将该项义务确认为预计负债。</w:t>
      </w:r>
    </w:p>
    <w:p>
      <w:pPr>
        <w:pStyle w:val="Style13"/>
        <w:keepNext w:val="0"/>
        <w:keepLines w:val="0"/>
        <w:widowControl w:val="0"/>
        <w:numPr>
          <w:ilvl w:val="0"/>
          <w:numId w:val="23"/>
        </w:numPr>
        <w:shd w:val="clear" w:color="auto" w:fill="auto"/>
        <w:tabs>
          <w:tab w:pos="334" w:val="left"/>
        </w:tabs>
        <w:bidi w:val="0"/>
        <w:spacing w:before="0" w:after="240" w:line="275" w:lineRule="exact"/>
        <w:ind w:left="0" w:right="0" w:firstLine="0"/>
        <w:jc w:val="both"/>
      </w:pPr>
      <w:bookmarkStart w:id="182" w:name="bookmark182"/>
      <w:bookmarkEnd w:id="182"/>
      <w:r>
        <w:rPr>
          <w:color w:val="000000"/>
          <w:spacing w:val="0"/>
          <w:w w:val="100"/>
          <w:position w:val="0"/>
        </w:rPr>
        <w:t>公司按照履行相关现时义务所需支出的最佳估计数对预计负债进行初始计量，并在资产负债 表日对预计负债的账面价值进行复核。</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收入：</w:t>
      </w:r>
    </w:p>
    <w:p>
      <w:pPr>
        <w:pStyle w:val="Style13"/>
        <w:keepNext w:val="0"/>
        <w:keepLines w:val="0"/>
        <w:widowControl w:val="0"/>
        <w:numPr>
          <w:ilvl w:val="0"/>
          <w:numId w:val="25"/>
        </w:numPr>
        <w:shd w:val="clear" w:color="auto" w:fill="auto"/>
        <w:bidi w:val="0"/>
        <w:spacing w:before="0" w:after="0" w:line="272" w:lineRule="exact"/>
        <w:ind w:left="0" w:right="0" w:firstLine="0"/>
        <w:jc w:val="both"/>
      </w:pPr>
      <w:bookmarkStart w:id="183" w:name="bookmark183"/>
      <w:bookmarkEnd w:id="183"/>
      <w:r>
        <w:rPr>
          <w:color w:val="000000"/>
          <w:spacing w:val="0"/>
          <w:w w:val="100"/>
          <w:position w:val="0"/>
        </w:rPr>
        <w:t>收入确认原则</w:t>
      </w:r>
    </w:p>
    <w:p>
      <w:pPr>
        <w:pStyle w:val="Style13"/>
        <w:keepNext w:val="0"/>
        <w:keepLines w:val="0"/>
        <w:widowControl w:val="0"/>
        <w:shd w:val="clear" w:color="auto" w:fill="auto"/>
        <w:tabs>
          <w:tab w:pos="430" w:val="left"/>
        </w:tabs>
        <w:bidi w:val="0"/>
        <w:spacing w:before="0" w:after="0" w:line="272" w:lineRule="exact"/>
        <w:ind w:left="0" w:right="0" w:firstLine="0"/>
        <w:jc w:val="both"/>
      </w:pPr>
      <w:bookmarkStart w:id="184" w:name="bookmark184"/>
      <w:r>
        <w:rPr>
          <w:rFonts w:ascii="Times New Roman" w:eastAsia="Times New Roman" w:hAnsi="Times New Roman" w:cs="Times New Roman"/>
          <w:color w:val="000000"/>
          <w:spacing w:val="0"/>
          <w:w w:val="100"/>
          <w:position w:val="0"/>
        </w:rPr>
        <w:t>（</w:t>
      </w:r>
      <w:bookmarkEnd w:id="184"/>
      <w:r>
        <w:rPr>
          <w:rFonts w:ascii="Times New Roman" w:eastAsia="Times New Roman" w:hAnsi="Times New Roman" w:cs="Times New Roman"/>
          <w:color w:val="000000"/>
          <w:spacing w:val="0"/>
          <w:w w:val="100"/>
          <w:position w:val="0"/>
        </w:rPr>
        <w:t>1）</w:t>
        <w:tab/>
      </w:r>
      <w:r>
        <w:rPr>
          <w:color w:val="000000"/>
          <w:spacing w:val="0"/>
          <w:w w:val="100"/>
          <w:position w:val="0"/>
        </w:rPr>
        <w:t>销售商品</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将商品所有权上的主要风险和报酬转移给购 货方；</w:t>
      </w:r>
      <w:r>
        <w:rPr>
          <w:rFonts w:ascii="Times New Roman" w:eastAsia="Times New Roman" w:hAnsi="Times New Roman" w:cs="Times New Roman"/>
          <w:color w:val="000000"/>
          <w:spacing w:val="0"/>
          <w:w w:val="100"/>
          <w:position w:val="0"/>
        </w:rPr>
        <w:t>2）</w:t>
      </w:r>
      <w:r>
        <w:rPr>
          <w:color w:val="000000"/>
          <w:spacing w:val="0"/>
          <w:w w:val="100"/>
          <w:position w:val="0"/>
        </w:rPr>
        <w:t>公司不再保留通常与所有权相联系的继续管理权，也不再对已售出的商品实施有效控 制；</w:t>
      </w:r>
      <w:r>
        <w:rPr>
          <w:rFonts w:ascii="Times New Roman" w:eastAsia="Times New Roman" w:hAnsi="Times New Roman" w:cs="Times New Roman"/>
          <w:color w:val="000000"/>
          <w:spacing w:val="0"/>
          <w:w w:val="100"/>
          <w:position w:val="0"/>
        </w:rPr>
        <w:t>3）</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 生的成本能够可靠地计量。</w:t>
      </w:r>
    </w:p>
    <w:p>
      <w:pPr>
        <w:pStyle w:val="Style13"/>
        <w:keepNext w:val="0"/>
        <w:keepLines w:val="0"/>
        <w:widowControl w:val="0"/>
        <w:shd w:val="clear" w:color="auto" w:fill="auto"/>
        <w:tabs>
          <w:tab w:pos="430" w:val="left"/>
        </w:tabs>
        <w:bidi w:val="0"/>
        <w:spacing w:before="0" w:after="0" w:line="272" w:lineRule="exact"/>
        <w:ind w:left="0" w:right="0" w:firstLine="0"/>
        <w:jc w:val="both"/>
      </w:pPr>
      <w:bookmarkStart w:id="185" w:name="bookmark185"/>
      <w:r>
        <w:rPr>
          <w:rFonts w:ascii="Times New Roman" w:eastAsia="Times New Roman" w:hAnsi="Times New Roman" w:cs="Times New Roman"/>
          <w:color w:val="000000"/>
          <w:spacing w:val="0"/>
          <w:w w:val="100"/>
          <w:position w:val="0"/>
        </w:rPr>
        <w:t>（</w:t>
      </w:r>
      <w:bookmarkEnd w:id="185"/>
      <w:r>
        <w:rPr>
          <w:rFonts w:ascii="Times New Roman" w:eastAsia="Times New Roman" w:hAnsi="Times New Roman" w:cs="Times New Roman"/>
          <w:color w:val="000000"/>
          <w:spacing w:val="0"/>
          <w:w w:val="100"/>
          <w:position w:val="0"/>
        </w:rPr>
        <w:t>2）</w:t>
        <w:tab/>
      </w:r>
      <w:r>
        <w:rPr>
          <w:color w:val="000000"/>
          <w:spacing w:val="0"/>
          <w:w w:val="100"/>
          <w:position w:val="0"/>
        </w:rPr>
        <w:t>房地产销售收入</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在开发产品已经完工并验收合格，签订了销售合同并履行了合同规定的义务，在同时满足开发 </w:t>
      </w:r>
      <w:r>
        <w:rPr>
          <w:color w:val="000000"/>
          <w:spacing w:val="0"/>
          <w:w w:val="100"/>
          <w:position w:val="0"/>
        </w:rPr>
        <w:t>产品所有权上的主要风险和报酬转移给买方，公司不再保留通常与所有权相联系的继续管理权 和对已售出的开发产品实施有效控制，收入的金额能够可靠地计量，相关的经济利益很可能流 入，相关的已发生或将发生的成本能够可靠地计量时，确认销售收入的实现。</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出售自用房屋：自用房屋所有权上的主要风险和报酬转移给买方，公司不再保留通常与所有权 相联系的继续管理权和对已售出的开发产品实施有效控制，收入的金额能够可靠地计量，相关 的经济利益很可能流入，相关的已发生或将发生的成本能够可靠地计量时，确认销售收入的实 现。</w:t>
      </w:r>
    </w:p>
    <w:p>
      <w:pPr>
        <w:pStyle w:val="Style13"/>
        <w:keepNext w:val="0"/>
        <w:keepLines w:val="0"/>
        <w:widowControl w:val="0"/>
        <w:shd w:val="clear" w:color="auto" w:fill="auto"/>
        <w:tabs>
          <w:tab w:pos="370" w:val="left"/>
        </w:tabs>
        <w:bidi w:val="0"/>
        <w:spacing w:before="0" w:after="0" w:line="283" w:lineRule="auto"/>
        <w:ind w:left="0" w:right="0" w:firstLine="0"/>
        <w:jc w:val="both"/>
      </w:pPr>
      <w:bookmarkStart w:id="186" w:name="bookmark186"/>
      <w:r>
        <w:rPr>
          <w:rFonts w:ascii="Times New Roman" w:eastAsia="Times New Roman" w:hAnsi="Times New Roman" w:cs="Times New Roman"/>
          <w:color w:val="000000"/>
          <w:spacing w:val="0"/>
          <w:w w:val="100"/>
          <w:position w:val="0"/>
        </w:rPr>
        <w:t>（</w:t>
      </w:r>
      <w:bookmarkEnd w:id="186"/>
      <w:r>
        <w:rPr>
          <w:rFonts w:ascii="Times New Roman" w:eastAsia="Times New Roman" w:hAnsi="Times New Roman" w:cs="Times New Roman"/>
          <w:color w:val="000000"/>
          <w:spacing w:val="0"/>
          <w:w w:val="100"/>
          <w:position w:val="0"/>
        </w:rPr>
        <w:t>3）</w:t>
        <w:tab/>
      </w:r>
      <w:r>
        <w:rPr>
          <w:color w:val="000000"/>
          <w:spacing w:val="0"/>
          <w:w w:val="100"/>
          <w:position w:val="0"/>
        </w:rPr>
        <w:t>提供劳务</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提供劳务交易的结果在资产负债表日能够可靠估计的（同时满足收入的金额能够可靠地计量、 相关经济利益很可能流入、交易的完工进度能够可靠地确定、交易中已发生和将发生的成本能 够可靠地计量），采用完工百分比法确认提供劳务的收入，并按已经提供劳务占应提供劳务总量 的比例确定提供劳务交易的完工进度。提供劳务交易的结果在资产负债表日不能够可靠估计的， 若已经发生的劳务成本预计能够得到补偿，按已经发生的劳务成本金额确认提供劳务收入，并 按相同金额结转劳务成本；若已经发生的劳务成本预计不能够得到补偿，将已经发生的劳务成 本计入当期损益，不确认劳务收入。</w:t>
      </w:r>
    </w:p>
    <w:p>
      <w:pPr>
        <w:pStyle w:val="Style13"/>
        <w:keepNext w:val="0"/>
        <w:keepLines w:val="0"/>
        <w:widowControl w:val="0"/>
        <w:shd w:val="clear" w:color="auto" w:fill="auto"/>
        <w:tabs>
          <w:tab w:pos="370" w:val="left"/>
        </w:tabs>
        <w:bidi w:val="0"/>
        <w:spacing w:before="0" w:after="0" w:line="283" w:lineRule="auto"/>
        <w:ind w:left="0" w:right="0" w:firstLine="0"/>
        <w:jc w:val="both"/>
      </w:pPr>
      <w:bookmarkStart w:id="187" w:name="bookmark187"/>
      <w:r>
        <w:rPr>
          <w:rFonts w:ascii="Times New Roman" w:eastAsia="Times New Roman" w:hAnsi="Times New Roman" w:cs="Times New Roman"/>
          <w:color w:val="000000"/>
          <w:spacing w:val="0"/>
          <w:w w:val="100"/>
          <w:position w:val="0"/>
        </w:rPr>
        <w:t>（</w:t>
      </w:r>
      <w:bookmarkEnd w:id="187"/>
      <w:r>
        <w:rPr>
          <w:rFonts w:ascii="Times New Roman" w:eastAsia="Times New Roman" w:hAnsi="Times New Roman" w:cs="Times New Roman"/>
          <w:color w:val="000000"/>
          <w:spacing w:val="0"/>
          <w:w w:val="100"/>
          <w:position w:val="0"/>
        </w:rPr>
        <w:t>4）</w:t>
        <w:tab/>
      </w:r>
      <w:r>
        <w:rPr>
          <w:color w:val="000000"/>
          <w:spacing w:val="0"/>
          <w:w w:val="100"/>
          <w:position w:val="0"/>
        </w:rPr>
        <w:t>让渡资产使用权</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让渡资产使用权在同时满足相关的经济利益很可能流入、收入金额能够可靠计量时，确认让渡 资产使用权的收入。利息收入按照他人使用本公司货币资金的时间和实际利率计算确定；使用 费收入按有关合同或协议约定的收费时间和方法计算确定。</w:t>
      </w:r>
    </w:p>
    <w:p>
      <w:pPr>
        <w:pStyle w:val="Style13"/>
        <w:keepNext w:val="0"/>
        <w:keepLines w:val="0"/>
        <w:widowControl w:val="0"/>
        <w:numPr>
          <w:ilvl w:val="0"/>
          <w:numId w:val="27"/>
        </w:numPr>
        <w:shd w:val="clear" w:color="auto" w:fill="auto"/>
        <w:bidi w:val="0"/>
        <w:spacing w:before="0" w:after="0" w:line="283" w:lineRule="auto"/>
        <w:ind w:left="0" w:right="0" w:firstLine="0"/>
        <w:jc w:val="both"/>
      </w:pPr>
      <w:bookmarkStart w:id="188" w:name="bookmark188"/>
      <w:bookmarkEnd w:id="188"/>
      <w:r>
        <w:rPr>
          <w:color w:val="000000"/>
          <w:spacing w:val="0"/>
          <w:w w:val="100"/>
          <w:position w:val="0"/>
        </w:rPr>
        <w:t>收入确认的具体方法</w:t>
      </w:r>
    </w:p>
    <w:p>
      <w:pPr>
        <w:pStyle w:val="Style13"/>
        <w:keepNext w:val="0"/>
        <w:keepLines w:val="0"/>
        <w:widowControl w:val="0"/>
        <w:shd w:val="clear" w:color="auto" w:fill="auto"/>
        <w:bidi w:val="0"/>
        <w:spacing w:before="0" w:after="280" w:line="271" w:lineRule="exact"/>
        <w:ind w:left="0" w:right="0" w:firstLine="0"/>
        <w:jc w:val="both"/>
      </w:pPr>
      <w:r>
        <w:rPr>
          <w:color w:val="000000"/>
          <w:spacing w:val="0"/>
          <w:w w:val="100"/>
          <w:position w:val="0"/>
        </w:rPr>
        <w:t>公司主要提供印染加工、销售针纺织品、无缝钢管等产品。内销产品收入确认需满足以下条件: 公司已根据合同约定将产品交付给购货方，且产品销售收入金额已确定，已经收回货款或取得 了收款凭证且相关的经济利益很可能流入，产品相关的成本能够可靠地计量。外销产品收入确 认需满足以下条件：公司已根据合同约定将产品报关、离港，取得提单，且产品销售收入金额 已确定，已经收回货款或取得了收款凭证且相关的经济利益很可能流入，产品相关的成本能够 可靠地计量。</w:t>
      </w:r>
    </w:p>
    <w:p>
      <w:pPr>
        <w:pStyle w:val="Style13"/>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政府补助：</w:t>
      </w:r>
    </w:p>
    <w:p>
      <w:pPr>
        <w:pStyle w:val="Style13"/>
        <w:keepNext w:val="0"/>
        <w:keepLines w:val="0"/>
        <w:widowControl w:val="0"/>
        <w:numPr>
          <w:ilvl w:val="0"/>
          <w:numId w:val="29"/>
        </w:numPr>
        <w:shd w:val="clear" w:color="auto" w:fill="auto"/>
        <w:tabs>
          <w:tab w:pos="295" w:val="left"/>
        </w:tabs>
        <w:bidi w:val="0"/>
        <w:spacing w:before="0" w:after="0" w:line="276" w:lineRule="exact"/>
        <w:ind w:left="0" w:right="0" w:firstLine="0"/>
        <w:jc w:val="both"/>
      </w:pPr>
      <w:bookmarkStart w:id="189" w:name="bookmark189"/>
      <w:bookmarkEnd w:id="189"/>
      <w:r>
        <w:rPr>
          <w:color w:val="000000"/>
          <w:spacing w:val="0"/>
          <w:w w:val="100"/>
          <w:position w:val="0"/>
        </w:rPr>
        <w:t>政府补助包括与资产相关的政府补助和与收益相关的政府补助。公司取得的、用于购建或以 其他方式形成长期资产的政府补助划分为与资产相关的政府补助，除与资产相关的政府补助之 外的政府补助划分为与收益相关的政府补助。对于政府文件未明确补助对象的政府补助，公司 根据实际补助对象划分为与资产相关的政府补助或与收益相关的政府补助。</w:t>
      </w:r>
    </w:p>
    <w:p>
      <w:pPr>
        <w:pStyle w:val="Style13"/>
        <w:keepNext w:val="0"/>
        <w:keepLines w:val="0"/>
        <w:widowControl w:val="0"/>
        <w:numPr>
          <w:ilvl w:val="0"/>
          <w:numId w:val="29"/>
        </w:numPr>
        <w:shd w:val="clear" w:color="auto" w:fill="auto"/>
        <w:tabs>
          <w:tab w:pos="295" w:val="left"/>
        </w:tabs>
        <w:bidi w:val="0"/>
        <w:spacing w:before="0" w:after="0" w:line="276" w:lineRule="exact"/>
        <w:ind w:left="0" w:right="0" w:firstLine="0"/>
        <w:jc w:val="both"/>
      </w:pPr>
      <w:bookmarkStart w:id="190" w:name="bookmark190"/>
      <w:bookmarkEnd w:id="190"/>
      <w:r>
        <w:rPr>
          <w:color w:val="000000"/>
          <w:spacing w:val="0"/>
          <w:w w:val="100"/>
          <w:position w:val="0"/>
        </w:rPr>
        <w:t>对期末有证据表明公司能够符合财政扶持政策规定的相关条件且预计能够收到财政扶持资 金的，按应收金额确认政府补助。除此之外，政府补助均在实际收到时确认。</w:t>
      </w:r>
    </w:p>
    <w:p>
      <w:pPr>
        <w:pStyle w:val="Style13"/>
        <w:keepNext w:val="0"/>
        <w:keepLines w:val="0"/>
        <w:widowControl w:val="0"/>
        <w:numPr>
          <w:ilvl w:val="0"/>
          <w:numId w:val="29"/>
        </w:numPr>
        <w:shd w:val="clear" w:color="auto" w:fill="auto"/>
        <w:tabs>
          <w:tab w:pos="295" w:val="left"/>
        </w:tabs>
        <w:bidi w:val="0"/>
        <w:spacing w:before="0" w:after="0" w:line="276" w:lineRule="exact"/>
        <w:ind w:left="0" w:right="0" w:firstLine="0"/>
        <w:jc w:val="both"/>
      </w:pPr>
      <w:bookmarkStart w:id="191" w:name="bookmark191"/>
      <w:bookmarkEnd w:id="191"/>
      <w:r>
        <w:rPr>
          <w:color w:val="000000"/>
          <w:spacing w:val="0"/>
          <w:w w:val="100"/>
          <w:position w:val="0"/>
        </w:rPr>
        <w:t>政府补助为货币性资产的，按照收到或应收的金额计量；政府补助为非货币性资产的，按照 公允价值计量，公允价值不能可靠取得的，按照名义金额计量。</w:t>
      </w:r>
    </w:p>
    <w:p>
      <w:pPr>
        <w:pStyle w:val="Style13"/>
        <w:keepNext w:val="0"/>
        <w:keepLines w:val="0"/>
        <w:widowControl w:val="0"/>
        <w:numPr>
          <w:ilvl w:val="0"/>
          <w:numId w:val="29"/>
        </w:numPr>
        <w:shd w:val="clear" w:color="auto" w:fill="auto"/>
        <w:tabs>
          <w:tab w:pos="295" w:val="left"/>
        </w:tabs>
        <w:bidi w:val="0"/>
        <w:spacing w:before="0" w:after="280" w:line="276" w:lineRule="exact"/>
        <w:ind w:left="0" w:right="0" w:firstLine="0"/>
        <w:jc w:val="both"/>
      </w:pPr>
      <w:bookmarkStart w:id="192" w:name="bookmark192"/>
      <w:bookmarkEnd w:id="192"/>
      <w:r>
        <w:rPr>
          <w:color w:val="000000"/>
          <w:spacing w:val="0"/>
          <w:w w:val="100"/>
          <w:position w:val="0"/>
        </w:rPr>
        <w:t>与资产相关的政府补助，确认为递延收益，在相关资产使用寿命内平均分配，计入当期损益。 与收益相关的政府补助，用于补偿以后期间的相关费用或损失的，确认为递延收益，在确认相 关费用的期间，计入当期损益；用于补偿已发生的相关费用或损失的，直接计入当期损益。</w:t>
      </w:r>
    </w:p>
    <w:p>
      <w:pPr>
        <w:pStyle w:val="Style13"/>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3"/>
        <w:keepNext w:val="0"/>
        <w:keepLines w:val="0"/>
        <w:widowControl w:val="0"/>
        <w:numPr>
          <w:ilvl w:val="0"/>
          <w:numId w:val="31"/>
        </w:numPr>
        <w:shd w:val="clear" w:color="auto" w:fill="auto"/>
        <w:tabs>
          <w:tab w:pos="295" w:val="left"/>
        </w:tabs>
        <w:bidi w:val="0"/>
        <w:spacing w:before="0" w:after="0" w:line="276" w:lineRule="exact"/>
        <w:ind w:left="0" w:right="0" w:firstLine="0"/>
        <w:jc w:val="both"/>
      </w:pPr>
      <w:bookmarkStart w:id="193" w:name="bookmark193"/>
      <w:bookmarkEnd w:id="193"/>
      <w:r>
        <w:rPr>
          <w:color w:val="000000"/>
          <w:spacing w:val="0"/>
          <w:w w:val="100"/>
          <w:position w:val="0"/>
        </w:rPr>
        <w:t>根据资产、负债的账面价值与其计税基础之间的差额（未作为资产和负债确认的项目按照税 法规定可以确定其计税基础的，该计税基础与其账面数之间的差额），按照预期收回该资产或清 偿该负债期间的适用税率计算确认递延所得税资产或递延所得税负债。</w:t>
      </w:r>
    </w:p>
    <w:p>
      <w:pPr>
        <w:pStyle w:val="Style13"/>
        <w:keepNext w:val="0"/>
        <w:keepLines w:val="0"/>
        <w:widowControl w:val="0"/>
        <w:numPr>
          <w:ilvl w:val="0"/>
          <w:numId w:val="31"/>
        </w:numPr>
        <w:shd w:val="clear" w:color="auto" w:fill="auto"/>
        <w:tabs>
          <w:tab w:pos="295" w:val="left"/>
        </w:tabs>
        <w:bidi w:val="0"/>
        <w:spacing w:before="0" w:after="0" w:line="276" w:lineRule="exact"/>
        <w:ind w:left="0" w:right="0" w:firstLine="0"/>
        <w:jc w:val="both"/>
      </w:pPr>
      <w:bookmarkStart w:id="194" w:name="bookmark194"/>
      <w:bookmarkEnd w:id="194"/>
      <w:r>
        <w:rPr>
          <w:color w:val="000000"/>
          <w:spacing w:val="0"/>
          <w:w w:val="100"/>
          <w:position w:val="0"/>
        </w:rPr>
        <w:t>确认递延所得税资产以很可能取得用来抵扣可抵扣暂时性差异的应纳税所得额为限。资产负 债表日，有确凿证据表明未来期间很可能获得足够的应纳税所得额用来抵扣可抵扣暂时性差异 的，确认以前会计期间未确认的递延所得税资产。</w:t>
      </w:r>
    </w:p>
    <w:p>
      <w:pPr>
        <w:pStyle w:val="Style13"/>
        <w:keepNext w:val="0"/>
        <w:keepLines w:val="0"/>
        <w:widowControl w:val="0"/>
        <w:numPr>
          <w:ilvl w:val="0"/>
          <w:numId w:val="31"/>
        </w:numPr>
        <w:shd w:val="clear" w:color="auto" w:fill="auto"/>
        <w:tabs>
          <w:tab w:pos="421" w:val="left"/>
        </w:tabs>
        <w:bidi w:val="0"/>
        <w:spacing w:before="0" w:after="0" w:line="274" w:lineRule="exact"/>
        <w:ind w:left="0" w:right="0" w:firstLine="0"/>
        <w:jc w:val="both"/>
      </w:pPr>
      <w:bookmarkStart w:id="195" w:name="bookmark195"/>
      <w:bookmarkEnd w:id="195"/>
      <w:r>
        <w:rPr>
          <w:color w:val="000000"/>
          <w:spacing w:val="0"/>
          <w:w w:val="100"/>
          <w:position w:val="0"/>
        </w:rPr>
        <w:t>资产负债表日，对递延所得税资产的账面价值进行复核，如果未来期间很可能无法获得足够 的应纳税所得额用以抵扣递延所得税资产的利益，则减记递延所得税资产的账面价值。在很可 能获得足够的应纳税所得额时，转回减记的金额。</w:t>
      </w:r>
    </w:p>
    <w:p>
      <w:pPr>
        <w:pStyle w:val="Style13"/>
        <w:keepNext w:val="0"/>
        <w:keepLines w:val="0"/>
        <w:widowControl w:val="0"/>
        <w:numPr>
          <w:ilvl w:val="0"/>
          <w:numId w:val="31"/>
        </w:numPr>
        <w:shd w:val="clear" w:color="auto" w:fill="auto"/>
        <w:tabs>
          <w:tab w:pos="421" w:val="left"/>
        </w:tabs>
        <w:bidi w:val="0"/>
        <w:spacing w:before="0" w:after="260" w:line="274" w:lineRule="exact"/>
        <w:ind w:left="0" w:right="0" w:firstLine="0"/>
        <w:jc w:val="both"/>
      </w:pPr>
      <w:bookmarkStart w:id="196" w:name="bookmark196"/>
      <w:bookmarkEnd w:id="196"/>
      <w:r>
        <w:rPr>
          <w:color w:val="000000"/>
          <w:spacing w:val="0"/>
          <w:w w:val="100"/>
          <w:position w:val="0"/>
        </w:rPr>
        <w:t>公司当期所得税和递延所得税作为所得税费用或收益计入当期损益，但不包括下列情况产生 的所得税：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经营租赁、融资租赁：</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公司为承租人时，在租赁期内各个期间按照直线法将租金计入相关资产成本或确认为当期损益, 发生的初始直接费用，直接计入当期损益。或有租金在实际发生时计入当期损益。</w:t>
      </w:r>
    </w:p>
    <w:p>
      <w:pPr>
        <w:pStyle w:val="Style13"/>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公司为出租人时，在租赁期内各个期间按照直线法将租金确认为当期损益，发生的初始直接费 用，除金额较大的予以资本化并分期计入损益外，均直接计入当期损益。或有租金在实际发生 时计入当期损益。</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主要会计政策、会计估计的变更</w:t>
      </w:r>
    </w:p>
    <w:p>
      <w:pPr>
        <w:pStyle w:val="Style13"/>
        <w:keepNext w:val="0"/>
        <w:keepLines w:val="0"/>
        <w:widowControl w:val="0"/>
        <w:shd w:val="clear" w:color="auto" w:fill="auto"/>
        <w:tabs>
          <w:tab w:pos="421" w:val="left"/>
        </w:tabs>
        <w:bidi w:val="0"/>
        <w:spacing w:before="0" w:after="0" w:line="272" w:lineRule="exact"/>
        <w:ind w:left="0" w:right="0" w:firstLine="0"/>
        <w:jc w:val="both"/>
      </w:pPr>
      <w:bookmarkStart w:id="197" w:name="bookmark197"/>
      <w:r>
        <w:rPr>
          <w:rFonts w:ascii="Times New Roman" w:eastAsia="Times New Roman" w:hAnsi="Times New Roman" w:cs="Times New Roman"/>
          <w:color w:val="000000"/>
          <w:spacing w:val="0"/>
          <w:w w:val="100"/>
          <w:position w:val="0"/>
        </w:rPr>
        <w:t>1</w:t>
      </w:r>
      <w:bookmarkEnd w:id="197"/>
      <w:r>
        <w:rPr>
          <w:color w:val="000000"/>
          <w:spacing w:val="0"/>
          <w:w w:val="100"/>
          <w:position w:val="0"/>
        </w:rPr>
        <w:t>、</w:t>
        <w:tab/>
        <w:t>会计政策变更</w:t>
      </w:r>
    </w:p>
    <w:p>
      <w:pPr>
        <w:pStyle w:val="Style13"/>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无</w:t>
      </w:r>
    </w:p>
    <w:p>
      <w:pPr>
        <w:pStyle w:val="Style13"/>
        <w:keepNext w:val="0"/>
        <w:keepLines w:val="0"/>
        <w:widowControl w:val="0"/>
        <w:shd w:val="clear" w:color="auto" w:fill="auto"/>
        <w:tabs>
          <w:tab w:pos="421" w:val="left"/>
        </w:tabs>
        <w:bidi w:val="0"/>
        <w:spacing w:before="0" w:after="0" w:line="272" w:lineRule="exact"/>
        <w:ind w:left="0" w:right="0" w:firstLine="0"/>
        <w:jc w:val="both"/>
      </w:pPr>
      <w:bookmarkStart w:id="198" w:name="bookmark198"/>
      <w:r>
        <w:rPr>
          <w:rFonts w:ascii="Times New Roman" w:eastAsia="Times New Roman" w:hAnsi="Times New Roman" w:cs="Times New Roman"/>
          <w:color w:val="000000"/>
          <w:spacing w:val="0"/>
          <w:w w:val="100"/>
          <w:position w:val="0"/>
        </w:rPr>
        <w:t>2</w:t>
      </w:r>
      <w:bookmarkEnd w:id="198"/>
      <w:r>
        <w:rPr>
          <w:color w:val="000000"/>
          <w:spacing w:val="0"/>
          <w:w w:val="100"/>
          <w:position w:val="0"/>
        </w:rPr>
        <w:t>、</w:t>
        <w:tab/>
        <w:t>会计估计变更</w:t>
      </w:r>
    </w:p>
    <w:p>
      <w:pPr>
        <w:pStyle w:val="Style13"/>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无</w:t>
      </w:r>
    </w:p>
    <w:p>
      <w:pPr>
        <w:pStyle w:val="Style13"/>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前期会计差错更正</w:t>
      </w:r>
    </w:p>
    <w:p>
      <w:pPr>
        <w:pStyle w:val="Style13"/>
        <w:keepNext w:val="0"/>
        <w:keepLines w:val="0"/>
        <w:widowControl w:val="0"/>
        <w:shd w:val="clear" w:color="auto" w:fill="auto"/>
        <w:tabs>
          <w:tab w:pos="421" w:val="left"/>
        </w:tabs>
        <w:bidi w:val="0"/>
        <w:spacing w:before="0" w:after="260" w:line="254" w:lineRule="exact"/>
        <w:ind w:left="0" w:right="0" w:firstLine="0"/>
        <w:jc w:val="both"/>
      </w:pPr>
      <w:bookmarkStart w:id="199" w:name="bookmark199"/>
      <w:r>
        <w:rPr>
          <w:rFonts w:ascii="Times New Roman" w:eastAsia="Times New Roman" w:hAnsi="Times New Roman" w:cs="Times New Roman"/>
          <w:color w:val="000000"/>
          <w:spacing w:val="0"/>
          <w:w w:val="100"/>
          <w:position w:val="0"/>
        </w:rPr>
        <w:t>1</w:t>
      </w:r>
      <w:bookmarkEnd w:id="199"/>
      <w:r>
        <w:rPr>
          <w:color w:val="000000"/>
          <w:spacing w:val="0"/>
          <w:w w:val="100"/>
          <w:position w:val="0"/>
        </w:rPr>
        <w:t>、</w:t>
        <w:tab/>
        <w:t>追溯重述法 无</w:t>
      </w:r>
    </w:p>
    <w:p>
      <w:pPr>
        <w:pStyle w:val="Style13"/>
        <w:keepNext w:val="0"/>
        <w:keepLines w:val="0"/>
        <w:widowControl w:val="0"/>
        <w:shd w:val="clear" w:color="auto" w:fill="auto"/>
        <w:tabs>
          <w:tab w:pos="421" w:val="left"/>
        </w:tabs>
        <w:bidi w:val="0"/>
        <w:spacing w:before="0" w:after="0" w:line="272" w:lineRule="exact"/>
        <w:ind w:left="0" w:right="0" w:firstLine="0"/>
        <w:jc w:val="both"/>
      </w:pPr>
      <w:bookmarkStart w:id="200" w:name="bookmark200"/>
      <w:r>
        <w:rPr>
          <w:rFonts w:ascii="Times New Roman" w:eastAsia="Times New Roman" w:hAnsi="Times New Roman" w:cs="Times New Roman"/>
          <w:color w:val="000000"/>
          <w:spacing w:val="0"/>
          <w:w w:val="100"/>
          <w:position w:val="0"/>
        </w:rPr>
        <w:t>2</w:t>
      </w:r>
      <w:bookmarkEnd w:id="200"/>
      <w:r>
        <w:rPr>
          <w:color w:val="000000"/>
          <w:spacing w:val="0"/>
          <w:w w:val="100"/>
          <w:position w:val="0"/>
        </w:rPr>
        <w:t>、</w:t>
        <w:tab/>
        <w:t>未来适用法</w:t>
      </w:r>
    </w:p>
    <w:p>
      <w:pPr>
        <w:pStyle w:val="Style13"/>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无</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五、税项：</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主要税种及税率</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销售货物或提供应税劳务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17%</w:t>
            </w:r>
            <w:r>
              <w:rPr>
                <w:color w:val="000000"/>
                <w:spacing w:val="0"/>
                <w:w w:val="100"/>
                <w:position w:val="0"/>
              </w:rPr>
              <w:t xml:space="preserve">的税率计缴；出口货物享 受“免、抵、退”政策，退税率 为 </w:t>
            </w:r>
            <w:r>
              <w:rPr>
                <w:rFonts w:ascii="Times New Roman" w:eastAsia="Times New Roman" w:hAnsi="Times New Roman" w:cs="Times New Roman"/>
                <w:color w:val="000000"/>
                <w:spacing w:val="0"/>
                <w:w w:val="100"/>
                <w:position w:val="0"/>
              </w:rPr>
              <w:t>0%-16%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15%</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从价计征的，按房产原值一次减 除</w:t>
            </w:r>
            <w:r>
              <w:rPr>
                <w:rFonts w:ascii="Times New Roman" w:eastAsia="Times New Roman" w:hAnsi="Times New Roman" w:cs="Times New Roman"/>
                <w:color w:val="000000"/>
                <w:spacing w:val="0"/>
                <w:w w:val="100"/>
                <w:position w:val="0"/>
              </w:rPr>
              <w:t>30%</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 租计征的，按租金收入的</w:t>
            </w:r>
            <w:r>
              <w:rPr>
                <w:rFonts w:ascii="Times New Roman" w:eastAsia="Times New Roman" w:hAnsi="Times New Roman" w:cs="Times New Roman"/>
                <w:color w:val="000000"/>
                <w:spacing w:val="0"/>
                <w:w w:val="100"/>
                <w:position w:val="0"/>
              </w:rPr>
              <w:t>12%</w:t>
            </w:r>
            <w:r>
              <w:rPr>
                <w:color w:val="000000"/>
                <w:spacing w:val="0"/>
                <w:w w:val="100"/>
                <w:position w:val="0"/>
              </w:rPr>
              <w:t>计 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after="259" w:line="1" w:lineRule="exact"/>
      </w:pP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税收优惠及批文</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根据浙江省科学技术厅、浙江省财政厅、浙江省国家税务局、浙江省地方税务局联合发布的《关 于杭州新源电子研究所等</w:t>
      </w:r>
      <w:r>
        <w:rPr>
          <w:rFonts w:ascii="Times New Roman" w:eastAsia="Times New Roman" w:hAnsi="Times New Roman" w:cs="Times New Roman"/>
          <w:color w:val="000000"/>
          <w:spacing w:val="0"/>
          <w:w w:val="100"/>
          <w:position w:val="0"/>
        </w:rPr>
        <w:t>1125</w:t>
      </w:r>
      <w:r>
        <w:rPr>
          <w:color w:val="000000"/>
          <w:spacing w:val="0"/>
          <w:w w:val="100"/>
          <w:position w:val="0"/>
        </w:rPr>
        <w:t>家企业通过高新技术企业复审的通知》（浙科发高</w:t>
      </w:r>
      <w:r>
        <w:rPr>
          <w:rFonts w:ascii="Times New Roman" w:eastAsia="Times New Roman" w:hAnsi="Times New Roman" w:cs="Times New Roman"/>
          <w:color w:val="000000"/>
          <w:spacing w:val="0"/>
          <w:w w:val="100"/>
          <w:position w:val="0"/>
        </w:rPr>
        <w:t xml:space="preserve">[2011]263 </w:t>
      </w:r>
      <w:r>
        <w:rPr>
          <w:color w:val="000000"/>
          <w:spacing w:val="0"/>
          <w:w w:val="100"/>
          <w:position w:val="0"/>
        </w:rPr>
        <w:t>号），子公司浙江富润纺织有限公司、浙江富润印染有限公司通过高新技术企业复审，根据税法</w:t>
        <w:br w:type="page"/>
      </w:r>
      <w:r>
        <w:rPr>
          <w:color w:val="000000"/>
          <w:spacing w:val="0"/>
          <w:w w:val="100"/>
          <w:position w:val="0"/>
        </w:rPr>
        <w:t>规定</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rPr>
        <w:t>根据浙江省科学技术厅、浙江省财政厅、浙江省国家税务局、浙江省地方税务局联合发布的《关 于认定杭州天宽科技有限公司等</w:t>
      </w:r>
      <w:r>
        <w:rPr>
          <w:rFonts w:ascii="Times New Roman" w:eastAsia="Times New Roman" w:hAnsi="Times New Roman" w:cs="Times New Roman"/>
          <w:color w:val="000000"/>
          <w:spacing w:val="0"/>
          <w:w w:val="100"/>
          <w:position w:val="0"/>
        </w:rPr>
        <w:t>329</w:t>
      </w:r>
      <w:r>
        <w:rPr>
          <w:color w:val="000000"/>
          <w:spacing w:val="0"/>
          <w:w w:val="100"/>
          <w:position w:val="0"/>
        </w:rPr>
        <w:t>家企业为</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年第二批高新技术企业的通知》(浙科发高 </w:t>
      </w:r>
      <w:r>
        <w:rPr>
          <w:rFonts w:ascii="Times New Roman" w:eastAsia="Times New Roman" w:hAnsi="Times New Roman" w:cs="Times New Roman"/>
          <w:color w:val="000000"/>
          <w:spacing w:val="0"/>
          <w:w w:val="100"/>
          <w:position w:val="0"/>
        </w:rPr>
        <w:t>[2012]313</w:t>
      </w:r>
      <w:r>
        <w:rPr>
          <w:color w:val="000000"/>
          <w:spacing w:val="0"/>
          <w:w w:val="100"/>
          <w:position w:val="0"/>
        </w:rPr>
        <w:t>号)，子公司浙江明贺钢管有限公司通过高新技术企业认定，</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年享受高 新技术企业税收优惠政策，</w:t>
      </w:r>
      <w:r>
        <w:rPr>
          <w:rFonts w:ascii="Times New Roman" w:eastAsia="Times New Roman" w:hAnsi="Times New Roman" w:cs="Times New Roman"/>
          <w:color w:val="000000"/>
          <w:spacing w:val="0"/>
          <w:w w:val="100"/>
          <w:position w:val="0"/>
        </w:rPr>
        <w:t>2013</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六、企业合并及合并财务报表</w:t>
      </w:r>
    </w:p>
    <w:p>
      <w:pPr>
        <w:pStyle w:val="Style13"/>
        <w:keepNext w:val="0"/>
        <w:keepLines w:val="0"/>
        <w:widowControl w:val="0"/>
        <w:numPr>
          <w:ilvl w:val="0"/>
          <w:numId w:val="33"/>
        </w:numPr>
        <w:shd w:val="clear" w:color="auto" w:fill="auto"/>
        <w:bidi w:val="0"/>
        <w:spacing w:before="0" w:after="0" w:line="270" w:lineRule="exact"/>
        <w:ind w:left="0" w:right="0" w:firstLine="0"/>
        <w:jc w:val="left"/>
      </w:pPr>
      <w:bookmarkStart w:id="201" w:name="bookmark201"/>
      <w:bookmarkEnd w:id="201"/>
      <w:r>
        <w:rPr>
          <w:color w:val="000000"/>
          <w:spacing w:val="0"/>
          <w:w w:val="100"/>
          <w:position w:val="0"/>
        </w:rPr>
        <w:t>子公司情况</w:t>
      </w:r>
    </w:p>
    <w:p>
      <w:pPr>
        <w:pStyle w:val="Style13"/>
        <w:keepNext w:val="0"/>
        <w:keepLines w:val="0"/>
        <w:widowControl w:val="0"/>
        <w:shd w:val="clear" w:color="auto" w:fill="auto"/>
        <w:tabs>
          <w:tab w:pos="514" w:val="left"/>
        </w:tabs>
        <w:bidi w:val="0"/>
        <w:spacing w:before="0" w:after="0" w:line="270" w:lineRule="exact"/>
        <w:ind w:left="0" w:right="0" w:firstLine="0"/>
        <w:jc w:val="left"/>
      </w:pPr>
      <w:bookmarkStart w:id="202" w:name="bookmark202"/>
      <w:r>
        <w:rPr>
          <w:rFonts w:ascii="Times New Roman" w:eastAsia="Times New Roman" w:hAnsi="Times New Roman" w:cs="Times New Roman"/>
          <w:color w:val="000000"/>
          <w:spacing w:val="0"/>
          <w:w w:val="100"/>
          <w:position w:val="0"/>
          <w:shd w:val="clear" w:color="auto" w:fill="FFFFFF"/>
        </w:rPr>
        <w:t>1</w:t>
      </w:r>
      <w:bookmarkEnd w:id="202"/>
      <w:r>
        <w:rPr>
          <w:color w:val="000000"/>
          <w:spacing w:val="0"/>
          <w:w w:val="100"/>
          <w:position w:val="0"/>
          <w:shd w:val="clear" w:color="auto" w:fill="FFFFFF"/>
        </w:rPr>
        <w:t>、</w:t>
      </w:r>
      <w:r>
        <w:rPr>
          <w:color w:val="000000"/>
          <w:spacing w:val="0"/>
          <w:w w:val="100"/>
          <w:position w:val="0"/>
        </w:rPr>
        <w:tab/>
        <w:t>通过设立或投资等方式取得的子公司</w:t>
      </w:r>
    </w:p>
    <w:p>
      <w:pPr>
        <w:pStyle w:val="Style13"/>
        <w:keepNext w:val="0"/>
        <w:keepLines w:val="0"/>
        <w:widowControl w:val="0"/>
        <w:shd w:val="clear" w:color="auto" w:fill="auto"/>
        <w:bidi w:val="0"/>
        <w:spacing w:before="0" w:after="0" w:line="240" w:lineRule="auto"/>
        <w:ind w:left="0" w:right="64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614"/>
        <w:gridCol w:w="600"/>
        <w:gridCol w:w="605"/>
        <w:gridCol w:w="600"/>
        <w:gridCol w:w="624"/>
        <w:gridCol w:w="667"/>
        <w:gridCol w:w="845"/>
        <w:gridCol w:w="586"/>
        <w:gridCol w:w="710"/>
        <w:gridCol w:w="710"/>
        <w:gridCol w:w="605"/>
        <w:gridCol w:w="936"/>
        <w:gridCol w:w="605"/>
        <w:gridCol w:w="610"/>
      </w:tblGrid>
      <w:tr>
        <w:trPr>
          <w:trHeight w:val="6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子公 司全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7"/>
                <w:szCs w:val="17"/>
              </w:rPr>
              <w:t>子公 司类 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注册 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业务 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注册 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经营 范围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期末实 际出资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实质 上构 成对 子公 司净 投资 的其 他项 目余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exact"/>
              <w:ind w:left="0" w:right="0" w:firstLine="160"/>
              <w:jc w:val="left"/>
              <w:rPr>
                <w:sz w:val="17"/>
                <w:szCs w:val="17"/>
              </w:rPr>
            </w:pPr>
            <w:r>
              <w:rPr>
                <w:color w:val="000000"/>
                <w:spacing w:val="0"/>
                <w:w w:val="100"/>
                <w:position w:val="0"/>
                <w:sz w:val="17"/>
                <w:szCs w:val="17"/>
              </w:rPr>
              <w:t>持股</w:t>
            </w:r>
          </w:p>
          <w:p>
            <w:pPr>
              <w:pStyle w:val="Style2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表决 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是否 合并 报表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少数股东 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少数 股东 权益 中用 于冲 减少 数股 东损 益的 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从母 公司 所有 者权 益冲 减子 公司 少数 股东 分担 的本 期亏 损超 过少 数股 东在 该子 公司 期初 所有 者权 益中 所享 有份 额后 的余 额</w:t>
            </w:r>
          </w:p>
        </w:tc>
      </w:tr>
      <w:tr>
        <w:trPr>
          <w:trHeight w:val="304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浙江 富润 印染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3" w:lineRule="exact"/>
              <w:ind w:left="0" w:right="0" w:firstLine="0"/>
              <w:jc w:val="left"/>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浙江 省诸 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纺织 品、服 装制 造加 工及 印染、 生产、 销售 纺织 原辅 材料、 机器 器材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浙江 富润 海茂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控股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浙江 省诸 暨市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高档 纺织 品、高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14"/>
        <w:gridCol w:w="600"/>
        <w:gridCol w:w="605"/>
        <w:gridCol w:w="600"/>
        <w:gridCol w:w="624"/>
        <w:gridCol w:w="667"/>
        <w:gridCol w:w="845"/>
        <w:gridCol w:w="586"/>
        <w:gridCol w:w="710"/>
        <w:gridCol w:w="710"/>
        <w:gridCol w:w="605"/>
        <w:gridCol w:w="936"/>
        <w:gridCol w:w="605"/>
        <w:gridCol w:w="610"/>
      </w:tblGrid>
      <w:tr>
        <w:trPr>
          <w:trHeight w:val="259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纺织 布艺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档家 纺制 品的 生产、 加工 及纺 织原 辅材 料的 生产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浙江 富润 纺织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3" w:lineRule="exact"/>
              <w:ind w:left="0" w:right="0" w:firstLine="0"/>
              <w:jc w:val="both"/>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浙江 省诸 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高档 纺织 品制 造、加 工及 印染； 纺织 辅料 生产、 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浙江 诸暨 富润 宏丰 纺织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浙江 省诸 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制造</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纺织 加工 品；销 售自 产产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浙江 诸暨 富润 丝绸 织造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浙江 省诸 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制造</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高档 服饰 面料、 服装 饰品 的生 产及 后整 理加 工（不 含印 染）； 销售 自产 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浙江 富源 再生 资源 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控股 子公 司的 控股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浙江 省诸 暨市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废旧 纺织 品、橡 胶、金 属产 品的 回收、 再生 利用 销售</w:t>
            </w:r>
          </w:p>
          <w:p>
            <w:pPr>
              <w:pStyle w:val="Style21"/>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（国 家法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14"/>
        <w:gridCol w:w="600"/>
        <w:gridCol w:w="605"/>
        <w:gridCol w:w="600"/>
        <w:gridCol w:w="624"/>
        <w:gridCol w:w="667"/>
        <w:gridCol w:w="845"/>
        <w:gridCol w:w="586"/>
        <w:gridCol w:w="710"/>
        <w:gridCol w:w="710"/>
        <w:gridCol w:w="605"/>
        <w:gridCol w:w="936"/>
        <w:gridCol w:w="605"/>
        <w:gridCol w:w="610"/>
      </w:tblGrid>
      <w:tr>
        <w:trPr>
          <w:trHeight w:val="11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律法 规禁 止限 制的 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诸暨 富润 屋城 东置 业有 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浙江 省诸 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房地 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房地 产开 发经 营（凭 有效 资质 证书 经 营）； 市政 工程 施工； 经销： 建材</w:t>
            </w:r>
          </w:p>
          <w:p>
            <w:pPr>
              <w:pStyle w:val="Style21"/>
              <w:keepNext w:val="0"/>
              <w:keepLines w:val="0"/>
              <w:widowControl w:val="0"/>
              <w:shd w:val="clear" w:color="auto" w:fill="auto"/>
              <w:bidi w:val="0"/>
              <w:spacing w:before="0" w:after="0" w:line="234" w:lineRule="exact"/>
              <w:ind w:left="0" w:right="0" w:firstLine="200"/>
              <w:jc w:val="both"/>
              <w:rPr>
                <w:sz w:val="17"/>
                <w:szCs w:val="17"/>
              </w:rPr>
            </w:pPr>
            <w:r>
              <w:rPr>
                <w:color w:val="000000"/>
                <w:spacing w:val="0"/>
                <w:w w:val="100"/>
                <w:position w:val="0"/>
                <w:sz w:val="17"/>
                <w:szCs w:val="17"/>
              </w:rPr>
              <w:t>（不 含木 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浙江 富润 贸易 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控股 子公 司的 控股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浙江 省诸 暨市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纺织 品、服 装、原 料、机 械器 材的 批发 及其 进出 口业 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52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同一控制下企业合并取得的子公司</w:t>
      </w:r>
    </w:p>
    <w:p>
      <w:pPr>
        <w:pStyle w:val="Style13"/>
        <w:keepNext w:val="0"/>
        <w:keepLines w:val="0"/>
        <w:widowControl w:val="0"/>
        <w:shd w:val="clear" w:color="auto" w:fill="auto"/>
        <w:bidi w:val="0"/>
        <w:spacing w:before="0" w:after="0" w:line="240" w:lineRule="auto"/>
        <w:ind w:left="0" w:right="64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643"/>
        <w:gridCol w:w="634"/>
        <w:gridCol w:w="634"/>
        <w:gridCol w:w="634"/>
        <w:gridCol w:w="634"/>
        <w:gridCol w:w="634"/>
        <w:gridCol w:w="850"/>
        <w:gridCol w:w="634"/>
        <w:gridCol w:w="634"/>
        <w:gridCol w:w="634"/>
        <w:gridCol w:w="634"/>
        <w:gridCol w:w="845"/>
        <w:gridCol w:w="634"/>
        <w:gridCol w:w="643"/>
      </w:tblGrid>
      <w:tr>
        <w:trPr>
          <w:trHeight w:val="423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子公 司全 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子公 司类 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业务 性质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注册 资本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经营 范围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期末实 际出资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实质 上构 成对 子公 司净 投资 的其 他项 目余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 xml:space="preserve">表决 权比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是否 合并 报表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少数股 东权益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少数 股东 权益 中用 于冲 减少 数股 东损 益的 金额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从母 公司 所有 者权 益冲 减子 公司 少数 股东 分担 的本 期亏 损超 过少 数股 东在 该子 公司</w:t>
            </w:r>
          </w:p>
        </w:tc>
      </w:tr>
    </w:tbl>
    <w:p>
      <w:pPr>
        <w:widowControl w:val="0"/>
        <w:spacing w:line="1" w:lineRule="exact"/>
      </w:pPr>
      <w:r>
        <w:br w:type="page"/>
      </w:r>
    </w:p>
    <w:tbl>
      <w:tblPr>
        <w:tblOverlap w:val="never"/>
        <w:jc w:val="center"/>
        <w:tblLayout w:type="fixed"/>
      </w:tblPr>
      <w:tblGrid>
        <w:gridCol w:w="643"/>
        <w:gridCol w:w="634"/>
        <w:gridCol w:w="634"/>
        <w:gridCol w:w="634"/>
        <w:gridCol w:w="634"/>
        <w:gridCol w:w="634"/>
        <w:gridCol w:w="850"/>
        <w:gridCol w:w="634"/>
        <w:gridCol w:w="634"/>
        <w:gridCol w:w="634"/>
        <w:gridCol w:w="634"/>
        <w:gridCol w:w="845"/>
        <w:gridCol w:w="634"/>
        <w:gridCol w:w="643"/>
      </w:tblGrid>
      <w:tr>
        <w:trPr>
          <w:trHeight w:val="21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期初 所有 者权 益中 所享 有份 额后 的余 额</w:t>
            </w:r>
          </w:p>
        </w:tc>
      </w:tr>
      <w:tr>
        <w:trPr>
          <w:trHeight w:val="352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浙江 明贺 钢管 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控股 子公 司的 控股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浙江 省德 清县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制造 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 xml:space="preserve">各类 钢管 的生 产、 加工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 含钢 材的 生 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销售 本公 司生 产产 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七、合并财务报表项目注释</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货币资金</w:t>
      </w:r>
    </w:p>
    <w:p>
      <w:pPr>
        <w:pStyle w:val="Style19"/>
        <w:keepNext w:val="0"/>
        <w:keepLines w:val="0"/>
        <w:widowControl w:val="0"/>
        <w:shd w:val="clear" w:color="auto" w:fill="auto"/>
        <w:bidi w:val="0"/>
        <w:spacing w:before="0" w:after="0" w:line="240" w:lineRule="auto"/>
        <w:ind w:left="7810" w:right="0" w:firstLine="0"/>
        <w:jc w:val="left"/>
      </w:pPr>
      <w:r>
        <w:rPr>
          <w:color w:val="000000"/>
          <w:spacing w:val="0"/>
          <w:w w:val="100"/>
          <w:position w:val="0"/>
        </w:rPr>
        <w:t>单位：元</w:t>
      </w:r>
    </w:p>
    <w:tbl>
      <w:tblPr>
        <w:tblOverlap w:val="never"/>
        <w:jc w:val="center"/>
        <w:tblLayout w:type="fixed"/>
      </w:tblPr>
      <w:tblGrid>
        <w:gridCol w:w="1584"/>
        <w:gridCol w:w="1286"/>
        <w:gridCol w:w="1094"/>
        <w:gridCol w:w="1526"/>
        <w:gridCol w:w="1195"/>
        <w:gridCol w:w="1094"/>
        <w:gridCol w:w="153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66,700.18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110,696.80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66,700.18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110,696.80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279,759,822.70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239,130,722.95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279,411,805.86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238,922,827.17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57,080.95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348,016.84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30,706.54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193,005.94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8.3176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14,889.84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其他货币资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13,287,025.03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22,972,680.47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13,287,025.03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22,972,680.47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293,113,547.91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262,214,100.22</w:t>
            </w:r>
          </w:p>
        </w:tc>
      </w:tr>
      <w:tr>
        <w:trPr>
          <w:trHeight w:val="312"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货币资金一其他</w:t>
            </w:r>
          </w:p>
        </w:tc>
        <w:tc>
          <w:tcPr>
            <w:gridSpan w:val="6"/>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也货币资金</w:t>
            </w:r>
          </w:p>
        </w:tc>
      </w:tr>
    </w:tbl>
    <w:p>
      <w:pPr>
        <w:widowControl w:val="0"/>
        <w:spacing w:line="1" w:lineRule="exact"/>
      </w:pPr>
    </w:p>
    <w:tbl>
      <w:tblPr>
        <w:tblOverlap w:val="never"/>
        <w:jc w:val="left"/>
        <w:tblLayout w:type="fixed"/>
      </w:tblPr>
      <w:tblGrid>
        <w:gridCol w:w="3974"/>
        <w:gridCol w:w="2266"/>
        <w:gridCol w:w="2045"/>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22,200,000.00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227,730.08</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存出投资款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1,007,025.03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544,950.39</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13,287,025.03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22,972,680.47</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bookmarkStart w:id="203" w:name="bookmark203"/>
      <w:r>
        <w:rPr>
          <w:rFonts w:ascii="Times New Roman" w:eastAsia="Times New Roman" w:hAnsi="Times New Roman" w:cs="Times New Roman"/>
          <w:color w:val="000000"/>
          <w:spacing w:val="0"/>
          <w:w w:val="100"/>
          <w:position w:val="0"/>
        </w:rPr>
        <w:t>（</w:t>
      </w:r>
      <w:bookmarkEnd w:id="203"/>
      <w:r>
        <w:rPr>
          <w:color w:val="000000"/>
          <w:spacing w:val="0"/>
          <w:w w:val="100"/>
          <w:position w:val="0"/>
        </w:rPr>
        <w:t>二</w:t>
      </w:r>
      <w:r>
        <w:rPr>
          <w:color w:val="000000"/>
          <w:spacing w:val="0"/>
          <w:w w:val="100"/>
          <w:position w:val="0"/>
        </w:rPr>
        <w:t>）</w:t>
      </w:r>
      <w:r>
        <w:rPr>
          <w:color w:val="000000"/>
          <w:spacing w:val="0"/>
          <w:w w:val="100"/>
          <w:position w:val="0"/>
        </w:rPr>
        <w:t>交易性金融资产：</w:t>
      </w:r>
    </w:p>
    <w:p>
      <w:pPr>
        <w:pStyle w:val="Style13"/>
        <w:keepNext w:val="0"/>
        <w:keepLines w:val="0"/>
        <w:widowControl w:val="0"/>
        <w:shd w:val="clear" w:color="auto" w:fill="auto"/>
        <w:tabs>
          <w:tab w:pos="514" w:val="left"/>
        </w:tabs>
        <w:bidi w:val="0"/>
        <w:spacing w:before="0" w:after="140" w:line="240" w:lineRule="auto"/>
        <w:ind w:left="0" w:right="0" w:firstLine="0"/>
        <w:jc w:val="left"/>
      </w:pPr>
      <w:bookmarkStart w:id="204" w:name="bookmark204"/>
      <w:r>
        <w:rPr>
          <w:rFonts w:ascii="Times New Roman" w:eastAsia="Times New Roman" w:hAnsi="Times New Roman" w:cs="Times New Roman"/>
          <w:color w:val="000000"/>
          <w:spacing w:val="0"/>
          <w:w w:val="100"/>
          <w:position w:val="0"/>
          <w:shd w:val="clear" w:color="auto" w:fill="FFFFFF"/>
        </w:rPr>
        <w:t>1</w:t>
      </w:r>
      <w:bookmarkEnd w:id="204"/>
      <w:r>
        <w:rPr>
          <w:color w:val="000000"/>
          <w:spacing w:val="0"/>
          <w:w w:val="100"/>
          <w:position w:val="0"/>
          <w:shd w:val="clear" w:color="auto" w:fill="FFFFFF"/>
        </w:rPr>
        <w:t>、</w:t>
      </w:r>
      <w:r>
        <w:rPr>
          <w:color w:val="000000"/>
          <w:spacing w:val="0"/>
          <w:w w:val="100"/>
          <w:position w:val="0"/>
        </w:rPr>
        <w:tab/>
        <w:t>交易性金融资产情况</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69"/>
        <w:gridCol w:w="2280"/>
        <w:gridCol w:w="256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交易性债券投资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交易性权益工具投资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191,250.00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指定为以公允价值计量且其变动计入当期损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衍生金融资产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32,760.00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套期工具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206,860.00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191,250.00</w:t>
            </w:r>
          </w:p>
        </w:tc>
      </w:tr>
    </w:tbl>
    <w:p>
      <w:pPr>
        <w:widowControl w:val="0"/>
        <w:spacing w:after="219" w:line="1" w:lineRule="exact"/>
      </w:pPr>
    </w:p>
    <w:p>
      <w:pPr>
        <w:pStyle w:val="Style13"/>
        <w:keepNext w:val="0"/>
        <w:keepLines w:val="0"/>
        <w:widowControl w:val="0"/>
        <w:shd w:val="clear" w:color="auto" w:fill="auto"/>
        <w:tabs>
          <w:tab w:pos="506" w:val="left"/>
        </w:tabs>
        <w:bidi w:val="0"/>
        <w:spacing w:before="0" w:after="0" w:line="274" w:lineRule="exact"/>
        <w:ind w:left="0" w:right="0" w:firstLine="0"/>
        <w:jc w:val="left"/>
      </w:pPr>
      <w:bookmarkStart w:id="205" w:name="bookmark205"/>
      <w:r>
        <w:rPr>
          <w:rFonts w:ascii="Times New Roman" w:eastAsia="Times New Roman" w:hAnsi="Times New Roman" w:cs="Times New Roman"/>
          <w:color w:val="000000"/>
          <w:spacing w:val="0"/>
          <w:w w:val="100"/>
          <w:position w:val="0"/>
          <w:shd w:val="clear" w:color="auto" w:fill="FFFFFF"/>
        </w:rPr>
        <w:t>2</w:t>
      </w:r>
      <w:bookmarkEnd w:id="205"/>
      <w:r>
        <w:rPr>
          <w:color w:val="000000"/>
          <w:spacing w:val="0"/>
          <w:w w:val="100"/>
          <w:position w:val="0"/>
          <w:shd w:val="clear" w:color="auto" w:fill="FFFFFF"/>
        </w:rPr>
        <w:t>、</w:t>
      </w:r>
      <w:r>
        <w:rPr>
          <w:color w:val="000000"/>
          <w:spacing w:val="0"/>
          <w:w w:val="100"/>
          <w:position w:val="0"/>
        </w:rPr>
        <w:tab/>
        <w:t>交易性金融资产的说明</w:t>
      </w:r>
    </w:p>
    <w:p>
      <w:pPr>
        <w:pStyle w:val="Style13"/>
        <w:keepNext w:val="0"/>
        <w:keepLines w:val="0"/>
        <w:widowControl w:val="0"/>
        <w:shd w:val="clear" w:color="auto" w:fill="auto"/>
        <w:bidi w:val="0"/>
        <w:spacing w:before="0" w:after="220" w:line="274" w:lineRule="exact"/>
        <w:ind w:left="0" w:right="0" w:firstLine="0"/>
        <w:jc w:val="left"/>
      </w:pPr>
      <w:r>
        <w:rPr>
          <w:color w:val="000000"/>
          <w:spacing w:val="0"/>
          <w:w w:val="100"/>
          <w:position w:val="0"/>
        </w:rPr>
        <w:t>根据纺织公司与中国工商银行股份有限公司绍兴分行签订的《代客风险管理业务协议》，约定纺 织公司委托中国工商银行股份有限公司绍兴分行通过金融衍生产品为其资产负债规避汇率、利 率等风险。截至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日，仍有金额为</w:t>
      </w:r>
      <w:r>
        <w:rPr>
          <w:rFonts w:ascii="Times New Roman" w:eastAsia="Times New Roman" w:hAnsi="Times New Roman" w:cs="Times New Roman"/>
          <w:color w:val="000000"/>
          <w:spacing w:val="0"/>
          <w:w w:val="100"/>
          <w:position w:val="0"/>
        </w:rPr>
        <w:t>120</w:t>
      </w:r>
      <w:r>
        <w:rPr>
          <w:color w:val="000000"/>
          <w:spacing w:val="0"/>
          <w:w w:val="100"/>
          <w:position w:val="0"/>
        </w:rPr>
        <w:t>万美元的远期售汇合约尚未交割，因而将 其资产负债表日公允价值变动额确认交易性金融资产</w:t>
      </w:r>
      <w:r>
        <w:rPr>
          <w:rFonts w:ascii="Times New Roman" w:eastAsia="Times New Roman" w:hAnsi="Times New Roman" w:cs="Times New Roman"/>
          <w:color w:val="000000"/>
          <w:spacing w:val="0"/>
          <w:w w:val="100"/>
          <w:position w:val="0"/>
        </w:rPr>
        <w:t>32,760.00</w:t>
      </w:r>
      <w:r>
        <w:rPr>
          <w:color w:val="000000"/>
          <w:spacing w:val="0"/>
          <w:w w:val="100"/>
          <w:position w:val="0"/>
        </w:rPr>
        <w:t>元。</w:t>
      </w:r>
    </w:p>
    <w:p>
      <w:pPr>
        <w:pStyle w:val="Style13"/>
        <w:keepNext w:val="0"/>
        <w:keepLines w:val="0"/>
        <w:widowControl w:val="0"/>
        <w:shd w:val="clear" w:color="auto" w:fill="auto"/>
        <w:bidi w:val="0"/>
        <w:spacing w:before="0" w:after="0" w:line="274" w:lineRule="exact"/>
        <w:ind w:left="0" w:right="0" w:firstLine="0"/>
        <w:jc w:val="left"/>
      </w:pPr>
      <w:bookmarkStart w:id="206" w:name="bookmark206"/>
      <w:r>
        <w:rPr>
          <w:rFonts w:ascii="Times New Roman" w:eastAsia="Times New Roman" w:hAnsi="Times New Roman" w:cs="Times New Roman"/>
          <w:color w:val="000000"/>
          <w:spacing w:val="0"/>
          <w:w w:val="100"/>
          <w:position w:val="0"/>
        </w:rPr>
        <w:t>（</w:t>
      </w:r>
      <w:bookmarkEnd w:id="206"/>
      <w:r>
        <w:rPr>
          <w:color w:val="000000"/>
          <w:spacing w:val="0"/>
          <w:w w:val="100"/>
          <w:position w:val="0"/>
        </w:rPr>
        <w:t>三</w:t>
      </w:r>
      <w:r>
        <w:rPr>
          <w:color w:val="000000"/>
          <w:spacing w:val="0"/>
          <w:w w:val="100"/>
          <w:position w:val="0"/>
        </w:rPr>
        <w:t>）</w:t>
      </w:r>
      <w:r>
        <w:rPr>
          <w:color w:val="000000"/>
          <w:spacing w:val="0"/>
          <w:w w:val="100"/>
          <w:position w:val="0"/>
        </w:rPr>
        <w:t>应收票据：</w:t>
      </w:r>
    </w:p>
    <w:p>
      <w:pPr>
        <w:pStyle w:val="Style13"/>
        <w:keepNext w:val="0"/>
        <w:keepLines w:val="0"/>
        <w:widowControl w:val="0"/>
        <w:shd w:val="clear" w:color="auto" w:fill="auto"/>
        <w:tabs>
          <w:tab w:pos="506" w:val="left"/>
        </w:tabs>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应收票据分类</w:t>
      </w:r>
    </w:p>
    <w:p>
      <w:pPr>
        <w:pStyle w:val="Style19"/>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22,366,870.25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12,515,382.52</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22,366,870.25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12,515,382.52</w:t>
            </w:r>
          </w:p>
        </w:tc>
      </w:tr>
    </w:tbl>
    <w:p>
      <w:pPr>
        <w:widowControl w:val="0"/>
        <w:spacing w:after="219" w:line="1" w:lineRule="exact"/>
      </w:pPr>
    </w:p>
    <w:p>
      <w:pPr>
        <w:widowControl w:val="0"/>
        <w:spacing w:line="1" w:lineRule="exact"/>
      </w:pPr>
    </w:p>
    <w:p>
      <w:pPr>
        <w:pStyle w:val="Style19"/>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、因出票人无力履约而将票据转为应收账款的票据，以及期末公司已经背书给他方但尚未到 期的票据情况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58"/>
        <w:gridCol w:w="1872"/>
        <w:gridCol w:w="1858"/>
        <w:gridCol w:w="1862"/>
        <w:gridCol w:w="1867"/>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公司已经背书给其他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也方但尚未到期的票:</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据</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江阴界顺金属科 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四川华德莱斯石 油装备股份有限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四川华德莱斯石 油装备股份有限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北京华德莱斯石 油科技有限公司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四川华德莱斯石 油装备股份有限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14,500,000.00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应收账款</w:t>
      </w:r>
      <w:r>
        <w:rPr>
          <w:color w:val="000000"/>
          <w:spacing w:val="0"/>
          <w:w w:val="100"/>
          <w:position w:val="0"/>
        </w:rPr>
        <w:t>：</w:t>
      </w:r>
    </w:p>
    <w:p>
      <w:pPr>
        <w:pStyle w:val="Style13"/>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应收账款按种类披露:</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69"/>
        <w:gridCol w:w="1421"/>
        <w:gridCol w:w="792"/>
        <w:gridCol w:w="1320"/>
        <w:gridCol w:w="638"/>
        <w:gridCol w:w="1426"/>
        <w:gridCol w:w="792"/>
        <w:gridCol w:w="1320"/>
        <w:gridCol w:w="739"/>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种类</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w:t>
            </w:r>
          </w:p>
        </w:tc>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"提坏账准备的应收账款：</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账龄分 析法组 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32,723,891.21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1,881,659.00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48,287,794.46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2,693,259.90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5.58</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32,723,891.21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1,881,659.00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48,287,794.46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2,693,259.90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5.58</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32,723,891.21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1,881,659.00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48,287,794.46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2,693,259.90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43"/>
        <w:gridCol w:w="1426"/>
        <w:gridCol w:w="1330"/>
        <w:gridCol w:w="1426"/>
        <w:gridCol w:w="1421"/>
        <w:gridCol w:w="1147"/>
        <w:gridCol w:w="1325"/>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31,925,545.97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1,596,277.30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47,422,447.04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98.20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2,371,122.35</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31,925,545.97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1,596,277.30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47,422,447.04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2,371,122.35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274,616.31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27,461.64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263,441.83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26,344.18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172,980.84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34,596.17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271,669.82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54,333.96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143,186.45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57,274.58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56,822.99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22,729.19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207,561.64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166,049.31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273,412.78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218,730.22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32,723,891.21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1,881,659.00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48,287,794.46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2,693,259.90</w:t>
            </w:r>
          </w:p>
        </w:tc>
      </w:tr>
    </w:tbl>
    <w:p>
      <w:pPr>
        <w:widowControl w:val="0"/>
        <w:spacing w:after="479" w:line="1" w:lineRule="exact"/>
      </w:pPr>
    </w:p>
    <w:p>
      <w:pPr>
        <w:pStyle w:val="Style13"/>
        <w:keepNext w:val="0"/>
        <w:keepLines w:val="0"/>
        <w:widowControl w:val="0"/>
        <w:shd w:val="clear" w:color="auto" w:fill="auto"/>
        <w:tabs>
          <w:tab w:pos="499" w:val="left"/>
        </w:tabs>
        <w:bidi w:val="0"/>
        <w:spacing w:before="0" w:after="0" w:line="240" w:lineRule="auto"/>
        <w:ind w:left="0" w:right="0" w:firstLine="0"/>
        <w:jc w:val="left"/>
      </w:pPr>
      <w:bookmarkStart w:id="207" w:name="bookmark207"/>
      <w:r>
        <w:rPr>
          <w:rFonts w:ascii="Times New Roman" w:eastAsia="Times New Roman" w:hAnsi="Times New Roman" w:cs="Times New Roman"/>
          <w:color w:val="000000"/>
          <w:spacing w:val="0"/>
          <w:w w:val="100"/>
          <w:position w:val="0"/>
        </w:rPr>
        <w:t>2</w:t>
      </w:r>
      <w:bookmarkEnd w:id="207"/>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260" w:line="240" w:lineRule="auto"/>
        <w:ind w:left="0" w:right="0" w:firstLine="240"/>
        <w:jc w:val="left"/>
      </w:pPr>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 应收账款金额前五名单位情况</w:t>
      </w:r>
    </w:p>
    <w:tbl>
      <w:tblPr>
        <w:tblOverlap w:val="never"/>
        <w:jc w:val="center"/>
        <w:tblLayout w:type="fixed"/>
      </w:tblPr>
      <w:tblGrid>
        <w:gridCol w:w="2227"/>
        <w:gridCol w:w="1771"/>
        <w:gridCol w:w="1771"/>
        <w:gridCol w:w="1757"/>
        <w:gridCol w:w="1790"/>
      </w:tblGrid>
      <w:tr>
        <w:trPr>
          <w:trHeight w:val="274" w:hRule="exact"/>
        </w:trPr>
        <w:tc>
          <w:tcPr>
            <w:gridSpan w:val="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讶中：人民币</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占应收账款总额 的比例(%)</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江苏汇鸿国际集团医 药保健品进出口有限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4,754,887.38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w:t>
            </w:r>
          </w:p>
        </w:tc>
      </w:tr>
      <w:tr>
        <w:trPr>
          <w:trHeight w:val="4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TAKISADA-NAGOYA CO.,LTD.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3,019,538.99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9.23</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宁波中包进出口有限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2,634,301.81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8.05</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佛山市安东尼针织有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1,733,370.45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5.30</w:t>
            </w:r>
          </w:p>
        </w:tc>
      </w:tr>
    </w:tbl>
    <w:p>
      <w:pPr>
        <w:widowControl w:val="0"/>
        <w:spacing w:line="1" w:lineRule="exact"/>
      </w:pPr>
      <w:r>
        <w:br w:type="page"/>
      </w:r>
    </w:p>
    <w:tbl>
      <w:tblPr>
        <w:tblOverlap w:val="never"/>
        <w:jc w:val="center"/>
        <w:tblLayout w:type="fixed"/>
      </w:tblPr>
      <w:tblGrid>
        <w:gridCol w:w="2227"/>
        <w:gridCol w:w="1771"/>
        <w:gridCol w:w="1771"/>
        <w:gridCol w:w="1771"/>
        <w:gridCol w:w="1776"/>
      </w:tblGrid>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DS TERN COMPANY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1,109,686.71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13,251,785.34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40.50</w:t>
            </w:r>
          </w:p>
        </w:tc>
      </w:tr>
    </w:tbl>
    <w:p>
      <w:pPr>
        <w:widowControl w:val="0"/>
        <w:spacing w:after="239" w:line="1" w:lineRule="exact"/>
      </w:pPr>
    </w:p>
    <w:p>
      <w:pPr>
        <w:pStyle w:val="Style13"/>
        <w:keepNext w:val="0"/>
        <w:keepLines w:val="0"/>
        <w:widowControl w:val="0"/>
        <w:shd w:val="clear" w:color="auto" w:fill="auto"/>
        <w:tabs>
          <w:tab w:pos="499"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应收关联方账款情况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33"/>
        <w:gridCol w:w="2328"/>
        <w:gridCol w:w="2323"/>
        <w:gridCol w:w="2333"/>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占应收账款总额的比例 (%)</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231,303.24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0.71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231,303.24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0.71</w:t>
            </w:r>
          </w:p>
        </w:tc>
      </w:tr>
    </w:tbl>
    <w:p>
      <w:pPr>
        <w:widowControl w:val="0"/>
        <w:spacing w:after="239" w:line="1" w:lineRule="exact"/>
      </w:pPr>
    </w:p>
    <w:p>
      <w:pPr>
        <w:pStyle w:val="Style13"/>
        <w:keepNext w:val="0"/>
        <w:keepLines w:val="0"/>
        <w:widowControl w:val="0"/>
        <w:numPr>
          <w:ilvl w:val="0"/>
          <w:numId w:val="35"/>
        </w:numPr>
        <w:shd w:val="clear" w:color="auto" w:fill="auto"/>
        <w:bidi w:val="0"/>
        <w:spacing w:before="0" w:after="40" w:line="240" w:lineRule="auto"/>
        <w:ind w:left="0" w:right="0" w:firstLine="0"/>
        <w:jc w:val="left"/>
      </w:pPr>
      <w:bookmarkStart w:id="208" w:name="bookmark208"/>
      <w:bookmarkEnd w:id="208"/>
      <w:r>
        <w:rPr>
          <w:color w:val="000000"/>
          <w:spacing w:val="0"/>
          <w:w w:val="100"/>
          <w:position w:val="0"/>
        </w:rPr>
        <w:t>其他应收款：</w:t>
      </w: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其他应收款按种类披露：</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066"/>
        <w:gridCol w:w="1416"/>
        <w:gridCol w:w="696"/>
        <w:gridCol w:w="1320"/>
        <w:gridCol w:w="691"/>
        <w:gridCol w:w="1426"/>
        <w:gridCol w:w="691"/>
        <w:gridCol w:w="1315"/>
        <w:gridCol w:w="69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16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 重大并单 项计提坏 账准备的 其他应收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15,580,539.54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1,368,406.00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23,430,800.00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2,343,080.00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r>
      <w:tr>
        <w:trPr>
          <w:trHeight w:val="283"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也应收贝</w:t>
            </w:r>
          </w:p>
        </w:tc>
        <w:tc>
          <w:tcPr>
            <w:gridSpan w:val="6"/>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款：</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账龄分析 法组合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1,121,487.03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136,958.85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31,090,973.30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3,582,546.73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1,121,487.03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136,958.85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31,090,973.30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3,582,546.73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16,702,026.57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1,505,364.85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54,521,773.30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5,925,626.73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单项金额重大并单项计提坏帐准备的其他应收账款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诸暨市交通运输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10,560,800.00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1,056,080.00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政府部门款项收 回风险和一般企 业不同，单独计提 坏账准备</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0" w:lineRule="exact"/>
              <w:ind w:left="0" w:right="0" w:firstLine="0"/>
              <w:jc w:val="left"/>
            </w:pPr>
            <w:r>
              <w:rPr>
                <w:color w:val="000000"/>
                <w:spacing w:val="0"/>
                <w:w w:val="100"/>
                <w:position w:val="0"/>
              </w:rPr>
              <w:t>诸暨市城市建设 投资发展有限公 司及非税收入财 政专户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3,123,260.00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312,326.00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政府部门款项收 回风险和一般企 业不同，单独计提 坏账准备</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银行通知存款利 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1,896,479.54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银行通知存款利 息，可收回性与其 他款项存在明显 差异</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15,580,539.54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1,368,406.00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组合中，按账龄分析法计提坏账准备的其他应收账款:</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0"/>
        <w:gridCol w:w="1320"/>
        <w:gridCol w:w="1291"/>
        <w:gridCol w:w="1387"/>
        <w:gridCol w:w="1421"/>
        <w:gridCol w:w="1200"/>
        <w:gridCol w:w="1488"/>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895,421.03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79.84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44,771.05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21,969,466.30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1,098,473.33</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895,421.03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44,771.05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21,969,466.30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1,098,473.33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32,550.00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3,255.00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7,840.00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5,705,747.00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1,141,149.40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158,700.00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14.15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63,480.00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3,337,010.00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1,334,804.00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30,816.00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24,652.80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1,121,487.03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136,958.85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31,090,973.30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3,582,546.73</w:t>
            </w:r>
          </w:p>
        </w:tc>
      </w:tr>
    </w:tbl>
    <w:p>
      <w:pPr>
        <w:widowControl w:val="0"/>
        <w:spacing w:after="479" w:line="1" w:lineRule="exact"/>
      </w:pPr>
    </w:p>
    <w:p>
      <w:pPr>
        <w:widowControl w:val="0"/>
        <w:spacing w:line="1" w:lineRule="exact"/>
      </w:pPr>
    </w:p>
    <w:p>
      <w:pPr>
        <w:pStyle w:val="Style19"/>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tab/>
        <w:t>本报告期实际核销的其他应收款情况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其他应收款项性 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是否因关联交易 产生</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唐山市清泉钢铁 集团兆宇特钢制 造有限公司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3,099,294.00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3,099,294.00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tabs>
          <w:tab w:pos="533" w:val="left"/>
        </w:tabs>
        <w:bidi w:val="0"/>
        <w:spacing w:before="0" w:after="240" w:line="269" w:lineRule="exact"/>
        <w:ind w:left="240" w:right="0" w:hanging="240"/>
        <w:jc w:val="left"/>
      </w:pPr>
      <w:bookmarkStart w:id="209" w:name="bookmark209"/>
      <w:r>
        <w:rPr>
          <w:rFonts w:ascii="Times New Roman" w:eastAsia="Times New Roman" w:hAnsi="Times New Roman" w:cs="Times New Roman"/>
          <w:color w:val="000000"/>
          <w:spacing w:val="0"/>
          <w:w w:val="100"/>
          <w:position w:val="0"/>
          <w:shd w:val="clear" w:color="auto" w:fill="FFFFFF"/>
        </w:rPr>
        <w:t>3</w:t>
      </w:r>
      <w:bookmarkEnd w:id="209"/>
      <w:r>
        <w:rPr>
          <w:color w:val="000000"/>
          <w:spacing w:val="0"/>
          <w:w w:val="100"/>
          <w:position w:val="0"/>
          <w:shd w:val="clear" w:color="auto" w:fill="FFFFFF"/>
        </w:rPr>
        <w:t>、</w:t>
      </w:r>
      <w:r>
        <w:rPr>
          <w:color w:val="000000"/>
          <w:spacing w:val="0"/>
          <w:w w:val="100"/>
          <w:position w:val="0"/>
        </w:rPr>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 本报告期其他应收账款中无持有公司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 其他应收款金额前五名单位情况</w:t>
      </w:r>
    </w:p>
    <w:p>
      <w:pPr>
        <w:pStyle w:val="Style19"/>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占其他应收款总 额的比例</w:t>
            </w: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诸暨市交通运输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10,560,800.00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63.23</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0" w:lineRule="exact"/>
              <w:ind w:left="0" w:right="0" w:firstLine="0"/>
              <w:jc w:val="left"/>
            </w:pPr>
            <w:r>
              <w:rPr>
                <w:color w:val="000000"/>
                <w:spacing w:val="0"/>
                <w:w w:val="100"/>
                <w:position w:val="0"/>
              </w:rPr>
              <w:t>诸暨市城市建设 投资发展有限公 司及非税收入财 政专户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3,123,260.00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18.70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华夏银行诸暨支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441,581.25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2.64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恒丰银行绍兴分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351,864.32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2.11</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平安银行杭州西 湖支行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340,931.25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2.04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14,818,436.82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88.72</w:t>
            </w:r>
          </w:p>
        </w:tc>
      </w:tr>
    </w:tbl>
    <w:p>
      <w:pPr>
        <w:spacing w:lineRule="exact" w:line="1"/>
        <w:rPr>
          <w:sz w:val="2"/>
          <w:szCs w:val="2"/>
        </w:rPr>
      </w:pPr>
      <w:r>
        <w:br w:type="page"/>
      </w:r>
    </w:p>
    <w:p>
      <w:pPr>
        <w:pStyle w:val="Style13"/>
        <w:keepNext w:val="0"/>
        <w:keepLines w:val="0"/>
        <w:widowControl w:val="0"/>
        <w:shd w:val="clear" w:color="auto" w:fill="auto"/>
        <w:bidi w:val="0"/>
        <w:spacing w:before="0" w:after="0" w:line="240" w:lineRule="auto"/>
        <w:ind w:left="0" w:right="0" w:firstLine="0"/>
        <w:jc w:val="left"/>
      </w:pPr>
      <w:bookmarkStart w:id="210" w:name="bookmark210"/>
      <w:r>
        <w:rPr>
          <w:rFonts w:ascii="Times New Roman" w:eastAsia="Times New Roman" w:hAnsi="Times New Roman" w:cs="Times New Roman"/>
          <w:color w:val="000000"/>
          <w:spacing w:val="0"/>
          <w:w w:val="100"/>
          <w:position w:val="0"/>
        </w:rPr>
        <w:t>（</w:t>
      </w:r>
      <w:bookmarkEnd w:id="210"/>
      <w:r>
        <w:rPr>
          <w:color w:val="000000"/>
          <w:spacing w:val="0"/>
          <w:w w:val="100"/>
          <w:position w:val="0"/>
        </w:rPr>
        <w:t>六</w:t>
      </w:r>
      <w:r>
        <w:rPr>
          <w:color w:val="000000"/>
          <w:spacing w:val="0"/>
          <w:w w:val="100"/>
          <w:position w:val="0"/>
        </w:rPr>
        <w:t>）</w:t>
      </w:r>
      <w:r>
        <w:rPr>
          <w:color w:val="000000"/>
          <w:spacing w:val="0"/>
          <w:w w:val="100"/>
          <w:position w:val="0"/>
        </w:rPr>
        <w:t>预付款项：</w:t>
      </w:r>
    </w:p>
    <w:p>
      <w:pPr>
        <w:pStyle w:val="Style13"/>
        <w:keepNext w:val="0"/>
        <w:keepLines w:val="0"/>
        <w:widowControl w:val="0"/>
        <w:shd w:val="clear" w:color="auto" w:fill="auto"/>
        <w:tabs>
          <w:tab w:pos="49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预付款项按账龄列示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08"/>
        <w:gridCol w:w="1877"/>
        <w:gridCol w:w="1877"/>
        <w:gridCol w:w="1973"/>
        <w:gridCol w:w="1982"/>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期末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7"/>
                <w:szCs w:val="17"/>
              </w:rPr>
              <w:t>E</w:t>
            </w:r>
            <w:r>
              <w:rPr>
                <w:color w:val="000000"/>
                <w:spacing w:val="0"/>
                <w:w w:val="100"/>
                <w:position w:val="0"/>
              </w:rPr>
              <w:t>数</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19,471,737.40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99.12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23,507,750.21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100,122.44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677,108.40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2.76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5,421.50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0.02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70,170.00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384,150.00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1.56</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19,643,543.44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24,574,430.11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39" w:line="1" w:lineRule="exact"/>
      </w:pPr>
    </w:p>
    <w:p>
      <w:pPr>
        <w:pStyle w:val="Style13"/>
        <w:keepNext w:val="0"/>
        <w:keepLines w:val="0"/>
        <w:widowControl w:val="0"/>
        <w:shd w:val="clear" w:color="auto" w:fill="auto"/>
        <w:tabs>
          <w:tab w:pos="49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预付款项金额前五名单位情况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上海宝钢商贸有 限公司无锡分公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6,544,004.01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预付采购款，尚未 结算</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张家港市金盟织 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3,355,522.10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预付采购款，尚未 结算</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上海一毛条纺织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2,055,259.10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预付采购款，尚未 结算</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无锡市雪浪钢管 国际贸易有限公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1,754,779.81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预付采购款，尚未 结算</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江阴泰富兴澄特</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种材料有限公司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1,704,128.99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预付采购款，尚未 结算</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15,413,694.01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tabs>
          <w:tab w:pos="494" w:val="left"/>
        </w:tabs>
        <w:bidi w:val="0"/>
        <w:spacing w:before="0" w:after="0" w:line="240" w:lineRule="auto"/>
        <w:ind w:left="0" w:right="0" w:firstLine="0"/>
        <w:jc w:val="left"/>
      </w:pPr>
      <w:bookmarkStart w:id="211" w:name="bookmark211"/>
      <w:r>
        <w:rPr>
          <w:rFonts w:ascii="Times New Roman" w:eastAsia="Times New Roman" w:hAnsi="Times New Roman" w:cs="Times New Roman"/>
          <w:color w:val="000000"/>
          <w:spacing w:val="0"/>
          <w:w w:val="100"/>
          <w:position w:val="0"/>
        </w:rPr>
        <w:t>3</w:t>
      </w:r>
      <w:bookmarkEnd w:id="211"/>
      <w:r>
        <w:rPr>
          <w:color w:val="000000"/>
          <w:spacing w:val="0"/>
          <w:w w:val="100"/>
          <w:position w:val="0"/>
        </w:rPr>
        <w:t>、</w:t>
        <w:tab/>
        <w:t>本报告期预付款项中持有公司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520" w:line="240" w:lineRule="auto"/>
        <w:ind w:left="0" w:right="0" w:firstLine="240"/>
        <w:jc w:val="left"/>
      </w:pPr>
      <w:r>
        <w:rPr>
          <w:color w:val="000000"/>
          <w:spacing w:val="0"/>
          <w:w w:val="100"/>
          <w:position w:val="0"/>
        </w:rPr>
        <w:t>本报告期预付账款中无持有公司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bidi w:val="0"/>
        <w:spacing w:before="0" w:after="0" w:line="240" w:lineRule="auto"/>
        <w:ind w:left="0" w:right="0" w:firstLine="0"/>
        <w:jc w:val="left"/>
      </w:pPr>
      <w:bookmarkStart w:id="212" w:name="bookmark212"/>
      <w:r>
        <w:rPr>
          <w:rFonts w:ascii="Times New Roman" w:eastAsia="Times New Roman" w:hAnsi="Times New Roman" w:cs="Times New Roman"/>
          <w:color w:val="000000"/>
          <w:spacing w:val="0"/>
          <w:w w:val="100"/>
          <w:position w:val="0"/>
        </w:rPr>
        <w:t>（</w:t>
      </w:r>
      <w:bookmarkEnd w:id="212"/>
      <w:r>
        <w:rPr>
          <w:color w:val="000000"/>
          <w:spacing w:val="0"/>
          <w:w w:val="100"/>
          <w:position w:val="0"/>
        </w:rPr>
        <w:t>七</w:t>
      </w:r>
      <w:r>
        <w:rPr>
          <w:color w:val="000000"/>
          <w:spacing w:val="0"/>
          <w:w w:val="100"/>
          <w:position w:val="0"/>
        </w:rPr>
        <w:t>）</w:t>
      </w:r>
      <w:r>
        <w:rPr>
          <w:color w:val="000000"/>
          <w:spacing w:val="0"/>
          <w:w w:val="100"/>
          <w:position w:val="0"/>
        </w:rPr>
        <w:t>存货：</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存货分类</w:t>
      </w:r>
    </w:p>
    <w:p>
      <w:pPr>
        <w:pStyle w:val="Style19"/>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557"/>
        <w:gridCol w:w="1526"/>
        <w:gridCol w:w="1320"/>
        <w:gridCol w:w="1531"/>
        <w:gridCol w:w="1526"/>
        <w:gridCol w:w="1320"/>
        <w:gridCol w:w="153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项 目</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835" w:hRule="exact"/>
        </w:trPr>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220" w:after="0" w:line="240" w:lineRule="auto"/>
              <w:ind w:left="0" w:right="0" w:firstLine="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49,551,870.46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29,118.55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49,522,751.91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34,391,470.87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34,391,470.87</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140"/>
              <w:jc w:val="left"/>
            </w:pPr>
            <w:r>
              <w:rPr>
                <w:color w:val="000000"/>
                <w:spacing w:val="0"/>
                <w:w w:val="100"/>
                <w:position w:val="0"/>
              </w:rPr>
              <w:t>在 产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17,105,472.21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17,105,472.21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14,611,241.35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14,611,241.35</w:t>
            </w:r>
          </w:p>
        </w:tc>
      </w:tr>
      <w:tr>
        <w:trPr>
          <w:trHeight w:val="571" w:hRule="exact"/>
        </w:trPr>
        <w:tc>
          <w:tcPr>
            <w:tcBorders>
              <w:top w:val="single" w:sz="4"/>
              <w:left w:val="single" w:sz="4"/>
              <w:bottom w:val="single" w:sz="4"/>
            </w:tcBorders>
            <w:shd w:val="clear" w:color="auto" w:fill="FFFFFF"/>
            <w:textDirection w:val="tbRlV"/>
            <w:vAlign w:val="top"/>
          </w:tcPr>
          <w:p>
            <w:pPr>
              <w:pStyle w:val="Style3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库存一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72,182,916.26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5,393,917.46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66,788,998.80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57,710,429.03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3,300,555.01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54,409,874.02</w:t>
            </w:r>
          </w:p>
        </w:tc>
      </w:tr>
    </w:tbl>
    <w:p>
      <w:pPr>
        <w:widowControl w:val="0"/>
        <w:spacing w:line="1" w:lineRule="exact"/>
      </w:pPr>
      <w:r>
        <w:br w:type="page"/>
      </w:r>
    </w:p>
    <w:tbl>
      <w:tblPr>
        <w:tblOverlap w:val="never"/>
        <w:jc w:val="center"/>
        <w:tblLayout w:type="fixed"/>
      </w:tblPr>
      <w:tblGrid>
        <w:gridCol w:w="557"/>
        <w:gridCol w:w="1526"/>
        <w:gridCol w:w="1320"/>
        <w:gridCol w:w="1531"/>
        <w:gridCol w:w="1526"/>
        <w:gridCol w:w="1320"/>
        <w:gridCol w:w="1536"/>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商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178,015,843.37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178,015,843.37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146,308,543.37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146,308,543.37</w:t>
            </w:r>
          </w:p>
        </w:tc>
      </w:tr>
      <w:tr>
        <w:trPr>
          <w:trHeight w:val="1651"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7,032,140.50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7,032,140.50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4,648,821.27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4,648,821.27</w:t>
            </w:r>
          </w:p>
        </w:tc>
      </w:tr>
      <w:tr>
        <w:trPr>
          <w:trHeight w:val="1646"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其他周转材料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379,675.21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379,675.21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683,766.91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683,766.91</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324,267,918.01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5,423,036.01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318,844,882.00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258,354,272.80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3,300,555.01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255,053,717.79</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存货跌价准备</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54"/>
        <w:gridCol w:w="1723"/>
        <w:gridCol w:w="1536"/>
        <w:gridCol w:w="1344"/>
        <w:gridCol w:w="1627"/>
        <w:gridCol w:w="1733"/>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本期计提额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期末账面余额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29,118.55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29,118.55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3,300,555.01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4,362,991.79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2,269,629.34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5,393,917.46</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3,300,555.01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4,392,110.34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2,269,629.34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5,423,036.01</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存货跌价准备情况</w:t>
      </w:r>
    </w:p>
    <w:tbl>
      <w:tblPr>
        <w:tblOverlap w:val="never"/>
        <w:jc w:val="center"/>
        <w:tblLayout w:type="fixed"/>
      </w:tblPr>
      <w:tblGrid>
        <w:gridCol w:w="1718"/>
        <w:gridCol w:w="2179"/>
        <w:gridCol w:w="2563"/>
        <w:gridCol w:w="2856"/>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计提存货跌价准备的 依据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本期转回存货跌价准备的 原因</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本期转回金额占该项存货期 末余额的比例（%）</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账面价值高于可变现 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账面价值高于可变现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开发成本</w:t>
      </w:r>
    </w:p>
    <w:tbl>
      <w:tblPr>
        <w:tblOverlap w:val="never"/>
        <w:jc w:val="left"/>
        <w:tblLayout w:type="fixed"/>
      </w:tblPr>
      <w:tblGrid>
        <w:gridCol w:w="1330"/>
        <w:gridCol w:w="1637"/>
        <w:gridCol w:w="1152"/>
        <w:gridCol w:w="1018"/>
        <w:gridCol w:w="1742"/>
        <w:gridCol w:w="1819"/>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开工 时间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预计竣 工时间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预计总投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30,000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146,308,543.37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178,015,843.37</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146,308,543.37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178,015,843.37</w:t>
            </w:r>
          </w:p>
        </w:tc>
      </w:tr>
    </w:tbl>
    <w:p>
      <w:pPr>
        <w:widowControl w:val="0"/>
        <w:spacing w:after="239" w:line="1" w:lineRule="exact"/>
      </w:pPr>
    </w:p>
    <w:p>
      <w:pPr>
        <w:pStyle w:val="Style13"/>
        <w:keepNext w:val="0"/>
        <w:keepLines w:val="0"/>
        <w:widowControl w:val="0"/>
        <w:shd w:val="clear" w:color="auto" w:fill="auto"/>
        <w:tabs>
          <w:tab w:pos="4190" w:val="left"/>
          <w:tab w:pos="7382" w:val="left"/>
        </w:tabs>
        <w:bidi w:val="0"/>
        <w:spacing w:before="0" w:after="240" w:line="283" w:lineRule="exact"/>
        <w:ind w:left="0" w:right="0" w:firstLine="0"/>
        <w:jc w:val="center"/>
      </w:pPr>
      <w:r>
        <mc:AlternateContent>
          <mc:Choice Requires="wps">
            <w:drawing>
              <wp:anchor distT="0" distB="0" distL="0" distR="0" simplePos="0" relativeHeight="125829422" behindDoc="0" locked="0" layoutInCell="1" allowOverlap="1">
                <wp:simplePos x="0" y="0"/>
                <wp:positionH relativeFrom="page">
                  <wp:posOffset>1172210</wp:posOffset>
                </wp:positionH>
                <wp:positionV relativeFrom="paragraph">
                  <wp:posOffset>355600</wp:posOffset>
                </wp:positionV>
                <wp:extent cx="5916295" cy="194945"/>
                <wp:wrapTopAndBottom/>
                <wp:docPr id="80" name="Shape 80"/>
                <a:graphic xmlns:a="http://schemas.openxmlformats.org/drawingml/2006/main">
                  <a:graphicData uri="http://schemas.microsoft.com/office/word/2010/wordprocessingShape">
                    <wps:wsp>
                      <wps:cNvSpPr txBox="1"/>
                      <wps:spPr>
                        <a:xfrm>
                          <a:ext cx="5916295" cy="194945"/>
                        </a:xfrm>
                        <a:prstGeom prst="rect"/>
                        <a:noFill/>
                      </wps:spPr>
                      <wps:txbx>
                        <w:txbxContent>
                          <w:tbl>
                            <w:tblPr>
                              <w:tblOverlap w:val="never"/>
                              <w:jc w:val="left"/>
                              <w:tblLayout w:type="fixed"/>
                            </w:tblPr>
                            <w:tblGrid>
                              <w:gridCol w:w="2923"/>
                              <w:gridCol w:w="3192"/>
                              <w:gridCol w:w="3202"/>
                            </w:tblGrid>
                            <w:tr>
                              <w:trPr>
                                <w:tblHeade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p>
                        </w:txbxContent>
                      </wps:txbx>
                      <wps:bodyPr lIns="0" tIns="0" rIns="0" bIns="0">
                        <a:noAutoFit/>
                      </wps:bodyPr>
                    </wps:wsp>
                  </a:graphicData>
                </a:graphic>
              </wp:anchor>
            </w:drawing>
          </mc:Choice>
          <mc:Fallback>
            <w:pict>
              <v:shape id="_x0000_s1106" type="#_x0000_t202" style="position:absolute;margin-left:92.299999999999997pt;margin-top:28.pt;width:465.85000000000002pt;height:15.35pt;z-index:-125829331;mso-wrap-distance-left:0;mso-wrap-distance-right:0;mso-position-horizontal-relative:page" filled="f" stroked="f">
                <v:textbox inset="0,0,0,0">
                  <w:txbxContent>
                    <w:tbl>
                      <w:tblPr>
                        <w:tblOverlap w:val="never"/>
                        <w:jc w:val="left"/>
                        <w:tblLayout w:type="fixed"/>
                      </w:tblPr>
                      <w:tblGrid>
                        <w:gridCol w:w="2923"/>
                        <w:gridCol w:w="3192"/>
                        <w:gridCol w:w="3202"/>
                      </w:tblGrid>
                      <w:tr>
                        <w:trPr>
                          <w:tblHeade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p>
                  </w:txbxContent>
                </v:textbox>
                <w10:wrap type="topAndBottom" anchorx="page"/>
              </v:shape>
            </w:pict>
          </mc:Fallback>
        </mc:AlternateContent>
      </w:r>
      <w:bookmarkStart w:id="213" w:name="bookmark213"/>
      <w:r>
        <w:rPr>
          <w:rFonts w:ascii="Times New Roman" w:eastAsia="Times New Roman" w:hAnsi="Times New Roman" w:cs="Times New Roman"/>
          <w:color w:val="000000"/>
          <w:spacing w:val="0"/>
          <w:w w:val="100"/>
          <w:position w:val="0"/>
        </w:rPr>
        <w:t>（</w:t>
      </w:r>
      <w:bookmarkEnd w:id="213"/>
      <w:r>
        <w:rPr>
          <w:color w:val="000000"/>
          <w:spacing w:val="0"/>
          <w:w w:val="100"/>
          <w:position w:val="0"/>
        </w:rPr>
        <w:t>八</w:t>
      </w:r>
      <w:r>
        <w:rPr>
          <w:color w:val="000000"/>
          <w:spacing w:val="0"/>
          <w:w w:val="100"/>
          <w:position w:val="0"/>
        </w:rPr>
        <w:t>）</w:t>
      </w:r>
      <w:r>
        <w:rPr>
          <w:color w:val="000000"/>
          <w:spacing w:val="0"/>
          <w:w w:val="100"/>
          <w:position w:val="0"/>
        </w:rPr>
        <w:t>其他流动资产：</w:t>
        <w:br/>
      </w:r>
      <w:r>
        <w:rPr>
          <w:color w:val="000000"/>
          <w:spacing w:val="0"/>
          <w:w w:val="100"/>
          <w:position w:val="0"/>
          <w:u w:val="single"/>
        </w:rPr>
        <w:t>单位：元币种：人民币</w:t>
        <w:br/>
      </w:r>
      <w:r>
        <w:rPr>
          <w:color w:val="000000"/>
          <w:spacing w:val="0"/>
          <w:w w:val="100"/>
          <w:position w:val="0"/>
        </w:rPr>
        <w:t>项目</w:t>
        <w:tab/>
        <w:t>期末数</w:t>
        <w:tab/>
        <w:t>期初数</w:t>
      </w:r>
      <w:r>
        <w:br w:type="page"/>
      </w:r>
    </w:p>
    <w:tbl>
      <w:tblPr>
        <w:tblOverlap w:val="never"/>
        <w:jc w:val="center"/>
        <w:tblLayout w:type="fixed"/>
      </w:tblPr>
      <w:tblGrid>
        <w:gridCol w:w="2923"/>
        <w:gridCol w:w="3192"/>
        <w:gridCol w:w="3202"/>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待抵扣增值税及其他预交税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19,780,988.79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2,515,091.33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待摊网络费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31,866.19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150,562,500.00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19,780,988.79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153,109,457.52</w:t>
            </w:r>
          </w:p>
        </w:tc>
      </w:tr>
    </w:tbl>
    <w:p>
      <w:pPr>
        <w:pStyle w:val="Style13"/>
        <w:keepNext w:val="0"/>
        <w:keepLines w:val="0"/>
        <w:widowControl w:val="0"/>
        <w:shd w:val="clear" w:color="auto" w:fill="auto"/>
        <w:bidi w:val="0"/>
        <w:spacing w:before="0" w:after="280" w:line="269" w:lineRule="exact"/>
        <w:ind w:left="0" w:right="0" w:firstLine="0"/>
        <w:jc w:val="both"/>
      </w:pPr>
      <w:r>
        <w:rPr>
          <w:color w:val="000000"/>
          <w:spacing w:val="0"/>
          <w:w w:val="100"/>
          <w:position w:val="0"/>
        </w:rPr>
        <w:t xml:space="preserve">期初委托贷款系公司委托兴业银行向诸暨市城市建设投资发展有限公司提供贷款，其中 </w:t>
      </w:r>
      <w:r>
        <w:rPr>
          <w:rFonts w:ascii="Times New Roman" w:eastAsia="Times New Roman" w:hAnsi="Times New Roman" w:cs="Times New Roman"/>
          <w:color w:val="000000"/>
          <w:spacing w:val="0"/>
          <w:w w:val="100"/>
          <w:position w:val="0"/>
        </w:rPr>
        <w:t>10,000.00</w:t>
      </w:r>
      <w:r>
        <w:rPr>
          <w:color w:val="000000"/>
          <w:spacing w:val="0"/>
          <w:w w:val="100"/>
          <w:position w:val="0"/>
        </w:rPr>
        <w:t>万元贷款期限为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5,000.00</w:t>
      </w:r>
      <w:r>
        <w:rPr>
          <w:color w:val="000000"/>
          <w:spacing w:val="0"/>
          <w:w w:val="100"/>
          <w:position w:val="0"/>
        </w:rPr>
        <w:t>万元贷款期限为</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562,500.00</w:t>
      </w:r>
      <w:r>
        <w:rPr>
          <w:color w:val="000000"/>
          <w:spacing w:val="0"/>
          <w:w w:val="100"/>
          <w:position w:val="0"/>
        </w:rPr>
        <w:t>元应收利息余额，上述贷款由诸暨市城东新城建 设有限公司提供担保，本期已全部收回。</w:t>
      </w:r>
    </w:p>
    <w:p>
      <w:pPr>
        <w:pStyle w:val="Style13"/>
        <w:keepNext w:val="0"/>
        <w:keepLines w:val="0"/>
        <w:widowControl w:val="0"/>
        <w:shd w:val="clear" w:color="auto" w:fill="auto"/>
        <w:bidi w:val="0"/>
        <w:spacing w:before="0" w:after="0" w:line="276" w:lineRule="auto"/>
        <w:ind w:left="0" w:right="0" w:firstLine="0"/>
        <w:jc w:val="both"/>
      </w:pPr>
      <w:bookmarkStart w:id="214" w:name="bookmark214"/>
      <w:r>
        <w:rPr>
          <w:rFonts w:ascii="Times New Roman" w:eastAsia="Times New Roman" w:hAnsi="Times New Roman" w:cs="Times New Roman"/>
          <w:color w:val="000000"/>
          <w:spacing w:val="0"/>
          <w:w w:val="100"/>
          <w:position w:val="0"/>
        </w:rPr>
        <w:t>（</w:t>
      </w:r>
      <w:bookmarkEnd w:id="214"/>
      <w:r>
        <w:rPr>
          <w:color w:val="000000"/>
          <w:spacing w:val="0"/>
          <w:w w:val="100"/>
          <w:position w:val="0"/>
        </w:rPr>
        <w:t>九</w:t>
      </w:r>
      <w:r>
        <w:rPr>
          <w:color w:val="000000"/>
          <w:spacing w:val="0"/>
          <w:w w:val="100"/>
          <w:position w:val="0"/>
        </w:rPr>
        <w:t>）</w:t>
      </w:r>
      <w:r>
        <w:rPr>
          <w:color w:val="000000"/>
          <w:spacing w:val="0"/>
          <w:w w:val="100"/>
          <w:position w:val="0"/>
        </w:rPr>
        <w:t>可供出售金融资产：</w:t>
      </w:r>
    </w:p>
    <w:p>
      <w:pPr>
        <w:pStyle w:val="Style13"/>
        <w:keepNext w:val="0"/>
        <w:keepLines w:val="0"/>
        <w:widowControl w:val="0"/>
        <w:shd w:val="clear" w:color="auto" w:fill="auto"/>
        <w:tabs>
          <w:tab w:pos="480" w:val="left"/>
        </w:tabs>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339,429,208.36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22,476,800.00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339,429,208.36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22,476,800.00</w:t>
            </w:r>
          </w:p>
        </w:tc>
      </w:tr>
    </w:tbl>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期末可供出售权益工具为公司持有的按公允价值计量的甘肃上峰水泥股份有限公司的股份 </w:t>
      </w:r>
      <w:r>
        <w:rPr>
          <w:rFonts w:ascii="Times New Roman" w:eastAsia="Times New Roman" w:hAnsi="Times New Roman" w:cs="Times New Roman"/>
          <w:color w:val="000000"/>
          <w:spacing w:val="0"/>
          <w:w w:val="100"/>
          <w:position w:val="0"/>
        </w:rPr>
        <w:t xml:space="preserve">71,760,932.00 </w:t>
      </w:r>
      <w:r>
        <w:rPr>
          <w:color w:val="000000"/>
          <w:spacing w:val="0"/>
          <w:w w:val="100"/>
          <w:position w:val="0"/>
        </w:rPr>
        <w:t>股。</w:t>
      </w:r>
    </w:p>
    <w:p>
      <w:pPr>
        <w:widowControl w:val="0"/>
        <w:spacing w:after="179" w:line="1" w:lineRule="exact"/>
      </w:pPr>
    </w:p>
    <w:p>
      <w:pPr>
        <w:pStyle w:val="Style13"/>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 截至报告期末可供出售金融资产的成本（摊余成本）、公允价值、累计计入其他综合收益 的公允价值变动金额，以及已计提减值金额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2"/>
        <w:gridCol w:w="2290"/>
        <w:gridCol w:w="2112"/>
        <w:gridCol w:w="1594"/>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339,429,208.36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339,429,208.36</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5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对合营企业投资和联营企业投资</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单位：元 币种：人民币</w:t>
      </w:r>
    </w:p>
    <w:tbl>
      <w:tblPr>
        <w:tblOverlap w:val="never"/>
        <w:jc w:val="center"/>
        <w:tblLayout w:type="fixed"/>
      </w:tblPr>
      <w:tblGrid>
        <w:gridCol w:w="610"/>
        <w:gridCol w:w="595"/>
        <w:gridCol w:w="600"/>
        <w:gridCol w:w="1526"/>
        <w:gridCol w:w="1531"/>
        <w:gridCol w:w="1426"/>
        <w:gridCol w:w="1526"/>
        <w:gridCol w:w="1502"/>
      </w:tblGrid>
      <w:tr>
        <w:trPr>
          <w:trHeight w:val="4080" w:hRule="exact"/>
        </w:trPr>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被投资单位名称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期末负债总额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期末净资产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283" w:hRule="exact"/>
        </w:trPr>
        <w:tc>
          <w:tcPr>
            <w:gridSpan w:val="8"/>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w:t>
            </w:r>
          </w:p>
        </w:tc>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庆营企业</w:t>
            </w:r>
          </w:p>
        </w:tc>
      </w:tr>
      <w:tr>
        <w:trPr>
          <w:trHeight w:val="84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诸 暨 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90,012,398.58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-130,621.23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90,143,019.81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12,810,444.00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3,814,340.09</w:t>
            </w:r>
          </w:p>
        </w:tc>
      </w:tr>
    </w:tbl>
    <w:p>
      <w:pPr>
        <w:widowControl w:val="0"/>
        <w:spacing w:line="1" w:lineRule="exact"/>
      </w:pPr>
      <w:r>
        <w:br w:type="page"/>
      </w:r>
    </w:p>
    <w:tbl>
      <w:tblPr>
        <w:tblOverlap w:val="never"/>
        <w:jc w:val="center"/>
        <w:tblLayout w:type="fixed"/>
      </w:tblPr>
      <w:tblGrid>
        <w:gridCol w:w="610"/>
        <w:gridCol w:w="595"/>
        <w:gridCol w:w="600"/>
        <w:gridCol w:w="1526"/>
        <w:gridCol w:w="1531"/>
        <w:gridCol w:w="1426"/>
        <w:gridCol w:w="1526"/>
        <w:gridCol w:w="1502"/>
      </w:tblGrid>
      <w:tr>
        <w:trPr>
          <w:trHeight w:val="22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5" w:lineRule="exact"/>
              <w:ind w:left="0" w:right="0" w:firstLine="0"/>
              <w:jc w:val="left"/>
            </w:pPr>
            <w:r>
              <w:rPr>
                <w:rFonts w:ascii="Times New Roman" w:eastAsia="Times New Roman" w:hAnsi="Times New Roman" w:cs="Times New Roman"/>
                <w:color w:val="000000"/>
                <w:spacing w:val="0"/>
                <w:w w:val="100"/>
                <w:position w:val="0"/>
                <w:sz w:val="15"/>
                <w:szCs w:val="15"/>
              </w:rPr>
              <w:t xml:space="preserve">J </w:t>
            </w:r>
            <w:r>
              <w:rPr>
                <w:rFonts w:ascii="Times New Roman" w:eastAsia="Times New Roman" w:hAnsi="Times New Roman" w:cs="Times New Roman"/>
                <w:color w:val="000000"/>
                <w:spacing w:val="0"/>
                <w:w w:val="100"/>
                <w:position w:val="0"/>
                <w:sz w:val="15"/>
                <w:szCs w:val="15"/>
                <w:u w:val="single"/>
              </w:rPr>
              <w:t xml:space="preserve">* </w:t>
            </w:r>
            <w:r>
              <w:rPr>
                <w:color w:val="000000"/>
                <w:spacing w:val="0"/>
                <w:w w:val="100"/>
                <w:position w:val="0"/>
              </w:rPr>
              <w:t>富 润 置 业 有 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服 饰 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43,535,710.23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32,916,338.61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10,619,371.62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25,485,866.95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1,671,276.58</w:t>
            </w:r>
          </w:p>
        </w:tc>
      </w:tr>
      <w:tr>
        <w:trPr>
          <w:trHeight w:val="3293" w:hRule="exact"/>
        </w:trPr>
        <w:tc>
          <w:tcPr>
            <w:tcBorders>
              <w:top w:val="single" w:sz="4"/>
              <w:left w:val="single" w:sz="4"/>
              <w:bottom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杭州航民上峰水泥有限公司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316,026,420.89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231,560,243.15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84,466,177.74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202,306,442.25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-18,464,718.67</w:t>
            </w:r>
          </w:p>
        </w:tc>
      </w:tr>
    </w:tbl>
    <w:p>
      <w:pPr>
        <w:widowControl w:val="0"/>
        <w:spacing w:after="219" w:line="1" w:lineRule="exact"/>
      </w:pPr>
    </w:p>
    <w:p>
      <w:pPr>
        <w:widowControl w:val="0"/>
        <w:spacing w:line="1" w:lineRule="exact"/>
      </w:pPr>
    </w:p>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长期股权投资</w:t>
      </w:r>
      <w:r>
        <w:rPr>
          <w:color w:val="000000"/>
          <w:spacing w:val="0"/>
          <w:w w:val="100"/>
          <w:position w:val="0"/>
        </w:rPr>
        <w:t>：</w:t>
      </w:r>
    </w:p>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长期股权投资情况 按成本法核算：</w:t>
      </w:r>
    </w:p>
    <w:tbl>
      <w:tblPr>
        <w:tblOverlap w:val="never"/>
        <w:jc w:val="center"/>
        <w:tblLayout w:type="fixed"/>
      </w:tblPr>
      <w:tblGrid>
        <w:gridCol w:w="504"/>
        <w:gridCol w:w="1426"/>
        <w:gridCol w:w="1426"/>
        <w:gridCol w:w="1493"/>
        <w:gridCol w:w="1426"/>
        <w:gridCol w:w="427"/>
        <w:gridCol w:w="1315"/>
        <w:gridCol w:w="845"/>
        <w:gridCol w:w="859"/>
      </w:tblGrid>
      <w:tr>
        <w:trPr>
          <w:trHeight w:val="269" w:hRule="exact"/>
        </w:trPr>
        <w:tc>
          <w:tcPr>
            <w:gridSpan w:val="6"/>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位：元币种：</w:t>
            </w: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r>
        <w:trPr>
          <w:trHeight w:val="1378" w:hRule="exact"/>
        </w:trPr>
        <w:tc>
          <w:tcPr>
            <w:tcBorders>
              <w:top w:val="single" w:sz="4"/>
              <w:left w:val="single" w:sz="4"/>
            </w:tcBorders>
            <w:shd w:val="clear" w:color="auto" w:fill="FFFFFF"/>
            <w:textDirection w:val="tbRlV"/>
            <w:vAlign w:val="center"/>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本期现金红 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7" w:lineRule="exact"/>
              <w:ind w:left="0" w:right="0" w:firstLine="0"/>
              <w:jc w:val="left"/>
            </w:pPr>
            <w:r>
              <w:rPr>
                <w:color w:val="000000"/>
                <w:spacing w:val="0"/>
                <w:w w:val="100"/>
                <w:position w:val="0"/>
              </w:rPr>
              <w:t>在被投 资单位 持股比 例（%）</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在被投 资单位 表决权 比例 （%）</w:t>
            </w:r>
          </w:p>
        </w:tc>
      </w:tr>
      <w:tr>
        <w:trPr>
          <w:trHeight w:val="27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1,209,524.19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1,209,524.19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1,209,524.19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84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 江 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320,236.71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320,236.71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320,236.71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w:t>
            </w:r>
          </w:p>
        </w:tc>
      </w:tr>
    </w:tbl>
    <w:p>
      <w:pPr>
        <w:widowControl w:val="0"/>
        <w:spacing w:line="1" w:lineRule="exact"/>
      </w:pPr>
      <w:r>
        <w:br w:type="page"/>
      </w:r>
    </w:p>
    <w:tbl>
      <w:tblPr>
        <w:tblOverlap w:val="never"/>
        <w:jc w:val="center"/>
        <w:tblLayout w:type="fixed"/>
      </w:tblPr>
      <w:tblGrid>
        <w:gridCol w:w="504"/>
        <w:gridCol w:w="1426"/>
        <w:gridCol w:w="1426"/>
        <w:gridCol w:w="1493"/>
        <w:gridCol w:w="1426"/>
        <w:gridCol w:w="422"/>
        <w:gridCol w:w="1320"/>
        <w:gridCol w:w="845"/>
        <w:gridCol w:w="859"/>
      </w:tblGrid>
      <w:tr>
        <w:trPr>
          <w:trHeight w:val="3562"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诸暨市人民药店连锁有限公司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20"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浙江上峰建材有限公司((下简称上峰建枷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37,552,100.00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-37,552,100.00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3" w:hRule="exact"/>
        </w:trPr>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160" w:after="0" w:line="240" w:lineRule="auto"/>
              <w:ind w:left="0" w:right="0" w:firstLine="0"/>
              <w:jc w:val="left"/>
            </w:pPr>
            <w:r>
              <w:rPr>
                <w:color w:val="000000"/>
                <w:spacing w:val="0"/>
                <w:w w:val="100"/>
                <w:position w:val="0"/>
              </w:rPr>
              <w:t>浙江诸暨热电发展有限公司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1,295,740.59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w:t>
            </w:r>
          </w:p>
        </w:tc>
      </w:tr>
      <w:tr>
        <w:trPr>
          <w:trHeight w:val="111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诸 暨 市 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bl>
    <w:p>
      <w:pPr>
        <w:widowControl w:val="0"/>
        <w:spacing w:line="1" w:lineRule="exact"/>
      </w:pPr>
      <w:r>
        <w:br w:type="page"/>
      </w:r>
    </w:p>
    <w:tbl>
      <w:tblPr>
        <w:tblOverlap w:val="never"/>
        <w:jc w:val="center"/>
        <w:tblLayout w:type="fixed"/>
      </w:tblPr>
      <w:tblGrid>
        <w:gridCol w:w="504"/>
        <w:gridCol w:w="1426"/>
        <w:gridCol w:w="1426"/>
        <w:gridCol w:w="1493"/>
        <w:gridCol w:w="1426"/>
        <w:gridCol w:w="422"/>
        <w:gridCol w:w="1320"/>
        <w:gridCol w:w="845"/>
        <w:gridCol w:w="859"/>
      </w:tblGrid>
      <w:tr>
        <w:trPr>
          <w:trHeight w:val="24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润 小 额 贷 款 有 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诸 暨 长 城 国 际 影 视 网 游 动 漫 创</w:t>
            </w:r>
          </w:p>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'宣、 园 有 限 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w:t>
            </w:r>
          </w:p>
        </w:tc>
      </w:tr>
      <w:tr>
        <w:trPr>
          <w:trHeight w:val="2736" w:hRule="exact"/>
        </w:trPr>
        <w:tc>
          <w:tcPr>
            <w:tcBorders>
              <w:top w:val="single" w:sz="4"/>
              <w:left w:val="single" w:sz="4"/>
            </w:tcBorders>
            <w:shd w:val="clear" w:color="auto" w:fill="FFFFFF"/>
            <w:textDirection w:val="tbRlV"/>
            <w:vAlign w:val="center"/>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诸暨联合担保有限公司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w:t>
            </w:r>
          </w:p>
        </w:tc>
      </w:tr>
      <w:tr>
        <w:trPr>
          <w:trHeight w:val="247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 东 泰 山 宝 盛 大 酒 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bl>
    <w:p>
      <w:pPr>
        <w:widowControl w:val="0"/>
        <w:spacing w:line="1" w:lineRule="exact"/>
      </w:pPr>
      <w:r>
        <w:br w:type="page"/>
      </w:r>
    </w:p>
    <w:tbl>
      <w:tblPr>
        <w:tblOverlap w:val="never"/>
        <w:jc w:val="center"/>
        <w:tblLayout w:type="fixed"/>
      </w:tblPr>
      <w:tblGrid>
        <w:gridCol w:w="504"/>
        <w:gridCol w:w="1426"/>
        <w:gridCol w:w="1426"/>
        <w:gridCol w:w="1493"/>
        <w:gridCol w:w="1426"/>
        <w:gridCol w:w="422"/>
        <w:gridCol w:w="1320"/>
        <w:gridCol w:w="845"/>
        <w:gridCol w:w="859"/>
      </w:tblGrid>
      <w:tr>
        <w:trPr>
          <w:trHeight w:val="27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 东 泰 山 宝 盛 置 业 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27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诸 暨 康 达 机 械 有 限 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6,042,000.00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6,042,000.00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-6,042,000.00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906,300.00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r>
      <w:tr>
        <w:trPr>
          <w:trHeight w:val="2746" w:hRule="exact"/>
        </w:trPr>
        <w:tc>
          <w:tcPr>
            <w:tcBorders>
              <w:top w:val="single" w:sz="4"/>
              <w:left w:val="single" w:sz="4"/>
              <w:bottom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绍兴银行股份有限公司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65,700,000.00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20,700,000.00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按权益法核算：</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7"/>
        <w:gridCol w:w="1421"/>
        <w:gridCol w:w="1426"/>
        <w:gridCol w:w="1426"/>
        <w:gridCol w:w="1421"/>
        <w:gridCol w:w="427"/>
        <w:gridCol w:w="1320"/>
        <w:gridCol w:w="845"/>
        <w:gridCol w:w="854"/>
      </w:tblGrid>
      <w:tr>
        <w:trPr>
          <w:trHeight w:val="1387" w:hRule="exact"/>
        </w:trPr>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本期现金红 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7" w:lineRule="exact"/>
              <w:ind w:left="0" w:right="0" w:firstLine="0"/>
              <w:jc w:val="left"/>
            </w:pPr>
            <w:r>
              <w:rPr>
                <w:color w:val="000000"/>
                <w:spacing w:val="0"/>
                <w:w w:val="100"/>
                <w:position w:val="0"/>
              </w:rPr>
              <w:t>在被投 资单位 持股比 例(%)</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在被投 资单位 表决权 比例 (%)</w:t>
            </w:r>
          </w:p>
        </w:tc>
      </w:tr>
      <w:tr>
        <w:trPr>
          <w:trHeight w:val="247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诸 暨 市</w:t>
            </w:r>
          </w:p>
          <w:p>
            <w:pPr>
              <w:pStyle w:val="Style21"/>
              <w:keepNext w:val="0"/>
              <w:keepLines w:val="0"/>
              <w:widowControl w:val="0"/>
              <w:shd w:val="clear" w:color="auto" w:fill="auto"/>
              <w:bidi w:val="0"/>
              <w:spacing w:before="0" w:after="0" w:line="249" w:lineRule="exact"/>
              <w:ind w:left="0" w:right="0" w:firstLine="0"/>
              <w:jc w:val="left"/>
            </w:pPr>
            <w:r>
              <w:rPr>
                <w:rFonts w:ascii="Times New Roman" w:eastAsia="Times New Roman" w:hAnsi="Times New Roman" w:cs="Times New Roman"/>
                <w:color w:val="000000"/>
                <w:spacing w:val="0"/>
                <w:w w:val="100"/>
                <w:position w:val="0"/>
                <w:sz w:val="15"/>
                <w:szCs w:val="15"/>
              </w:rPr>
              <w:t xml:space="preserve">J </w:t>
            </w:r>
            <w:r>
              <w:rPr>
                <w:rFonts w:ascii="Times New Roman" w:eastAsia="Times New Roman" w:hAnsi="Times New Roman" w:cs="Times New Roman"/>
                <w:color w:val="000000"/>
                <w:spacing w:val="0"/>
                <w:w w:val="100"/>
                <w:position w:val="0"/>
                <w:sz w:val="15"/>
                <w:szCs w:val="15"/>
                <w:u w:val="single"/>
              </w:rPr>
              <w:t xml:space="preserve">* </w:t>
            </w:r>
            <w:r>
              <w:rPr>
                <w:color w:val="000000"/>
                <w:spacing w:val="0"/>
                <w:w w:val="100"/>
                <w:position w:val="0"/>
              </w:rPr>
              <w:t>富 润 置 业 有 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45,926,948.00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36,118,182.88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13,141,321.66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49,259,504.54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9,409,578.96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bl>
    <w:p>
      <w:pPr>
        <w:widowControl w:val="0"/>
        <w:spacing w:line="1" w:lineRule="exact"/>
      </w:pPr>
      <w:r>
        <w:br w:type="page"/>
      </w:r>
    </w:p>
    <w:tbl>
      <w:tblPr>
        <w:tblOverlap w:val="never"/>
        <w:jc w:val="center"/>
        <w:tblLayout w:type="fixed"/>
      </w:tblPr>
      <w:tblGrid>
        <w:gridCol w:w="437"/>
        <w:gridCol w:w="1421"/>
        <w:gridCol w:w="1426"/>
        <w:gridCol w:w="1426"/>
        <w:gridCol w:w="1421"/>
        <w:gridCol w:w="427"/>
        <w:gridCol w:w="1320"/>
        <w:gridCol w:w="845"/>
        <w:gridCol w:w="854"/>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exact"/>
              <w:ind w:left="0" w:right="0" w:firstLine="0"/>
              <w:jc w:val="left"/>
            </w:pPr>
            <w:r>
              <w:rPr>
                <w:color w:val="000000"/>
                <w:spacing w:val="0"/>
                <w:w w:val="100"/>
                <w:position w:val="0"/>
              </w:rPr>
              <w:t>服 饰 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2,814,010.00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3,099,174.53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568,234.04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3,667,408.57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34.00</w:t>
            </w:r>
          </w:p>
        </w:tc>
      </w:tr>
      <w:tr>
        <w:trPr>
          <w:trHeight w:val="3293" w:hRule="exact"/>
        </w:trPr>
        <w:tc>
          <w:tcPr>
            <w:tcBorders>
              <w:top w:val="single" w:sz="4"/>
              <w:left w:val="single" w:sz="4"/>
              <w:bottom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杭州航民上峰水泥有限公司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25,680,661.61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-4,564,117.17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21,116,544.44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25.00</w:t>
            </w:r>
          </w:p>
        </w:tc>
      </w:tr>
    </w:tbl>
    <w:p>
      <w:pPr>
        <w:widowControl w:val="0"/>
        <w:spacing w:after="199" w:line="1" w:lineRule="exact"/>
      </w:pPr>
    </w:p>
    <w:p>
      <w:pPr>
        <w:pStyle w:val="Style13"/>
        <w:keepNext w:val="0"/>
        <w:keepLines w:val="0"/>
        <w:widowControl w:val="0"/>
        <w:shd w:val="clear" w:color="auto" w:fill="auto"/>
        <w:bidi w:val="0"/>
        <w:spacing w:before="0" w:after="260" w:line="283" w:lineRule="exact"/>
        <w:ind w:left="0" w:right="0" w:firstLine="0"/>
        <w:jc w:val="left"/>
      </w:pPr>
      <w:r>
        <w:rPr>
          <w:color w:val="000000"/>
          <w:spacing w:val="0"/>
          <w:w w:val="100"/>
          <w:position w:val="0"/>
        </w:rPr>
        <w:t>本期上峰建材完成与</w:t>
      </w:r>
      <w:r>
        <w:rPr>
          <w:rFonts w:ascii="Times New Roman" w:eastAsia="Times New Roman" w:hAnsi="Times New Roman" w:cs="Times New Roman"/>
          <w:color w:val="000000"/>
          <w:spacing w:val="0"/>
          <w:w w:val="100"/>
          <w:position w:val="0"/>
        </w:rPr>
        <w:t>*ST</w:t>
      </w:r>
      <w:r>
        <w:rPr>
          <w:color w:val="000000"/>
          <w:spacing w:val="0"/>
          <w:w w:val="100"/>
          <w:position w:val="0"/>
        </w:rPr>
        <w:t>铜城的资产重组事项，并于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日上市交易，相应投资成 本转至</w:t>
      </w:r>
      <w:r>
        <w:rPr>
          <w:rFonts w:ascii="Times New Roman" w:eastAsia="Times New Roman" w:hAnsi="Times New Roman" w:cs="Times New Roman"/>
          <w:color w:val="000000"/>
          <w:spacing w:val="0"/>
          <w:w w:val="100"/>
          <w:position w:val="0"/>
        </w:rPr>
        <w:t>"</w:t>
      </w:r>
      <w:r>
        <w:rPr>
          <w:color w:val="000000"/>
          <w:spacing w:val="0"/>
          <w:w w:val="100"/>
          <w:position w:val="0"/>
        </w:rPr>
        <w:t>可供出售金融资产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投资性房地产</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按成本计量的投资性房地产</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5,024,177.00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152,549.25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5,176,726.25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5,024,177.00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152,549.25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5,176,726.25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二、累计折旧和累 计摊销合计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239,245.78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140,511.14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379,756.92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239,245.78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140,511.14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379,756.92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三、投资性房地产 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4,784,931.22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12,038.11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4,796,969.33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4,784,931.22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12,038.11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4,796,969.33</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四、投资性房地产 减值准备累计金 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五、投资性房地产 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4,784,931.22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12,038.11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4,796,969.33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4,784,931.22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12,038.11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4,796,969.33</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本期折旧和摊销额：</w:t>
      </w:r>
      <w:r>
        <w:rPr>
          <w:rFonts w:ascii="Times New Roman" w:eastAsia="Times New Roman" w:hAnsi="Times New Roman" w:cs="Times New Roman"/>
          <w:color w:val="000000"/>
          <w:spacing w:val="0"/>
          <w:w w:val="100"/>
          <w:position w:val="0"/>
        </w:rPr>
        <w:t>140,511.14</w:t>
      </w:r>
      <w:r>
        <w:rPr>
          <w:color w:val="000000"/>
          <w:spacing w:val="0"/>
          <w:w w:val="100"/>
          <w:position w:val="0"/>
        </w:rPr>
        <w:t>元。</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固定资产</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固定资产情况</w:t>
      </w:r>
    </w:p>
    <w:tbl>
      <w:tblPr>
        <w:tblOverlap w:val="never"/>
        <w:jc w:val="center"/>
        <w:tblLayout w:type="fixed"/>
      </w:tblPr>
      <w:tblGrid>
        <w:gridCol w:w="1872"/>
        <w:gridCol w:w="1670"/>
        <w:gridCol w:w="1099"/>
        <w:gridCol w:w="1421"/>
        <w:gridCol w:w="1680"/>
        <w:gridCol w:w="1574"/>
      </w:tblGrid>
      <w:tr>
        <w:trPr>
          <w:trHeight w:val="274" w:hRule="exact"/>
        </w:trPr>
        <w:tc>
          <w:tcPr>
            <w:gridSpan w:val="5"/>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人民币</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期末账面余额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一、账面原值合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622,022,868.50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30,320,640.09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31,653,692.37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620,689,816.22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198,496,730.02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3,345,917.00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23,847,589.40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177,995,057.62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通用设备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29,660,517.04</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1,709,573.12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43,834.50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31,326,255.66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专用设备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389,618,031.42</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24,070,709.33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6,979,968.30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406,708,772.45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4,247,590.02</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1,194,440.64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782,300.17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4,659,730.49</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二、累计折旧合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232,757,156.66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35,835,423.37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20,926,413.52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247,666,166.51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53,322,708.88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6,491,066.90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17,273,337.33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42,540,438.45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通用设备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13,680,923.47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3,568,613.10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42,353.21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17,207,183.36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专用设备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164,030,588.23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24,133,167.03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2,916,195.46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185,247,559.80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1,722,936.08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1,642,576.34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694,527.52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2,670,984.90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三、固定资产账面 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389,265,711.84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373,023,649.71</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145,174,021.14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135,454,619.17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通用设备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15,979,593.57</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14,119,072.30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专用设备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225,587,443.19</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221,461,212.65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2,524,653.94</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1,988,745.59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四、减值准备合计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4,191,222.79</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4,191,222.79</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87,233.58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87,233.58</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通用设备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50,259.27</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50,259.27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专用设备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4,053,729.94</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4,053,729.94</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五、固定资产账面 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385,074,489.05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368,832,426.92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145,086,787.56</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135,367,385.59</w:t>
            </w:r>
          </w:p>
        </w:tc>
      </w:tr>
    </w:tbl>
    <w:p>
      <w:pPr>
        <w:widowControl w:val="0"/>
        <w:spacing w:line="1" w:lineRule="exact"/>
      </w:pPr>
      <w:r>
        <w:br w:type="page"/>
      </w:r>
    </w:p>
    <w:tbl>
      <w:tblPr>
        <w:tblOverlap w:val="never"/>
        <w:jc w:val="center"/>
        <w:tblLayout w:type="fixed"/>
      </w:tblPr>
      <w:tblGrid>
        <w:gridCol w:w="1872"/>
        <w:gridCol w:w="1670"/>
        <w:gridCol w:w="2520"/>
        <w:gridCol w:w="1670"/>
        <w:gridCol w:w="1584"/>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通用设备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15,929,334.30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14,068,813.03</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221,533,713.25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217,407,482.71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2,524,653.94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1,988,745.59</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35,835,423.37</w:t>
      </w:r>
      <w:r>
        <w:rPr>
          <w:color w:val="000000"/>
          <w:spacing w:val="0"/>
          <w:w w:val="100"/>
          <w:position w:val="0"/>
        </w:rPr>
        <w:t>元。</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本期由在建工程转入固定资产原价为：</w:t>
      </w:r>
      <w:r>
        <w:rPr>
          <w:rFonts w:ascii="Times New Roman" w:eastAsia="Times New Roman" w:hAnsi="Times New Roman" w:cs="Times New Roman"/>
          <w:color w:val="000000"/>
          <w:spacing w:val="0"/>
          <w:w w:val="100"/>
          <w:position w:val="0"/>
        </w:rPr>
        <w:t>11,904,728.73</w:t>
      </w:r>
      <w:r>
        <w:rPr>
          <w:color w:val="000000"/>
          <w:spacing w:val="0"/>
          <w:w w:val="100"/>
          <w:position w:val="0"/>
        </w:rPr>
        <w:t>元。</w:t>
      </w:r>
    </w:p>
    <w:p>
      <w:pPr>
        <w:widowControl w:val="0"/>
        <w:spacing w:after="2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本期期末，已有账面价值</w:t>
      </w:r>
      <w:r>
        <w:rPr>
          <w:rFonts w:ascii="Times New Roman" w:eastAsia="Times New Roman" w:hAnsi="Times New Roman" w:cs="Times New Roman"/>
          <w:color w:val="000000"/>
          <w:spacing w:val="0"/>
          <w:w w:val="100"/>
          <w:position w:val="0"/>
        </w:rPr>
        <w:t>137,439,066.68</w:t>
      </w:r>
      <w:r>
        <w:rPr>
          <w:color w:val="000000"/>
          <w:spacing w:val="0"/>
          <w:w w:val="100"/>
          <w:position w:val="0"/>
        </w:rPr>
        <w:t>元的固定资产用于担保。</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在建工程：</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在建工程情况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05"/>
        <w:gridCol w:w="1416"/>
        <w:gridCol w:w="1286"/>
        <w:gridCol w:w="1416"/>
        <w:gridCol w:w="1315"/>
        <w:gridCol w:w="1291"/>
        <w:gridCol w:w="1387"/>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11,995,033.16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11,995,033.16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6,606,943.70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6,606,943.70</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重大在建工程项目变动情况:</w:t>
      </w:r>
    </w:p>
    <w:tbl>
      <w:tblPr>
        <w:tblOverlap w:val="never"/>
        <w:jc w:val="center"/>
        <w:tblLayout w:type="fixed"/>
      </w:tblPr>
      <w:tblGrid>
        <w:gridCol w:w="643"/>
        <w:gridCol w:w="1426"/>
        <w:gridCol w:w="1320"/>
        <w:gridCol w:w="1426"/>
        <w:gridCol w:w="1416"/>
        <w:gridCol w:w="845"/>
        <w:gridCol w:w="792"/>
        <w:gridCol w:w="422"/>
        <w:gridCol w:w="1440"/>
      </w:tblGrid>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 币种：</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关币</w:t>
            </w:r>
          </w:p>
        </w:tc>
      </w:tr>
      <w:tr>
        <w:trPr>
          <w:trHeight w:val="11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项目 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转入固定资 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7" w:lineRule="exact"/>
              <w:ind w:left="0" w:right="0" w:firstLine="0"/>
              <w:jc w:val="left"/>
            </w:pPr>
            <w:r>
              <w:rPr>
                <w:color w:val="000000"/>
                <w:spacing w:val="0"/>
                <w:w w:val="100"/>
                <w:position w:val="0"/>
              </w:rPr>
              <w:t>工程投 入占预 算比例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工程 进度</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100" w:after="0" w:line="240" w:lineRule="auto"/>
              <w:ind w:left="0" w:right="0" w:firstLine="0"/>
              <w:jc w:val="right"/>
            </w:pPr>
            <w:r>
              <w:rPr>
                <w:color w:val="000000"/>
                <w:spacing w:val="0"/>
                <w:w w:val="100"/>
                <w:position w:val="0"/>
              </w:rPr>
              <w:t>资金来源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r>
      <w:tr>
        <w:trPr>
          <w:trHeight w:val="192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宿舍 楼装 潢工 程</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（印 染公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430,407.00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2,264,601.00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2,695,008.00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其 他 来 源</w:t>
            </w:r>
          </w:p>
        </w:tc>
        <w:tc>
          <w:tcPr>
            <w:tcBorders>
              <w:top w:val="single" w:sz="4"/>
              <w:left w:val="single" w:sz="4"/>
              <w:right w:val="single" w:sz="4"/>
            </w:tcBorders>
            <w:shd w:val="clear" w:color="auto" w:fill="FFFFFF"/>
            <w:vAlign w:val="top"/>
          </w:tcPr>
          <w:p>
            <w:pPr>
              <w:widowControl w:val="0"/>
              <w:rPr>
                <w:sz w:val="10"/>
                <w:szCs w:val="10"/>
              </w:rPr>
            </w:pPr>
          </w:p>
        </w:tc>
      </w:tr>
      <w:tr>
        <w:trPr>
          <w:trHeight w:val="24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8" w:lineRule="exact"/>
              <w:ind w:left="0" w:right="0" w:firstLine="0"/>
              <w:jc w:val="both"/>
            </w:pPr>
            <w:r>
              <w:rPr>
                <w:color w:val="000000"/>
                <w:spacing w:val="0"/>
                <w:w w:val="100"/>
                <w:position w:val="0"/>
              </w:rPr>
              <w:t>厂房 及厂 房地 下室 工程</w:t>
            </w:r>
          </w:p>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（再 生资 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2,714,176.06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7,877,495.62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其 他 来 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10,591,671.68</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其他 零星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3,462,360.64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7,150,721.57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9,209,720.73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74" w:lineRule="exact"/>
              <w:ind w:left="0" w:right="0" w:firstLine="0"/>
              <w:jc w:val="both"/>
            </w:pPr>
            <w:r>
              <w:rPr>
                <w:color w:val="000000"/>
                <w:spacing w:val="0"/>
                <w:w w:val="100"/>
                <w:position w:val="0"/>
              </w:rPr>
              <w:t>其</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他 来 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1,403,361.48</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12,270,000.00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6,606,943.70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17,292,818.19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11,904,728.73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11,995,033.16</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无形资产:</w:t>
      </w:r>
    </w:p>
    <w:p>
      <w:pPr>
        <w:widowControl w:val="0"/>
        <w:spacing w:line="1" w:lineRule="exact"/>
      </w:pPr>
      <w:r>
        <w:br w:type="page"/>
      </w:r>
    </w:p>
    <w:p>
      <w:pPr>
        <w:pStyle w:val="Style19"/>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无形资产情况: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65,996,370.01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65,996,370.01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65,919,446.94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65,919,446.94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76,923.07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76,923.07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7,895,932.80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1,414,479.76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9,310,412.56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7,888,240.45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1,345,249.04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9,233,489.49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7,692.35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69,230.72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76,923.07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三、无形资产账面 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58,100,437.21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-1,414,479.76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56,685,957.45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58,031,206.49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-1,345,249.04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56,685,957.45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69,230.72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-69,230.72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五、无形资产账面 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58,100,437.21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-1,414,479.76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56,685,957.45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58,031,206.49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-1,345,249.04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56,685,957.45</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专用软件</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69,230.72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-69,230.72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rPr>
        <w:t>1,414,479.76</w:t>
      </w:r>
      <w:r>
        <w:rPr>
          <w:color w:val="000000"/>
          <w:spacing w:val="0"/>
          <w:w w:val="100"/>
          <w:position w:val="0"/>
        </w:rPr>
        <w:t>元。</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期末，已有账面价值</w:t>
      </w:r>
      <w:r>
        <w:rPr>
          <w:rFonts w:ascii="Times New Roman" w:eastAsia="Times New Roman" w:hAnsi="Times New Roman" w:cs="Times New Roman"/>
          <w:color w:val="000000"/>
          <w:spacing w:val="0"/>
          <w:w w:val="100"/>
          <w:position w:val="0"/>
        </w:rPr>
        <w:t>41,590,981.90</w:t>
      </w:r>
      <w:r>
        <w:rPr>
          <w:color w:val="000000"/>
          <w:spacing w:val="0"/>
          <w:w w:val="100"/>
          <w:position w:val="0"/>
        </w:rPr>
        <w:t>元的无形资产用于担保。</w:t>
      </w:r>
    </w:p>
    <w:p>
      <w:pPr>
        <w:widowControl w:val="0"/>
        <w:spacing w:after="239" w:line="1" w:lineRule="exact"/>
      </w:pPr>
    </w:p>
    <w:p>
      <w:pPr>
        <w:widowControl w:val="0"/>
        <w:spacing w:line="1" w:lineRule="exact"/>
      </w:pPr>
    </w:p>
    <w:tbl>
      <w:tblPr>
        <w:tblOverlap w:val="never"/>
        <w:jc w:val="left"/>
        <w:tblLayout w:type="fixed"/>
      </w:tblPr>
      <w:tblGrid>
        <w:gridCol w:w="1253"/>
        <w:gridCol w:w="1344"/>
        <w:gridCol w:w="1344"/>
        <w:gridCol w:w="1339"/>
        <w:gridCol w:w="1344"/>
        <w:gridCol w:w="1344"/>
        <w:gridCol w:w="1349"/>
      </w:tblGrid>
      <w:tr>
        <w:trPr>
          <w:trHeight w:val="571" w:hRule="exact"/>
        </w:trPr>
        <w:tc>
          <w:tcPr>
            <w:tcBorders>
              <w:top w:val="single" w:sz="4"/>
              <w:left w:val="single" w:sz="4"/>
            </w:tcBorders>
            <w:shd w:val="clear" w:color="auto" w:fill="FFFFFF"/>
            <w:vAlign w:val="center"/>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0"/>
              <w:jc w:val="center"/>
            </w:pPr>
            <w:r>
              <w:rPr>
                <w:color w:val="000000"/>
                <w:spacing w:val="0"/>
                <w:w w:val="100"/>
                <w:position w:val="0"/>
              </w:rPr>
              <w:t>期初额</w:t>
            </w:r>
          </w:p>
        </w:tc>
        <w:tc>
          <w:tcPr>
            <w:tcBorders>
              <w:top w:val="single" w:sz="4"/>
              <w:left w:val="single" w:sz="4"/>
            </w:tcBorders>
            <w:shd w:val="clear" w:color="auto" w:fill="FFFFFF"/>
            <w:vAlign w:val="center"/>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FFFFFF"/>
            <w:vAlign w:val="center"/>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FFFFFF"/>
            <w:vAlign w:val="center"/>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FFFFFF"/>
            <w:vAlign w:val="center"/>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0"/>
              <w:jc w:val="center"/>
            </w:pPr>
            <w:r>
              <w:rPr>
                <w:color w:val="000000"/>
                <w:spacing w:val="0"/>
                <w:w w:val="100"/>
                <w:position w:val="0"/>
              </w:rPr>
              <w:t>期末额</w:t>
            </w:r>
          </w:p>
        </w:tc>
        <w:tc>
          <w:tcPr>
            <w:tcBorders>
              <w:top w:val="single" w:sz="4"/>
              <w:left w:val="single" w:sz="4"/>
              <w:right w:val="single" w:sz="4"/>
            </w:tcBorders>
            <w:shd w:val="clear" w:color="auto" w:fill="FFFFFF"/>
            <w:vAlign w:val="center"/>
          </w:tcPr>
          <w:p>
            <w:pPr>
              <w:pStyle w:val="Style21"/>
              <w:keepNext w:val="0"/>
              <w:keepLines w:val="0"/>
              <w:framePr w:w="9317" w:h="2261" w:hSpace="5" w:vSpace="533" w:wrap="notBeside" w:vAnchor="text" w:hAnchor="text" w:x="214" w:y="534"/>
              <w:widowControl w:val="0"/>
              <w:shd w:val="clear" w:color="auto" w:fill="auto"/>
              <w:bidi w:val="0"/>
              <w:spacing w:before="0" w:after="0" w:line="269" w:lineRule="exact"/>
              <w:ind w:left="0" w:right="0" w:firstLine="0"/>
              <w:jc w:val="center"/>
            </w:pPr>
            <w:r>
              <w:rPr>
                <w:color w:val="000000"/>
                <w:spacing w:val="0"/>
                <w:w w:val="100"/>
                <w:position w:val="0"/>
              </w:rPr>
              <w:t>其他减少的 原因</w:t>
            </w:r>
          </w:p>
        </w:tc>
      </w:tr>
      <w:tr>
        <w:trPr>
          <w:trHeight w:val="830" w:hRule="exact"/>
        </w:trPr>
        <w:tc>
          <w:tcPr>
            <w:tcBorders>
              <w:top w:val="single" w:sz="4"/>
              <w:left w:val="single" w:sz="4"/>
            </w:tcBorders>
            <w:shd w:val="clear" w:color="auto" w:fill="FFFFFF"/>
            <w:vAlign w:val="center"/>
          </w:tcPr>
          <w:p>
            <w:pPr>
              <w:pStyle w:val="Style21"/>
              <w:keepNext w:val="0"/>
              <w:keepLines w:val="0"/>
              <w:framePr w:w="9317" w:h="2261" w:hSpace="5" w:vSpace="533" w:wrap="notBeside" w:vAnchor="text" w:hAnchor="text" w:x="214" w:y="534"/>
              <w:widowControl w:val="0"/>
              <w:shd w:val="clear" w:color="auto" w:fill="auto"/>
              <w:bidi w:val="0"/>
              <w:spacing w:before="0" w:after="0" w:line="278" w:lineRule="exact"/>
              <w:ind w:left="0" w:right="0" w:firstLine="0"/>
              <w:jc w:val="left"/>
            </w:pPr>
            <w:r>
              <w:rPr>
                <w:color w:val="000000"/>
                <w:spacing w:val="0"/>
                <w:w w:val="100"/>
                <w:position w:val="0"/>
              </w:rPr>
              <w:t>蒸汽容量 费</w:t>
            </w:r>
          </w:p>
        </w:tc>
        <w:tc>
          <w:tcPr>
            <w:tcBorders>
              <w:top w:val="single" w:sz="4"/>
              <w:left w:val="single" w:sz="4"/>
            </w:tcBorders>
            <w:shd w:val="clear" w:color="auto" w:fill="FFFFFF"/>
            <w:vAlign w:val="center"/>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70,833.19</w:t>
            </w:r>
          </w:p>
        </w:tc>
        <w:tc>
          <w:tcPr>
            <w:tcBorders>
              <w:top w:val="single" w:sz="4"/>
              <w:left w:val="single" w:sz="4"/>
            </w:tcBorders>
            <w:shd w:val="clear" w:color="auto" w:fill="FFFFFF"/>
            <w:vAlign w:val="top"/>
          </w:tcPr>
          <w:p>
            <w:pPr>
              <w:framePr w:w="9317" w:h="2261" w:hSpace="5" w:vSpace="533" w:wrap="notBeside" w:vAnchor="text" w:hAnchor="text" w:x="214" w:y="534"/>
              <w:widowControl w:val="0"/>
              <w:rPr>
                <w:sz w:val="10"/>
                <w:szCs w:val="10"/>
              </w:rPr>
            </w:pPr>
          </w:p>
        </w:tc>
        <w:tc>
          <w:tcPr>
            <w:tcBorders>
              <w:top w:val="single" w:sz="4"/>
              <w:left w:val="single" w:sz="4"/>
            </w:tcBorders>
            <w:shd w:val="clear" w:color="auto" w:fill="FFFFFF"/>
            <w:vAlign w:val="center"/>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50,000.04</w:t>
            </w:r>
          </w:p>
        </w:tc>
        <w:tc>
          <w:tcPr>
            <w:tcBorders>
              <w:top w:val="single" w:sz="4"/>
              <w:left w:val="single" w:sz="4"/>
            </w:tcBorders>
            <w:shd w:val="clear" w:color="auto" w:fill="FFFFFF"/>
            <w:vAlign w:val="center"/>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20,833.15</w:t>
            </w:r>
          </w:p>
        </w:tc>
        <w:tc>
          <w:tcPr>
            <w:tcBorders>
              <w:top w:val="single" w:sz="4"/>
              <w:left w:val="single" w:sz="4"/>
            </w:tcBorders>
            <w:shd w:val="clear" w:color="auto" w:fill="FFFFFF"/>
            <w:vAlign w:val="top"/>
          </w:tcPr>
          <w:p>
            <w:pPr>
              <w:framePr w:w="9317" w:h="2261" w:hSpace="5" w:vSpace="533" w:wrap="notBeside" w:vAnchor="text" w:hAnchor="text" w:x="214" w:y="534"/>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framePr w:w="9317" w:h="2261" w:hSpace="5" w:vSpace="533" w:wrap="notBeside" w:vAnchor="text" w:hAnchor="text" w:x="214" w:y="534"/>
              <w:widowControl w:val="0"/>
              <w:shd w:val="clear" w:color="auto" w:fill="auto"/>
              <w:bidi w:val="0"/>
              <w:spacing w:before="0" w:after="0" w:line="276" w:lineRule="exact"/>
              <w:ind w:left="0" w:right="0" w:firstLine="0"/>
              <w:jc w:val="left"/>
            </w:pPr>
            <w:r>
              <w:rPr>
                <w:color w:val="000000"/>
                <w:spacing w:val="0"/>
                <w:w w:val="100"/>
                <w:position w:val="0"/>
              </w:rPr>
              <w:t>转至一年内 到期的非流 动资产</w:t>
            </w:r>
          </w:p>
        </w:tc>
      </w:tr>
      <w:tr>
        <w:trPr>
          <w:trHeight w:val="562" w:hRule="exact"/>
        </w:trPr>
        <w:tc>
          <w:tcPr>
            <w:tcBorders>
              <w:top w:val="single" w:sz="4"/>
              <w:left w:val="single" w:sz="4"/>
            </w:tcBorders>
            <w:shd w:val="clear" w:color="auto" w:fill="FFFFFF"/>
            <w:vAlign w:val="top"/>
          </w:tcPr>
          <w:p>
            <w:pPr>
              <w:pStyle w:val="Style21"/>
              <w:keepNext w:val="0"/>
              <w:keepLines w:val="0"/>
              <w:framePr w:w="9317" w:h="2261" w:hSpace="5" w:vSpace="533" w:wrap="notBeside" w:vAnchor="text" w:hAnchor="text" w:x="214" w:y="534"/>
              <w:widowControl w:val="0"/>
              <w:shd w:val="clear" w:color="auto" w:fill="auto"/>
              <w:bidi w:val="0"/>
              <w:spacing w:before="0" w:after="0" w:line="288" w:lineRule="exact"/>
              <w:ind w:left="0" w:right="0" w:firstLine="0"/>
              <w:jc w:val="left"/>
            </w:pPr>
            <w:r>
              <w:rPr>
                <w:color w:val="000000"/>
                <w:spacing w:val="0"/>
                <w:w w:val="100"/>
                <w:position w:val="0"/>
              </w:rPr>
              <w:t>土地租赁 费</w:t>
            </w:r>
          </w:p>
        </w:tc>
        <w:tc>
          <w:tcPr>
            <w:tcBorders>
              <w:top w:val="single" w:sz="4"/>
              <w:left w:val="single" w:sz="4"/>
            </w:tcBorders>
            <w:shd w:val="clear" w:color="auto" w:fill="FFFFFF"/>
            <w:vAlign w:val="center"/>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692,825.52</w:t>
            </w:r>
          </w:p>
        </w:tc>
        <w:tc>
          <w:tcPr>
            <w:tcBorders>
              <w:top w:val="single" w:sz="4"/>
              <w:left w:val="single" w:sz="4"/>
            </w:tcBorders>
            <w:shd w:val="clear" w:color="auto" w:fill="FFFFFF"/>
            <w:vAlign w:val="top"/>
          </w:tcPr>
          <w:p>
            <w:pPr>
              <w:framePr w:w="9317" w:h="2261" w:hSpace="5" w:vSpace="533" w:wrap="notBeside" w:vAnchor="text" w:hAnchor="text" w:x="214" w:y="534"/>
              <w:widowControl w:val="0"/>
              <w:rPr>
                <w:sz w:val="10"/>
                <w:szCs w:val="10"/>
              </w:rPr>
            </w:pPr>
          </w:p>
        </w:tc>
        <w:tc>
          <w:tcPr>
            <w:tcBorders>
              <w:top w:val="single" w:sz="4"/>
              <w:left w:val="single" w:sz="4"/>
            </w:tcBorders>
            <w:shd w:val="clear" w:color="auto" w:fill="FFFFFF"/>
            <w:vAlign w:val="center"/>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16,365.96</w:t>
            </w:r>
          </w:p>
        </w:tc>
        <w:tc>
          <w:tcPr>
            <w:tcBorders>
              <w:top w:val="single" w:sz="4"/>
              <w:left w:val="single" w:sz="4"/>
            </w:tcBorders>
            <w:shd w:val="clear" w:color="auto" w:fill="FFFFFF"/>
            <w:vAlign w:val="top"/>
          </w:tcPr>
          <w:p>
            <w:pPr>
              <w:framePr w:w="9317" w:h="2261" w:hSpace="5" w:vSpace="533" w:wrap="notBeside" w:vAnchor="text" w:hAnchor="text" w:x="214" w:y="534"/>
              <w:widowControl w:val="0"/>
              <w:rPr>
                <w:sz w:val="10"/>
                <w:szCs w:val="10"/>
              </w:rPr>
            </w:pPr>
          </w:p>
        </w:tc>
        <w:tc>
          <w:tcPr>
            <w:tcBorders>
              <w:top w:val="single" w:sz="4"/>
              <w:left w:val="single" w:sz="4"/>
            </w:tcBorders>
            <w:shd w:val="clear" w:color="auto" w:fill="FFFFFF"/>
            <w:vAlign w:val="center"/>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676,459.56</w:t>
            </w:r>
          </w:p>
        </w:tc>
        <w:tc>
          <w:tcPr>
            <w:tcBorders>
              <w:top w:val="single" w:sz="4"/>
              <w:left w:val="single" w:sz="4"/>
              <w:right w:val="single" w:sz="4"/>
            </w:tcBorders>
            <w:shd w:val="clear" w:color="auto" w:fill="FFFFFF"/>
            <w:vAlign w:val="top"/>
          </w:tcPr>
          <w:p>
            <w:pPr>
              <w:framePr w:w="9317" w:h="2261" w:hSpace="5" w:vSpace="533" w:wrap="notBeside" w:vAnchor="text" w:hAnchor="text" w:x="214" w:y="534"/>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763,658.71</w:t>
            </w:r>
          </w:p>
        </w:tc>
        <w:tc>
          <w:tcPr>
            <w:tcBorders>
              <w:top w:val="single" w:sz="4"/>
              <w:left w:val="single" w:sz="4"/>
              <w:bottom w:val="single" w:sz="4"/>
            </w:tcBorders>
            <w:shd w:val="clear" w:color="auto" w:fill="FFFFFF"/>
            <w:vAlign w:val="top"/>
          </w:tcPr>
          <w:p>
            <w:pPr>
              <w:framePr w:w="9317" w:h="2261" w:hSpace="5" w:vSpace="533" w:wrap="notBeside" w:vAnchor="text" w:hAnchor="text" w:x="214" w:y="534"/>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66,366.00</w:t>
            </w:r>
          </w:p>
        </w:tc>
        <w:tc>
          <w:tcPr>
            <w:tcBorders>
              <w:top w:val="single" w:sz="4"/>
              <w:left w:val="single" w:sz="4"/>
              <w:bottom w:val="single" w:sz="4"/>
            </w:tcBorders>
            <w:shd w:val="clear" w:color="auto" w:fill="FFFFFF"/>
            <w:vAlign w:val="bottom"/>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20,833.15</w:t>
            </w:r>
          </w:p>
        </w:tc>
        <w:tc>
          <w:tcPr>
            <w:tcBorders>
              <w:top w:val="single" w:sz="4"/>
              <w:left w:val="single" w:sz="4"/>
              <w:bottom w:val="single" w:sz="4"/>
            </w:tcBorders>
            <w:shd w:val="clear" w:color="auto" w:fill="FFFFFF"/>
            <w:vAlign w:val="bottom"/>
          </w:tcPr>
          <w:p>
            <w:pPr>
              <w:pStyle w:val="Style21"/>
              <w:keepNext w:val="0"/>
              <w:keepLines w:val="0"/>
              <w:framePr w:w="9317" w:h="2261" w:hSpace="5" w:vSpace="533" w:wrap="notBeside" w:vAnchor="text" w:hAnchor="text" w:x="214" w:y="534"/>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676,459.56</w:t>
            </w:r>
          </w:p>
        </w:tc>
        <w:tc>
          <w:tcPr>
            <w:tcBorders>
              <w:top w:val="single" w:sz="4"/>
              <w:left w:val="single" w:sz="4"/>
              <w:bottom w:val="single" w:sz="4"/>
              <w:right w:val="single" w:sz="4"/>
            </w:tcBorders>
            <w:shd w:val="clear" w:color="auto" w:fill="FFFFFF"/>
            <w:vAlign w:val="top"/>
          </w:tcPr>
          <w:p>
            <w:pPr>
              <w:framePr w:w="9317" w:h="2261" w:hSpace="5" w:vSpace="533" w:wrap="notBeside" w:vAnchor="text" w:hAnchor="text" w:x="214" w:y="534"/>
              <w:widowControl w:val="0"/>
              <w:rPr>
                <w:sz w:val="10"/>
                <w:szCs w:val="10"/>
              </w:rPr>
            </w:pPr>
          </w:p>
        </w:tc>
      </w:tr>
    </w:tbl>
    <w:p>
      <w:pPr>
        <w:pStyle w:val="Style19"/>
        <w:keepNext w:val="0"/>
        <w:keepLines w:val="0"/>
        <w:framePr w:w="2131" w:h="274" w:hSpace="208" w:wrap="notBeside" w:vAnchor="text" w:hAnchor="text" w:x="20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长期待摊费用</w:t>
      </w:r>
      <w:r>
        <w:rPr>
          <w:rFonts w:ascii="Times New Roman" w:eastAsia="Times New Roman" w:hAnsi="Times New Roman" w:cs="Times New Roman"/>
          <w:color w:val="000000"/>
          <w:spacing w:val="0"/>
          <w:w w:val="100"/>
          <w:position w:val="0"/>
        </w:rPr>
        <w:t>:</w:t>
      </w:r>
    </w:p>
    <w:p>
      <w:pPr>
        <w:pStyle w:val="Style19"/>
        <w:keepNext w:val="0"/>
        <w:keepLines w:val="0"/>
        <w:framePr w:w="2237" w:h="254" w:hSpace="208" w:wrap="notBeside" w:vAnchor="text" w:hAnchor="text" w:x="6660" w:y="275"/>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3"/>
        <w:keepNext w:val="0"/>
        <w:keepLines w:val="0"/>
        <w:widowControl w:val="0"/>
        <w:shd w:val="clear" w:color="auto" w:fill="auto"/>
        <w:tabs>
          <w:tab w:pos="48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递延所得税资产和递延所得税负债不以抵销后的净额列示</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已确认的递延所得税资产和递延所得税负债</w:t>
      </w:r>
    </w:p>
    <w:p>
      <w:pPr>
        <w:pStyle w:val="Style19"/>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2827"/>
        <w:gridCol w:w="3288"/>
        <w:gridCol w:w="3202"/>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1,340,656.47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1,327,554.32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1,447,558.58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1,604,864.94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2,788,215.05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2,932,419.26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计入资本公积的可供出售金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75,469,277.09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2,331,554.68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衍生金融资产公允价值变动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4,914.00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拆迁补偿收益</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58,818,462.82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31,303,844.46</w:t>
            </w:r>
          </w:p>
        </w:tc>
      </w:tr>
    </w:tbl>
    <w:p>
      <w:pPr>
        <w:widowControl w:val="0"/>
        <w:spacing w:line="1" w:lineRule="exact"/>
      </w:pPr>
      <w:r>
        <w:br w:type="page"/>
      </w:r>
    </w:p>
    <w:tbl>
      <w:tblPr>
        <w:tblOverlap w:val="never"/>
        <w:jc w:val="center"/>
        <w:tblLayout w:type="fixed"/>
      </w:tblPr>
      <w:tblGrid>
        <w:gridCol w:w="2827"/>
        <w:gridCol w:w="3288"/>
        <w:gridCol w:w="3202"/>
      </w:tblGrid>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134,292,653.91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33,635,399.14</w:t>
            </w:r>
          </w:p>
        </w:tc>
      </w:tr>
    </w:tbl>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应纳税差异和可抵扣差异项目明细</w:t>
      </w: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17"/>
        <w:gridCol w:w="480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计入资本公积的可供出售金融资产公允价值变 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301,877,108.36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衍生金融资产公允价值变动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32,760.00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拆迁补偿收益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249,801,867.53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551,711,735.89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580" w:right="0" w:firstLine="0"/>
              <w:jc w:val="left"/>
            </w:pPr>
            <w:r>
              <w:rPr>
                <w:rFonts w:ascii="Times New Roman" w:eastAsia="Times New Roman" w:hAnsi="Times New Roman" w:cs="Times New Roman"/>
                <w:color w:val="000000"/>
                <w:spacing w:val="0"/>
                <w:w w:val="100"/>
                <w:position w:val="0"/>
              </w:rPr>
              <w:t>7,396,419.35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580" w:right="0" w:firstLine="0"/>
              <w:jc w:val="left"/>
            </w:pPr>
            <w:r>
              <w:rPr>
                <w:rFonts w:ascii="Times New Roman" w:eastAsia="Times New Roman" w:hAnsi="Times New Roman" w:cs="Times New Roman"/>
                <w:color w:val="000000"/>
                <w:spacing w:val="0"/>
                <w:w w:val="100"/>
                <w:position w:val="0"/>
              </w:rPr>
              <w:t>9,650,390.47</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17,046,809.82</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资产减值准备明细</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1757"/>
        <w:gridCol w:w="1747"/>
        <w:gridCol w:w="1747"/>
        <w:gridCol w:w="1090"/>
        <w:gridCol w:w="1320"/>
        <w:gridCol w:w="1656"/>
      </w:tblGrid>
      <w:tr>
        <w:trPr>
          <w:trHeight w:val="274" w:hRule="exact"/>
        </w:trPr>
        <w:tc>
          <w:tcPr>
            <w:gridSpan w:val="6"/>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c>
      </w:tr>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8,618,886.63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-2,132,568.78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3,099,294.00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3,387,023.85</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二、存货跌价准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3,300,555.01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4,392,110.34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2,269,629.34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5,423,036.01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三、可供出售金 融资产减值准备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四、持有至到期 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五、长期股权投 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六、投资性房地 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七、固定资产减 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4,191,222.79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4,191,222.79</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八、工程物资减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九、在建工程减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十、生产性生物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其中：成熟生产 性生物资产减值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十^一、油气资产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十二、无形资产 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57"/>
        <w:gridCol w:w="1747"/>
        <w:gridCol w:w="1747"/>
        <w:gridCol w:w="1090"/>
        <w:gridCol w:w="1315"/>
        <w:gridCol w:w="1661"/>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十三、商誉减值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16,110,664.43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2,259,541.56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5,368,923.34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13,001,282.65</w:t>
            </w:r>
          </w:p>
        </w:tc>
      </w:tr>
    </w:tbl>
    <w:p>
      <w:pPr>
        <w:widowControl w:val="0"/>
        <w:spacing w:after="259" w:line="1" w:lineRule="exact"/>
      </w:pPr>
    </w:p>
    <w:p>
      <w:pPr>
        <w:widowControl w:val="0"/>
        <w:spacing w:line="1" w:lineRule="exact"/>
      </w:pPr>
    </w:p>
    <w:p>
      <w:pPr>
        <w:pStyle w:val="Style19"/>
        <w:keepNext w:val="0"/>
        <w:keepLines w:val="0"/>
        <w:widowControl w:val="0"/>
        <w:shd w:val="clear" w:color="auto" w:fill="auto"/>
        <w:bidi w:val="0"/>
        <w:spacing w:before="0" w:after="0" w:line="25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其他非流动资产： 单位：元币种：人民币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19,055,210.58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16,901,731.00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19,055,210.58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16,901,731.00</w:t>
            </w:r>
          </w:p>
        </w:tc>
      </w:tr>
    </w:tbl>
    <w:p>
      <w:pPr>
        <w:widowControl w:val="0"/>
        <w:spacing w:after="25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一年内到期的非流动资产</w:t>
      </w:r>
    </w:p>
    <w:p>
      <w:pPr>
        <w:pStyle w:val="Style19"/>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left"/>
        <w:tblLayout w:type="fixed"/>
      </w:tblPr>
      <w:tblGrid>
        <w:gridCol w:w="1627"/>
        <w:gridCol w:w="1243"/>
        <w:gridCol w:w="1051"/>
        <w:gridCol w:w="1152"/>
        <w:gridCol w:w="1142"/>
        <w:gridCol w:w="1138"/>
        <w:gridCol w:w="1310"/>
      </w:tblGrid>
      <w:tr>
        <w:trPr>
          <w:trHeight w:val="31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20,833.15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20,833.15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29" w:right="0" w:firstLine="0"/>
        <w:jc w:val="left"/>
      </w:pPr>
      <w:r>
        <w:rPr>
          <w:rFonts w:ascii="Arial Unicode MS" w:eastAsia="Arial Unicode MS" w:hAnsi="Arial Unicode MS" w:cs="Arial Unicode MS"/>
          <w:color w:val="000000"/>
          <w:spacing w:val="0"/>
          <w:w w:val="100"/>
          <w:position w:val="0"/>
          <w:sz w:val="17"/>
          <w:szCs w:val="17"/>
        </w:rPr>
        <w:t xml:space="preserve">（2） </w:t>
      </w:r>
      <w:r>
        <w:rPr>
          <w:color w:val="000000"/>
          <w:spacing w:val="0"/>
          <w:w w:val="100"/>
          <w:position w:val="0"/>
        </w:rPr>
        <w:t>一年内到期的非流动资产一长期待摊费用</w:t>
      </w:r>
    </w:p>
    <w:tbl>
      <w:tblPr>
        <w:tblOverlap w:val="never"/>
        <w:jc w:val="left"/>
        <w:tblLayout w:type="fixed"/>
      </w:tblPr>
      <w:tblGrid>
        <w:gridCol w:w="3350"/>
        <w:gridCol w:w="2477"/>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待摊蒸汽容量费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20,833.15</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20,833.15</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短期借款:</w:t>
      </w:r>
    </w:p>
    <w:p>
      <w:pPr>
        <w:pStyle w:val="Style1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短期借款分类:</w:t>
      </w:r>
    </w:p>
    <w:p>
      <w:pPr>
        <w:widowControl w:val="0"/>
        <w:spacing w:after="5582" w:line="1" w:lineRule="exact"/>
      </w:pPr>
      <w:r>
        <mc:AlternateContent>
          <mc:Choice Requires="wps">
            <w:drawing>
              <wp:anchor distT="167640" distB="176530" distL="0" distR="0" simplePos="0" relativeHeight="62914702" behindDoc="1" locked="0" layoutInCell="1" allowOverlap="1">
                <wp:simplePos x="0" y="0"/>
                <wp:positionH relativeFrom="page">
                  <wp:posOffset>1172210</wp:posOffset>
                </wp:positionH>
                <wp:positionV relativeFrom="paragraph">
                  <wp:posOffset>167640</wp:posOffset>
                </wp:positionV>
                <wp:extent cx="5916295" cy="1106170"/>
                <wp:wrapNone/>
                <wp:docPr id="82" name="Shape 82"/>
                <a:graphic xmlns:a="http://schemas.openxmlformats.org/drawingml/2006/main">
                  <a:graphicData uri="http://schemas.microsoft.com/office/word/2010/wordprocessingShape">
                    <wps:wsp>
                      <wps:cNvSpPr txBox="1"/>
                      <wps:spPr>
                        <a:xfrm>
                          <a:ext cx="5916295" cy="1106170"/>
                        </a:xfrm>
                        <a:prstGeom prst="rect"/>
                        <a:noFill/>
                      </wps:spPr>
                      <wps:txbx>
                        <w:txbxContent>
                          <w:tbl>
                            <w:tblPr>
                              <w:tblOverlap w:val="never"/>
                              <w:jc w:val="left"/>
                              <w:tblLayout w:type="fixed"/>
                            </w:tblPr>
                            <w:tblGrid>
                              <w:gridCol w:w="3110"/>
                              <w:gridCol w:w="3101"/>
                              <w:gridCol w:w="3106"/>
                            </w:tblGrid>
                            <w:tr>
                              <w:trPr>
                                <w:tblHeade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69,000,000.00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78,000,000.00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已贴现票据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14,200,000.00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14,200,000.00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抵押兼保证借款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45,000,000.00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59,000,000.00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138,200,000.00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361,200,000.00</w:t>
                                  </w:r>
                                </w:p>
                              </w:tc>
                            </w:tr>
                          </w:tbl>
                          <w:p>
                            <w:pPr>
                              <w:widowControl w:val="0"/>
                              <w:spacing w:line="1" w:lineRule="exact"/>
                            </w:pPr>
                          </w:p>
                        </w:txbxContent>
                      </wps:txbx>
                      <wps:bodyPr lIns="0" tIns="0" rIns="0" bIns="0">
                        <a:noAutoFit/>
                      </wps:bodyPr>
                    </wps:wsp>
                  </a:graphicData>
                </a:graphic>
              </wp:anchor>
            </w:drawing>
          </mc:Choice>
          <mc:Fallback>
            <w:pict>
              <v:shape id="_x0000_s1108" type="#_x0000_t202" style="position:absolute;margin-left:92.299999999999997pt;margin-top:13.200000000000001pt;width:465.85000000000002pt;height:87.100000000000009pt;z-index:-188744051;mso-wrap-distance-left:0;mso-wrap-distance-top:13.200000000000001pt;mso-wrap-distance-right:0;mso-wrap-distance-bottom:13.9pt;mso-position-horizontal-relative:page" wrapcoords="0 0" filled="f" stroked="f">
                <v:textbox inset="0,0,0,0">
                  <w:txbxContent>
                    <w:tbl>
                      <w:tblPr>
                        <w:tblOverlap w:val="never"/>
                        <w:jc w:val="left"/>
                        <w:tblLayout w:type="fixed"/>
                      </w:tblPr>
                      <w:tblGrid>
                        <w:gridCol w:w="3110"/>
                        <w:gridCol w:w="3101"/>
                        <w:gridCol w:w="3106"/>
                      </w:tblGrid>
                      <w:tr>
                        <w:trPr>
                          <w:tblHeade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69,000,000.00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78,000,000.00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已贴现票据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14,200,000.00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14,200,000.00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抵押兼保证借款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45,000,000.00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59,000,000.00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138,200,000.00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361,200,000.00</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5265420</wp:posOffset>
                </wp:positionH>
                <wp:positionV relativeFrom="paragraph">
                  <wp:posOffset>0</wp:posOffset>
                </wp:positionV>
                <wp:extent cx="1420495" cy="161290"/>
                <wp:wrapNone/>
                <wp:docPr id="84" name="Shape 84"/>
                <a:graphic xmlns:a="http://schemas.openxmlformats.org/drawingml/2006/main">
                  <a:graphicData uri="http://schemas.microsoft.com/office/word/2010/wordprocessingShape">
                    <wps:wsp>
                      <wps:cNvSpPr txBox="1"/>
                      <wps:spPr>
                        <a:xfrm>
                          <a:ext cx="1420495" cy="1612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 币种：人民币</w:t>
                            </w:r>
                          </w:p>
                        </w:txbxContent>
                      </wps:txbx>
                      <wps:bodyPr lIns="0" tIns="0" rIns="0" bIns="0">
                        <a:noAutoFit/>
                      </wps:bodyPr>
                    </wps:wsp>
                  </a:graphicData>
                </a:graphic>
              </wp:anchor>
            </w:drawing>
          </mc:Choice>
          <mc:Fallback>
            <w:pict>
              <v:shape id="_x0000_s1110" type="#_x0000_t202" style="position:absolute;margin-left:414.60000000000002pt;margin-top:0;width:111.85000000000001pt;height:12.700000000000001pt;z-index:251657745;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 币种：人民币</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1178560</wp:posOffset>
                </wp:positionH>
                <wp:positionV relativeFrom="paragraph">
                  <wp:posOffset>1276985</wp:posOffset>
                </wp:positionV>
                <wp:extent cx="728345" cy="173990"/>
                <wp:wrapNone/>
                <wp:docPr id="86" name="Shape 86"/>
                <a:graphic xmlns:a="http://schemas.openxmlformats.org/drawingml/2006/main">
                  <a:graphicData uri="http://schemas.microsoft.com/office/word/2010/wordprocessingShape">
                    <wps:wsp>
                      <wps:cNvSpPr txBox="1"/>
                      <wps:spPr>
                        <a:xfrm>
                          <a:ext cx="728345" cy="1739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抵押借款</w:t>
                            </w:r>
                          </w:p>
                        </w:txbxContent>
                      </wps:txbx>
                      <wps:bodyPr lIns="0" tIns="0" rIns="0" bIns="0">
                        <a:noAutoFit/>
                      </wps:bodyPr>
                    </wps:wsp>
                  </a:graphicData>
                </a:graphic>
              </wp:anchor>
            </w:drawing>
          </mc:Choice>
          <mc:Fallback>
            <w:pict>
              <v:shape id="_x0000_s1112" type="#_x0000_t202" style="position:absolute;margin-left:92.799999999999997pt;margin-top:100.55pt;width:57.350000000000001pt;height:13.700000000000001pt;z-index:251657747;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抵押借款</w:t>
                      </w:r>
                    </w:p>
                  </w:txbxContent>
                </v:textbox>
                <w10:wrap anchorx="page"/>
              </v:shape>
            </w:pict>
          </mc:Fallback>
        </mc:AlternateContent>
      </w:r>
      <w:r>
        <mc:AlternateContent>
          <mc:Choice Requires="wps">
            <w:drawing>
              <wp:anchor distT="0" distB="0" distL="0" distR="0" simplePos="0" relativeHeight="62914704" behindDoc="1" locked="0" layoutInCell="1" allowOverlap="1">
                <wp:simplePos x="0" y="0"/>
                <wp:positionH relativeFrom="page">
                  <wp:posOffset>1169035</wp:posOffset>
                </wp:positionH>
                <wp:positionV relativeFrom="paragraph">
                  <wp:posOffset>1450975</wp:posOffset>
                </wp:positionV>
                <wp:extent cx="643255" cy="341630"/>
                <wp:wrapNone/>
                <wp:docPr id="88" name="Shape 88"/>
                <a:graphic xmlns:a="http://schemas.openxmlformats.org/drawingml/2006/main">
                  <a:graphicData uri="http://schemas.microsoft.com/office/word/2010/wordprocessingShape">
                    <wps:wsp>
                      <wps:cNvSpPr txBox="1"/>
                      <wps:spPr>
                        <a:xfrm>
                          <a:ext cx="643255" cy="341630"/>
                        </a:xfrm>
                        <a:prstGeom prst="rect"/>
                        <a:noFill/>
                      </wps:spPr>
                      <wps:txbx>
                        <w:txbxContent>
                          <w:p>
                            <w:pPr>
                              <w:pStyle w:val="Style13"/>
                              <w:keepNext w:val="0"/>
                              <w:keepLines w:val="0"/>
                              <w:widowControl w:val="0"/>
                              <w:shd w:val="clear" w:color="auto" w:fill="auto"/>
                              <w:bidi w:val="0"/>
                              <w:spacing w:before="0" w:after="0" w:line="259" w:lineRule="exact"/>
                              <w:ind w:left="0" w:right="0" w:firstLine="0"/>
                              <w:jc w:val="left"/>
                            </w:pPr>
                            <w:r>
                              <w:rPr>
                                <w:color w:val="000000"/>
                                <w:spacing w:val="0"/>
                                <w:w w:val="100"/>
                                <w:position w:val="0"/>
                              </w:rPr>
                              <w:t>借款人/抵. 押人</w:t>
                            </w:r>
                          </w:p>
                        </w:txbxContent>
                      </wps:txbx>
                      <wps:bodyPr lIns="0" tIns="0" rIns="0" bIns="0">
                        <a:noAutoFit/>
                      </wps:bodyPr>
                    </wps:wsp>
                  </a:graphicData>
                </a:graphic>
              </wp:anchor>
            </w:drawing>
          </mc:Choice>
          <mc:Fallback>
            <w:pict>
              <v:shape id="_x0000_s1114" type="#_x0000_t202" style="position:absolute;margin-left:92.049999999999997pt;margin-top:114.25pt;width:50.649999999999999pt;height:26.900000000000002pt;z-index:-188744049;mso-wrap-distance-left:0;mso-wrap-distance-right:0;mso-position-horizontal-relative:page" wrapcoords="0 0" filled="f" stroked="f">
                <v:textbox inset="0,0,0,0">
                  <w:txbxContent>
                    <w:p>
                      <w:pPr>
                        <w:pStyle w:val="Style13"/>
                        <w:keepNext w:val="0"/>
                        <w:keepLines w:val="0"/>
                        <w:widowControl w:val="0"/>
                        <w:shd w:val="clear" w:color="auto" w:fill="auto"/>
                        <w:bidi w:val="0"/>
                        <w:spacing w:before="0" w:after="0" w:line="259" w:lineRule="exact"/>
                        <w:ind w:left="0" w:right="0" w:firstLine="0"/>
                        <w:jc w:val="left"/>
                      </w:pPr>
                      <w:r>
                        <w:rPr>
                          <w:color w:val="000000"/>
                          <w:spacing w:val="0"/>
                          <w:w w:val="100"/>
                          <w:position w:val="0"/>
                        </w:rPr>
                        <w:t>借款人/抵. 押人</w:t>
                      </w:r>
                    </w:p>
                  </w:txbxContent>
                </v:textbox>
                <w10:wrap anchorx="page"/>
              </v:shape>
            </w:pict>
          </mc:Fallback>
        </mc:AlternateContent>
      </w:r>
      <w:r>
        <mc:AlternateContent>
          <mc:Choice Requires="wps">
            <w:drawing>
              <wp:anchor distT="0" distB="0" distL="0" distR="0" simplePos="0" relativeHeight="62914706" behindDoc="1" locked="0" layoutInCell="1" allowOverlap="1">
                <wp:simplePos x="0" y="0"/>
                <wp:positionH relativeFrom="page">
                  <wp:posOffset>1772285</wp:posOffset>
                </wp:positionH>
                <wp:positionV relativeFrom="paragraph">
                  <wp:posOffset>1536065</wp:posOffset>
                </wp:positionV>
                <wp:extent cx="1039495" cy="167640"/>
                <wp:wrapNone/>
                <wp:docPr id="90" name="Shape 90"/>
                <a:graphic xmlns:a="http://schemas.openxmlformats.org/drawingml/2006/main">
                  <a:graphicData uri="http://schemas.microsoft.com/office/word/2010/wordprocessingShape">
                    <wps:wsp>
                      <wps:cNvSpPr txBox="1"/>
                      <wps:spPr>
                        <a:xfrm>
                          <a:ext cx="1039495" cy="1676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'抵押权人抵押物</w:t>
                            </w:r>
                          </w:p>
                        </w:txbxContent>
                      </wps:txbx>
                      <wps:bodyPr wrap="none" lIns="0" tIns="0" rIns="0" bIns="0">
                        <a:noAutoFit/>
                      </wps:bodyPr>
                    </wps:wsp>
                  </a:graphicData>
                </a:graphic>
              </wp:anchor>
            </w:drawing>
          </mc:Choice>
          <mc:Fallback>
            <w:pict>
              <v:shape id="_x0000_s1116" type="#_x0000_t202" style="position:absolute;margin-left:139.55000000000001pt;margin-top:120.95pt;width:81.850000000000009pt;height:13.200000000000001pt;z-index:-188744047;mso-wrap-distance-left:0;mso-wrap-distance-right:0;mso-position-horizontal-relative:page" wrapcoords="0 0"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'抵押权人抵押物</w:t>
                      </w:r>
                    </w:p>
                  </w:txbxContent>
                </v:textbox>
                <w10:wrap anchorx="page"/>
              </v:shape>
            </w:pict>
          </mc:Fallback>
        </mc:AlternateContent>
      </w:r>
      <w:r>
        <mc:AlternateContent>
          <mc:Choice Requires="wps">
            <w:drawing>
              <wp:anchor distT="0" distB="0" distL="0" distR="0" simplePos="0" relativeHeight="62914708" behindDoc="1" locked="0" layoutInCell="1" allowOverlap="1">
                <wp:simplePos x="0" y="0"/>
                <wp:positionH relativeFrom="page">
                  <wp:posOffset>3046730</wp:posOffset>
                </wp:positionH>
                <wp:positionV relativeFrom="paragraph">
                  <wp:posOffset>1450975</wp:posOffset>
                </wp:positionV>
                <wp:extent cx="560705" cy="341630"/>
                <wp:wrapNone/>
                <wp:docPr id="92" name="Shape 92"/>
                <a:graphic xmlns:a="http://schemas.openxmlformats.org/drawingml/2006/main">
                  <a:graphicData uri="http://schemas.microsoft.com/office/word/2010/wordprocessingShape">
                    <wps:wsp>
                      <wps:cNvSpPr txBox="1"/>
                      <wps:spPr>
                        <a:xfrm>
                          <a:ext cx="560705" cy="341630"/>
                        </a:xfrm>
                        <a:prstGeom prst="rect"/>
                        <a:noFill/>
                      </wps:spPr>
                      <wps:txbx>
                        <w:txbxContent>
                          <w:p>
                            <w:pPr>
                              <w:pStyle w:val="Style13"/>
                              <w:keepNext w:val="0"/>
                              <w:keepLines w:val="0"/>
                              <w:widowControl w:val="0"/>
                              <w:shd w:val="clear" w:color="auto" w:fill="auto"/>
                              <w:bidi w:val="0"/>
                              <w:spacing w:before="0" w:after="0" w:line="293" w:lineRule="exact"/>
                              <w:ind w:left="0" w:right="0" w:firstLine="0"/>
                              <w:jc w:val="left"/>
                            </w:pPr>
                            <w:r>
                              <w:rPr>
                                <w:color w:val="000000"/>
                                <w:spacing w:val="0"/>
                                <w:w w:val="100"/>
                                <w:position w:val="0"/>
                              </w:rPr>
                              <w:t>抵押物 账面原价</w:t>
                            </w:r>
                          </w:p>
                        </w:txbxContent>
                      </wps:txbx>
                      <wps:bodyPr lIns="0" tIns="0" rIns="0" bIns="0">
                        <a:noAutoFit/>
                      </wps:bodyPr>
                    </wps:wsp>
                  </a:graphicData>
                </a:graphic>
              </wp:anchor>
            </w:drawing>
          </mc:Choice>
          <mc:Fallback>
            <w:pict>
              <v:shape id="_x0000_s1118" type="#_x0000_t202" style="position:absolute;margin-left:239.90000000000001pt;margin-top:114.25pt;width:44.149999999999999pt;height:26.900000000000002pt;z-index:-188744045;mso-wrap-distance-left:0;mso-wrap-distance-right:0;mso-position-horizontal-relative:page" wrapcoords="0 0" filled="f" stroked="f">
                <v:textbox inset="0,0,0,0">
                  <w:txbxContent>
                    <w:p>
                      <w:pPr>
                        <w:pStyle w:val="Style13"/>
                        <w:keepNext w:val="0"/>
                        <w:keepLines w:val="0"/>
                        <w:widowControl w:val="0"/>
                        <w:shd w:val="clear" w:color="auto" w:fill="auto"/>
                        <w:bidi w:val="0"/>
                        <w:spacing w:before="0" w:after="0" w:line="293" w:lineRule="exact"/>
                        <w:ind w:left="0" w:right="0" w:firstLine="0"/>
                        <w:jc w:val="left"/>
                      </w:pPr>
                      <w:r>
                        <w:rPr>
                          <w:color w:val="000000"/>
                          <w:spacing w:val="0"/>
                          <w:w w:val="100"/>
                          <w:position w:val="0"/>
                        </w:rPr>
                        <w:t>抵押物 账面原价</w:t>
                      </w:r>
                    </w:p>
                  </w:txbxContent>
                </v:textbox>
                <w10:wrap anchorx="page"/>
              </v:shape>
            </w:pict>
          </mc:Fallback>
        </mc:AlternateContent>
      </w:r>
      <w:r>
        <mc:AlternateContent>
          <mc:Choice Requires="wps">
            <w:drawing>
              <wp:anchor distT="0" distB="0" distL="0" distR="0" simplePos="0" relativeHeight="62914710" behindDoc="1" locked="0" layoutInCell="1" allowOverlap="1">
                <wp:simplePos x="0" y="0"/>
                <wp:positionH relativeFrom="page">
                  <wp:posOffset>1772285</wp:posOffset>
                </wp:positionH>
                <wp:positionV relativeFrom="paragraph">
                  <wp:posOffset>1795145</wp:posOffset>
                </wp:positionV>
                <wp:extent cx="1298575" cy="341630"/>
                <wp:wrapNone/>
                <wp:docPr id="94" name="Shape 94"/>
                <a:graphic xmlns:a="http://schemas.openxmlformats.org/drawingml/2006/main">
                  <a:graphicData uri="http://schemas.microsoft.com/office/word/2010/wordprocessingShape">
                    <wps:wsp>
                      <wps:cNvSpPr txBox="1"/>
                      <wps:spPr>
                        <a:xfrm>
                          <a:ext cx="1298575" cy="341630"/>
                        </a:xfrm>
                        <a:prstGeom prst="rect"/>
                        <a:noFill/>
                      </wps:spPr>
                      <wps:txbx>
                        <w:txbxContent>
                          <w:p>
                            <w:pPr>
                              <w:pStyle w:val="Style13"/>
                              <w:keepNext w:val="0"/>
                              <w:keepLines w:val="0"/>
                              <w:widowControl w:val="0"/>
                              <w:shd w:val="clear" w:color="auto" w:fill="auto"/>
                              <w:bidi w:val="0"/>
                              <w:spacing w:before="0" w:after="40" w:line="240" w:lineRule="auto"/>
                              <w:ind w:left="0" w:right="0" w:firstLine="980"/>
                              <w:jc w:val="left"/>
                            </w:pPr>
                            <w:r>
                              <w:rPr>
                                <w:color w:val="000000"/>
                                <w:spacing w:val="0"/>
                                <w:w w:val="100"/>
                                <w:position w:val="0"/>
                              </w:rPr>
                              <w:t>土地使用</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交通银行权</w:t>
                            </w:r>
                          </w:p>
                        </w:txbxContent>
                      </wps:txbx>
                      <wps:bodyPr lIns="0" tIns="0" rIns="0" bIns="0">
                        <a:noAutoFit/>
                      </wps:bodyPr>
                    </wps:wsp>
                  </a:graphicData>
                </a:graphic>
              </wp:anchor>
            </w:drawing>
          </mc:Choice>
          <mc:Fallback>
            <w:pict>
              <v:shape id="_x0000_s1120" type="#_x0000_t202" style="position:absolute;margin-left:139.55000000000001pt;margin-top:141.34999999999999pt;width:102.25pt;height:26.900000000000002pt;z-index:-188744043;mso-wrap-distance-left:0;mso-wrap-distance-right:0;mso-position-horizontal-relative:page" wrapcoords="0 0" filled="f" stroked="f">
                <v:textbox inset="0,0,0,0">
                  <w:txbxContent>
                    <w:p>
                      <w:pPr>
                        <w:pStyle w:val="Style13"/>
                        <w:keepNext w:val="0"/>
                        <w:keepLines w:val="0"/>
                        <w:widowControl w:val="0"/>
                        <w:shd w:val="clear" w:color="auto" w:fill="auto"/>
                        <w:bidi w:val="0"/>
                        <w:spacing w:before="0" w:after="40" w:line="240" w:lineRule="auto"/>
                        <w:ind w:left="0" w:right="0" w:firstLine="980"/>
                        <w:jc w:val="left"/>
                      </w:pPr>
                      <w:r>
                        <w:rPr>
                          <w:color w:val="000000"/>
                          <w:spacing w:val="0"/>
                          <w:w w:val="100"/>
                          <w:position w:val="0"/>
                        </w:rPr>
                        <w:t>土地使用</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交通银行权</w:t>
                      </w:r>
                    </w:p>
                  </w:txbxContent>
                </v:textbox>
                <w10:wrap anchorx="page"/>
              </v:shape>
            </w:pict>
          </mc:Fallback>
        </mc:AlternateContent>
      </w:r>
      <w:r>
        <mc:AlternateContent>
          <mc:Choice Requires="wps">
            <w:drawing>
              <wp:anchor distT="0" distB="0" distL="0" distR="0" simplePos="0" relativeHeight="62914712" behindDoc="1" locked="0" layoutInCell="1" allowOverlap="1">
                <wp:simplePos x="0" y="0"/>
                <wp:positionH relativeFrom="page">
                  <wp:posOffset>3046730</wp:posOffset>
                </wp:positionH>
                <wp:positionV relativeFrom="paragraph">
                  <wp:posOffset>1883410</wp:posOffset>
                </wp:positionV>
                <wp:extent cx="941705" cy="173990"/>
                <wp:wrapNone/>
                <wp:docPr id="96" name="Shape 96"/>
                <a:graphic xmlns:a="http://schemas.openxmlformats.org/drawingml/2006/main">
                  <a:graphicData uri="http://schemas.microsoft.com/office/word/2010/wordprocessingShape">
                    <wps:wsp>
                      <wps:cNvSpPr txBox="1"/>
                      <wps:spPr>
                        <a:xfrm>
                          <a:ext cx="941705" cy="1739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7,595,911.44［</w:t>
                            </w:r>
                            <w:r>
                              <w:rPr>
                                <w:rFonts w:ascii="SimSun" w:eastAsia="SimSun" w:hAnsi="SimSun" w:cs="SimSun"/>
                                <w:color w:val="000000"/>
                                <w:spacing w:val="0"/>
                                <w:w w:val="100"/>
                                <w:position w:val="0"/>
                              </w:rPr>
                              <w:t>注</w:t>
                            </w:r>
                            <w:r>
                              <w:rPr>
                                <w:color w:val="000000"/>
                                <w:spacing w:val="0"/>
                                <w:w w:val="100"/>
                                <w:position w:val="0"/>
                              </w:rPr>
                              <w:t>］</w:t>
                            </w:r>
                          </w:p>
                        </w:txbxContent>
                      </wps:txbx>
                      <wps:bodyPr wrap="none" lIns="0" tIns="0" rIns="0" bIns="0">
                        <a:noAutoFit/>
                      </wps:bodyPr>
                    </wps:wsp>
                  </a:graphicData>
                </a:graphic>
              </wp:anchor>
            </w:drawing>
          </mc:Choice>
          <mc:Fallback>
            <w:pict>
              <v:shape id="_x0000_s1122" type="#_x0000_t202" style="position:absolute;margin-left:239.90000000000001pt;margin-top:148.30000000000001pt;width:74.150000000000006pt;height:13.700000000000001pt;z-index:-188744041;mso-wrap-distance-left:0;mso-wrap-distance-right:0;mso-position-horizontal-relative:page" wrapcoords="0 0"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7,595,911.44［</w:t>
                      </w:r>
                      <w:r>
                        <w:rPr>
                          <w:rFonts w:ascii="SimSun" w:eastAsia="SimSun" w:hAnsi="SimSun" w:cs="SimSun"/>
                          <w:color w:val="000000"/>
                          <w:spacing w:val="0"/>
                          <w:w w:val="100"/>
                          <w:position w:val="0"/>
                        </w:rPr>
                        <w:t>注</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14" behindDoc="1" locked="0" layoutInCell="1" allowOverlap="1">
                <wp:simplePos x="0" y="0"/>
                <wp:positionH relativeFrom="page">
                  <wp:posOffset>1172210</wp:posOffset>
                </wp:positionH>
                <wp:positionV relativeFrom="paragraph">
                  <wp:posOffset>2142490</wp:posOffset>
                </wp:positionV>
                <wp:extent cx="2889250" cy="332105"/>
                <wp:wrapNone/>
                <wp:docPr id="98" name="Shape 98"/>
                <a:graphic xmlns:a="http://schemas.openxmlformats.org/drawingml/2006/main">
                  <a:graphicData uri="http://schemas.microsoft.com/office/word/2010/wordprocessingShape">
                    <wps:wsp>
                      <wps:cNvSpPr txBox="1"/>
                      <wps:spPr>
                        <a:xfrm>
                          <a:ext cx="2889250" cy="33210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纺织公司浩暨支行房屋建筑</w:t>
                            </w:r>
                            <w:r>
                              <w:rPr>
                                <w:color w:val="000000"/>
                                <w:spacing w:val="0"/>
                                <w:w w:val="100"/>
                                <w:position w:val="0"/>
                              </w:rPr>
                              <w:t>34,886,255.64［</w:t>
                            </w:r>
                            <w:r>
                              <w:rPr>
                                <w:rFonts w:ascii="SimSun" w:eastAsia="SimSun" w:hAnsi="SimSun" w:cs="SimSun"/>
                                <w:color w:val="000000"/>
                                <w:spacing w:val="0"/>
                                <w:w w:val="100"/>
                                <w:position w:val="0"/>
                              </w:rPr>
                              <w:t>注</w:t>
                            </w:r>
                            <w:r>
                              <w:rPr>
                                <w:color w:val="000000"/>
                                <w:spacing w:val="0"/>
                                <w:w w:val="100"/>
                                <w:position w:val="0"/>
                              </w:rPr>
                              <w:t>］</w:t>
                            </w:r>
                          </w:p>
                        </w:txbxContent>
                      </wps:txbx>
                      <wps:bodyPr wrap="none" lIns="0" tIns="0" rIns="0" bIns="0">
                        <a:noAutoFit/>
                      </wps:bodyPr>
                    </wps:wsp>
                  </a:graphicData>
                </a:graphic>
              </wp:anchor>
            </w:drawing>
          </mc:Choice>
          <mc:Fallback>
            <w:pict>
              <v:shape id="_x0000_s1124" type="#_x0000_t202" style="position:absolute;margin-left:92.299999999999997pt;margin-top:168.70000000000002pt;width:227.5pt;height:26.150000000000002pt;z-index:-188744039;mso-wrap-distance-left:0;mso-wrap-distance-right:0;mso-position-horizontal-relative:page" wrapcoords="0 0"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纺织公司浩暨支行房屋建筑</w:t>
                      </w:r>
                      <w:r>
                        <w:rPr>
                          <w:color w:val="000000"/>
                          <w:spacing w:val="0"/>
                          <w:w w:val="100"/>
                          <w:position w:val="0"/>
                        </w:rPr>
                        <w:t>34,886,255.64［</w:t>
                      </w:r>
                      <w:r>
                        <w:rPr>
                          <w:rFonts w:ascii="SimSun" w:eastAsia="SimSun" w:hAnsi="SimSun" w:cs="SimSun"/>
                          <w:color w:val="000000"/>
                          <w:spacing w:val="0"/>
                          <w:w w:val="100"/>
                          <w:position w:val="0"/>
                        </w:rPr>
                        <w:t>注</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16" behindDoc="1" locked="0" layoutInCell="1" allowOverlap="1">
                <wp:simplePos x="0" y="0"/>
                <wp:positionH relativeFrom="page">
                  <wp:posOffset>1772285</wp:posOffset>
                </wp:positionH>
                <wp:positionV relativeFrom="paragraph">
                  <wp:posOffset>2477770</wp:posOffset>
                </wp:positionV>
                <wp:extent cx="1298575" cy="341630"/>
                <wp:wrapNone/>
                <wp:docPr id="100" name="Shape 100"/>
                <a:graphic xmlns:a="http://schemas.openxmlformats.org/drawingml/2006/main">
                  <a:graphicData uri="http://schemas.microsoft.com/office/word/2010/wordprocessingShape">
                    <wps:wsp>
                      <wps:cNvSpPr txBox="1"/>
                      <wps:spPr>
                        <a:xfrm>
                          <a:ext cx="1298575" cy="341630"/>
                        </a:xfrm>
                        <a:prstGeom prst="rect"/>
                        <a:noFill/>
                      </wps:spPr>
                      <wps:txbx>
                        <w:txbxContent>
                          <w:p>
                            <w:pPr>
                              <w:pStyle w:val="Style13"/>
                              <w:keepNext w:val="0"/>
                              <w:keepLines w:val="0"/>
                              <w:widowControl w:val="0"/>
                              <w:shd w:val="clear" w:color="auto" w:fill="auto"/>
                              <w:tabs>
                                <w:tab w:pos="960" w:val="left"/>
                              </w:tabs>
                              <w:bidi w:val="0"/>
                              <w:spacing w:before="0" w:after="0" w:line="259" w:lineRule="exact"/>
                              <w:ind w:left="0" w:right="0" w:firstLine="0"/>
                              <w:jc w:val="left"/>
                            </w:pPr>
                            <w:r>
                              <w:rPr>
                                <w:color w:val="000000"/>
                                <w:spacing w:val="0"/>
                                <w:w w:val="100"/>
                                <w:position w:val="0"/>
                              </w:rPr>
                              <w:t>中国建设土地使用 银行</w:t>
                              <w:tab/>
                              <w:t>权</w:t>
                            </w:r>
                          </w:p>
                        </w:txbxContent>
                      </wps:txbx>
                      <wps:bodyPr lIns="0" tIns="0" rIns="0" bIns="0">
                        <a:noAutoFit/>
                      </wps:bodyPr>
                    </wps:wsp>
                  </a:graphicData>
                </a:graphic>
              </wp:anchor>
            </w:drawing>
          </mc:Choice>
          <mc:Fallback>
            <w:pict>
              <v:shape id="_x0000_s1126" type="#_x0000_t202" style="position:absolute;margin-left:139.55000000000001pt;margin-top:195.09999999999999pt;width:102.25pt;height:26.900000000000002pt;z-index:-188744037;mso-wrap-distance-left:0;mso-wrap-distance-right:0;mso-position-horizontal-relative:page" wrapcoords="0 0" filled="f" stroked="f">
                <v:textbox inset="0,0,0,0">
                  <w:txbxContent>
                    <w:p>
                      <w:pPr>
                        <w:pStyle w:val="Style13"/>
                        <w:keepNext w:val="0"/>
                        <w:keepLines w:val="0"/>
                        <w:widowControl w:val="0"/>
                        <w:shd w:val="clear" w:color="auto" w:fill="auto"/>
                        <w:tabs>
                          <w:tab w:pos="960" w:val="left"/>
                        </w:tabs>
                        <w:bidi w:val="0"/>
                        <w:spacing w:before="0" w:after="0" w:line="259" w:lineRule="exact"/>
                        <w:ind w:left="0" w:right="0" w:firstLine="0"/>
                        <w:jc w:val="left"/>
                      </w:pPr>
                      <w:r>
                        <w:rPr>
                          <w:color w:val="000000"/>
                          <w:spacing w:val="0"/>
                          <w:w w:val="100"/>
                          <w:position w:val="0"/>
                        </w:rPr>
                        <w:t>中国建设土地使用 银行</w:t>
                        <w:tab/>
                        <w:t>权</w:t>
                      </w:r>
                    </w:p>
                  </w:txbxContent>
                </v:textbox>
                <w10:wrap anchorx="page"/>
              </v:shape>
            </w:pict>
          </mc:Fallback>
        </mc:AlternateContent>
      </w:r>
      <w:r>
        <mc:AlternateContent>
          <mc:Choice Requires="wps">
            <w:drawing>
              <wp:anchor distT="0" distB="0" distL="0" distR="0" simplePos="0" relativeHeight="62914718" behindDoc="1" locked="0" layoutInCell="1" allowOverlap="1">
                <wp:simplePos x="0" y="0"/>
                <wp:positionH relativeFrom="page">
                  <wp:posOffset>3046730</wp:posOffset>
                </wp:positionH>
                <wp:positionV relativeFrom="paragraph">
                  <wp:posOffset>2584450</wp:posOffset>
                </wp:positionV>
                <wp:extent cx="725170" cy="161290"/>
                <wp:wrapNone/>
                <wp:docPr id="102" name="Shape 102"/>
                <a:graphic xmlns:a="http://schemas.openxmlformats.org/drawingml/2006/main">
                  <a:graphicData uri="http://schemas.microsoft.com/office/word/2010/wordprocessingShape">
                    <wps:wsp>
                      <wps:cNvSpPr txBox="1"/>
                      <wps:spPr>
                        <a:xfrm>
                          <a:ext cx="725170"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7,300,397.69</w:t>
                            </w:r>
                          </w:p>
                        </w:txbxContent>
                      </wps:txbx>
                      <wps:bodyPr wrap="none" lIns="0" tIns="0" rIns="0" bIns="0">
                        <a:noAutoFit/>
                      </wps:bodyPr>
                    </wps:wsp>
                  </a:graphicData>
                </a:graphic>
              </wp:anchor>
            </w:drawing>
          </mc:Choice>
          <mc:Fallback>
            <w:pict>
              <v:shape id="_x0000_s1128" type="#_x0000_t202" style="position:absolute;margin-left:239.90000000000001pt;margin-top:203.5pt;width:57.100000000000001pt;height:12.700000000000001pt;z-index:-188744035;mso-wrap-distance-left:0;mso-wrap-distance-right:0;mso-position-horizontal-relative:page" wrapcoords="0 0"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7,300,397.69</w:t>
                      </w:r>
                    </w:p>
                  </w:txbxContent>
                </v:textbox>
                <w10:wrap anchorx="page"/>
              </v:shape>
            </w:pict>
          </mc:Fallback>
        </mc:AlternateContent>
      </w:r>
      <w:r>
        <mc:AlternateContent>
          <mc:Choice Requires="wps">
            <w:drawing>
              <wp:anchor distT="0" distB="0" distL="0" distR="0" simplePos="0" relativeHeight="62914720" behindDoc="1" locked="0" layoutInCell="1" allowOverlap="1">
                <wp:simplePos x="0" y="0"/>
                <wp:positionH relativeFrom="page">
                  <wp:posOffset>1177925</wp:posOffset>
                </wp:positionH>
                <wp:positionV relativeFrom="paragraph">
                  <wp:posOffset>3093720</wp:posOffset>
                </wp:positionV>
                <wp:extent cx="551815" cy="170815"/>
                <wp:wrapNone/>
                <wp:docPr id="104" name="Shape 104"/>
                <a:graphic xmlns:a="http://schemas.openxmlformats.org/drawingml/2006/main">
                  <a:graphicData uri="http://schemas.microsoft.com/office/word/2010/wordprocessingShape">
                    <wps:wsp>
                      <wps:cNvSpPr txBox="1"/>
                      <wps:spPr>
                        <a:xfrm>
                          <a:ext cx="551815" cy="1708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印染公司</w:t>
                            </w:r>
                          </w:p>
                        </w:txbxContent>
                      </wps:txbx>
                      <wps:bodyPr wrap="none" lIns="0" tIns="0" rIns="0" bIns="0">
                        <a:noAutoFit/>
                      </wps:bodyPr>
                    </wps:wsp>
                  </a:graphicData>
                </a:graphic>
              </wp:anchor>
            </w:drawing>
          </mc:Choice>
          <mc:Fallback>
            <w:pict>
              <v:shape id="_x0000_s1130" type="#_x0000_t202" style="position:absolute;margin-left:92.75pt;margin-top:243.59999999999999pt;width:43.450000000000003pt;height:13.450000000000001pt;z-index:-188744033;mso-wrap-distance-left:0;mso-wrap-distance-right:0;mso-position-horizontal-relative:page" wrapcoords="0 0"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印染公司</w:t>
                      </w:r>
                    </w:p>
                  </w:txbxContent>
                </v:textbox>
                <w10:wrap anchorx="page"/>
              </v:shape>
            </w:pict>
          </mc:Fallback>
        </mc:AlternateContent>
      </w:r>
      <w:r>
        <mc:AlternateContent>
          <mc:Choice Requires="wps">
            <w:drawing>
              <wp:anchor distT="0" distB="0" distL="0" distR="0" simplePos="0" relativeHeight="62914722" behindDoc="1" locked="0" layoutInCell="1" allowOverlap="1">
                <wp:simplePos x="0" y="0"/>
                <wp:positionH relativeFrom="page">
                  <wp:posOffset>1772285</wp:posOffset>
                </wp:positionH>
                <wp:positionV relativeFrom="paragraph">
                  <wp:posOffset>2822575</wp:posOffset>
                </wp:positionV>
                <wp:extent cx="1298575" cy="353695"/>
                <wp:wrapNone/>
                <wp:docPr id="106" name="Shape 106"/>
                <a:graphic xmlns:a="http://schemas.openxmlformats.org/drawingml/2006/main">
                  <a:graphicData uri="http://schemas.microsoft.com/office/word/2010/wordprocessingShape">
                    <wps:wsp>
                      <wps:cNvSpPr txBox="1"/>
                      <wps:spPr>
                        <a:xfrm>
                          <a:ext cx="1298575" cy="353695"/>
                        </a:xfrm>
                        <a:prstGeom prst="rect"/>
                        <a:noFill/>
                      </wps:spPr>
                      <wps:txbx>
                        <w:txbxContent>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中国工商房屋建筑 银行股份物</w:t>
                            </w:r>
                          </w:p>
                        </w:txbxContent>
                      </wps:txbx>
                      <wps:bodyPr lIns="0" tIns="0" rIns="0" bIns="0">
                        <a:noAutoFit/>
                      </wps:bodyPr>
                    </wps:wsp>
                  </a:graphicData>
                </a:graphic>
              </wp:anchor>
            </w:drawing>
          </mc:Choice>
          <mc:Fallback>
            <w:pict>
              <v:shape id="_x0000_s1132" type="#_x0000_t202" style="position:absolute;margin-left:139.55000000000001pt;margin-top:222.25pt;width:102.25pt;height:27.850000000000001pt;z-index:-188744031;mso-wrap-distance-left:0;mso-wrap-distance-right:0;mso-position-horizontal-relative:page" wrapcoords="0 0" filled="f" stroked="f">
                <v:textbox inset="0,0,0,0">
                  <w:txbxContent>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中国工商房屋建筑 银行股份物</w:t>
                      </w:r>
                    </w:p>
                  </w:txbxContent>
                </v:textbox>
                <w10:wrap anchorx="page"/>
              </v:shape>
            </w:pict>
          </mc:Fallback>
        </mc:AlternateContent>
      </w:r>
      <w:r>
        <mc:AlternateContent>
          <mc:Choice Requires="wps">
            <w:drawing>
              <wp:anchor distT="0" distB="0" distL="0" distR="0" simplePos="0" relativeHeight="62914724" behindDoc="1" locked="0" layoutInCell="1" allowOverlap="1">
                <wp:simplePos x="0" y="0"/>
                <wp:positionH relativeFrom="page">
                  <wp:posOffset>3052445</wp:posOffset>
                </wp:positionH>
                <wp:positionV relativeFrom="paragraph">
                  <wp:posOffset>2929255</wp:posOffset>
                </wp:positionV>
                <wp:extent cx="786130" cy="161290"/>
                <wp:wrapNone/>
                <wp:docPr id="108" name="Shape 108"/>
                <a:graphic xmlns:a="http://schemas.openxmlformats.org/drawingml/2006/main">
                  <a:graphicData uri="http://schemas.microsoft.com/office/word/2010/wordprocessingShape">
                    <wps:wsp>
                      <wps:cNvSpPr txBox="1"/>
                      <wps:spPr>
                        <a:xfrm>
                          <a:ext cx="786130"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49,988,841.84</w:t>
                            </w:r>
                          </w:p>
                        </w:txbxContent>
                      </wps:txbx>
                      <wps:bodyPr wrap="none" lIns="0" tIns="0" rIns="0" bIns="0">
                        <a:noAutoFit/>
                      </wps:bodyPr>
                    </wps:wsp>
                  </a:graphicData>
                </a:graphic>
              </wp:anchor>
            </w:drawing>
          </mc:Choice>
          <mc:Fallback>
            <w:pict>
              <v:shape id="_x0000_s1134" type="#_x0000_t202" style="position:absolute;margin-left:240.34999999999999pt;margin-top:230.65000000000001pt;width:61.899999999999999pt;height:12.700000000000001pt;z-index:-188744029;mso-wrap-distance-left:0;mso-wrap-distance-right:0;mso-position-horizontal-relative:page" wrapcoords="0 0"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49,988,841.84</w:t>
                      </w:r>
                    </w:p>
                  </w:txbxContent>
                </v:textbox>
                <w10:wrap anchorx="page"/>
              </v:shape>
            </w:pict>
          </mc:Fallback>
        </mc:AlternateContent>
      </w:r>
      <w:r>
        <mc:AlternateContent>
          <mc:Choice Requires="wps">
            <w:drawing>
              <wp:anchor distT="0" distB="0" distL="0" distR="0" simplePos="0" relativeHeight="62914726" behindDoc="1" locked="0" layoutInCell="1" allowOverlap="1">
                <wp:simplePos x="0" y="0"/>
                <wp:positionH relativeFrom="page">
                  <wp:posOffset>1772285</wp:posOffset>
                </wp:positionH>
                <wp:positionV relativeFrom="paragraph">
                  <wp:posOffset>3178810</wp:posOffset>
                </wp:positionV>
                <wp:extent cx="1298575" cy="365760"/>
                <wp:wrapNone/>
                <wp:docPr id="110" name="Shape 110"/>
                <a:graphic xmlns:a="http://schemas.openxmlformats.org/drawingml/2006/main">
                  <a:graphicData uri="http://schemas.microsoft.com/office/word/2010/wordprocessingShape">
                    <wps:wsp>
                      <wps:cNvSpPr txBox="1"/>
                      <wps:spPr>
                        <a:xfrm>
                          <a:ext cx="1298575" cy="365760"/>
                        </a:xfrm>
                        <a:prstGeom prst="rect"/>
                        <a:noFill/>
                      </wps:spPr>
                      <wps:txbx>
                        <w:txbxContent>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有限公司土地使用 诸暨支行权</w:t>
                            </w:r>
                          </w:p>
                        </w:txbxContent>
                      </wps:txbx>
                      <wps:bodyPr lIns="0" tIns="0" rIns="0" bIns="0">
                        <a:noAutoFit/>
                      </wps:bodyPr>
                    </wps:wsp>
                  </a:graphicData>
                </a:graphic>
              </wp:anchor>
            </w:drawing>
          </mc:Choice>
          <mc:Fallback>
            <w:pict>
              <v:shape id="_x0000_s1136" type="#_x0000_t202" style="position:absolute;margin-left:139.55000000000001pt;margin-top:250.30000000000001pt;width:102.25pt;height:28.800000000000001pt;z-index:-188744027;mso-wrap-distance-left:0;mso-wrap-distance-right:0;mso-position-horizontal-relative:page" wrapcoords="0 0" filled="f" stroked="f">
                <v:textbox inset="0,0,0,0">
                  <w:txbxContent>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有限公司土地使用 诸暨支行权</w:t>
                      </w:r>
                    </w:p>
                  </w:txbxContent>
                </v:textbox>
                <w10:wrap anchorx="page"/>
              </v:shape>
            </w:pict>
          </mc:Fallback>
        </mc:AlternateContent>
      </w:r>
      <w:r>
        <mc:AlternateContent>
          <mc:Choice Requires="wps">
            <w:drawing>
              <wp:anchor distT="0" distB="0" distL="0" distR="0" simplePos="0" relativeHeight="62914728" behindDoc="1" locked="0" layoutInCell="1" allowOverlap="1">
                <wp:simplePos x="0" y="0"/>
                <wp:positionH relativeFrom="page">
                  <wp:posOffset>3043555</wp:posOffset>
                </wp:positionH>
                <wp:positionV relativeFrom="paragraph">
                  <wp:posOffset>3276600</wp:posOffset>
                </wp:positionV>
                <wp:extent cx="795655" cy="161290"/>
                <wp:wrapNone/>
                <wp:docPr id="112" name="Shape 112"/>
                <a:graphic xmlns:a="http://schemas.openxmlformats.org/drawingml/2006/main">
                  <a:graphicData uri="http://schemas.microsoft.com/office/word/2010/wordprocessingShape">
                    <wps:wsp>
                      <wps:cNvSpPr txBox="1"/>
                      <wps:spPr>
                        <a:xfrm>
                          <a:ext cx="795655"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23,697,990.00</w:t>
                            </w:r>
                          </w:p>
                        </w:txbxContent>
                      </wps:txbx>
                      <wps:bodyPr wrap="none" lIns="0" tIns="0" rIns="0" bIns="0">
                        <a:noAutoFit/>
                      </wps:bodyPr>
                    </wps:wsp>
                  </a:graphicData>
                </a:graphic>
              </wp:anchor>
            </w:drawing>
          </mc:Choice>
          <mc:Fallback>
            <w:pict>
              <v:shape id="_x0000_s1138" type="#_x0000_t202" style="position:absolute;margin-left:239.65000000000001pt;margin-top:258.pt;width:62.649999999999999pt;height:12.700000000000001pt;z-index:-188744025;mso-wrap-distance-left:0;mso-wrap-distance-right:0;mso-position-horizontal-relative:page" wrapcoords="0 0" filled="f" stroked="f">
                <v:textbox inset="0,0,0,0">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23,697,990.00</w:t>
                      </w:r>
                    </w:p>
                  </w:txbxContent>
                </v:textbox>
                <w10:wrap anchorx="page"/>
              </v:shape>
            </w:pict>
          </mc:Fallback>
        </mc:AlternateContent>
      </w:r>
      <w:r>
        <mc:AlternateContent>
          <mc:Choice Requires="wps">
            <w:drawing>
              <wp:anchor distT="0" distB="0" distL="0" distR="0" simplePos="0" relativeHeight="62914730" behindDoc="1" locked="0" layoutInCell="1" allowOverlap="1">
                <wp:simplePos x="0" y="0"/>
                <wp:positionH relativeFrom="page">
                  <wp:posOffset>4177665</wp:posOffset>
                </wp:positionH>
                <wp:positionV relativeFrom="paragraph">
                  <wp:posOffset>1627505</wp:posOffset>
                </wp:positionV>
                <wp:extent cx="798830" cy="1810385"/>
                <wp:wrapNone/>
                <wp:docPr id="114" name="Shape 114"/>
                <a:graphic xmlns:a="http://schemas.openxmlformats.org/drawingml/2006/main">
                  <a:graphicData uri="http://schemas.microsoft.com/office/word/2010/wordprocessingShape">
                    <wps:wsp>
                      <wps:cNvSpPr txBox="1"/>
                      <wps:spPr>
                        <a:xfrm>
                          <a:ext cx="798830" cy="1810385"/>
                        </a:xfrm>
                        <a:prstGeom prst="rect"/>
                        <a:noFill/>
                      </wps:spPr>
                      <wps:txbx>
                        <w:txbxContent>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账面净值</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6,572,151.42</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28,782,434.26</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6,316,466.36</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36,737,500.17</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19,195,371.90</w:t>
                            </w:r>
                          </w:p>
                        </w:txbxContent>
                      </wps:txbx>
                      <wps:bodyPr lIns="0" tIns="0" rIns="0" bIns="0">
                        <a:noAutoFit/>
                      </wps:bodyPr>
                    </wps:wsp>
                  </a:graphicData>
                </a:graphic>
              </wp:anchor>
            </w:drawing>
          </mc:Choice>
          <mc:Fallback>
            <w:pict>
              <v:shape id="_x0000_s1140" type="#_x0000_t202" style="position:absolute;margin-left:328.94999999999999pt;margin-top:128.15000000000001pt;width:62.899999999999999pt;height:142.55000000000001pt;z-index:-188744023;mso-wrap-distance-left:0;mso-wrap-distance-right:0;mso-position-horizontal-relative:page" wrapcoords="0 0" filled="f" stroked="f">
                <v:textbox inset="0,0,0,0">
                  <w:txbxContent>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账面净值</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6,572,151.42</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28,782,434.26</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6,316,466.36</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36,737,500.17</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19,195,371.90</w:t>
                      </w:r>
                    </w:p>
                  </w:txbxContent>
                </v:textbox>
                <w10:wrap anchorx="page"/>
              </v:shape>
            </w:pict>
          </mc:Fallback>
        </mc:AlternateContent>
      </w:r>
      <w:r>
        <mc:AlternateContent>
          <mc:Choice Requires="wps">
            <w:drawing>
              <wp:anchor distT="0" distB="0" distL="0" distR="0" simplePos="0" relativeHeight="62914732" behindDoc="1" locked="0" layoutInCell="1" allowOverlap="1">
                <wp:simplePos x="0" y="0"/>
                <wp:positionH relativeFrom="page">
                  <wp:posOffset>5073650</wp:posOffset>
                </wp:positionH>
                <wp:positionV relativeFrom="paragraph">
                  <wp:posOffset>1536065</wp:posOffset>
                </wp:positionV>
                <wp:extent cx="829310" cy="1728470"/>
                <wp:wrapNone/>
                <wp:docPr id="116" name="Shape 116"/>
                <a:graphic xmlns:a="http://schemas.openxmlformats.org/drawingml/2006/main">
                  <a:graphicData uri="http://schemas.microsoft.com/office/word/2010/wordprocessingShape">
                    <wps:wsp>
                      <wps:cNvSpPr txBox="1"/>
                      <wps:spPr>
                        <a:xfrm>
                          <a:ext cx="829310" cy="1728470"/>
                        </a:xfrm>
                        <a:prstGeom prst="rect"/>
                        <a:noFill/>
                      </wps:spPr>
                      <wps:txbx>
                        <w:txbxContent>
                          <w:p>
                            <w:pPr>
                              <w:pStyle w:val="Style13"/>
                              <w:keepNext w:val="0"/>
                              <w:keepLines w:val="0"/>
                              <w:widowControl w:val="0"/>
                              <w:shd w:val="clear" w:color="auto" w:fill="auto"/>
                              <w:bidi w:val="0"/>
                              <w:spacing w:before="0" w:after="580" w:line="240" w:lineRule="auto"/>
                              <w:ind w:left="0" w:right="0" w:firstLine="0"/>
                              <w:jc w:val="left"/>
                            </w:pPr>
                            <w:r>
                              <w:rPr>
                                <w:color w:val="000000"/>
                                <w:spacing w:val="0"/>
                                <w:w w:val="100"/>
                                <w:position w:val="0"/>
                              </w:rPr>
                              <w:t>担保借款余额</w:t>
                            </w:r>
                          </w:p>
                          <w:p>
                            <w:pPr>
                              <w:pStyle w:val="Style25"/>
                              <w:keepNext w:val="0"/>
                              <w:keepLines w:val="0"/>
                              <w:widowControl w:val="0"/>
                              <w:shd w:val="clear" w:color="auto" w:fill="auto"/>
                              <w:bidi w:val="0"/>
                              <w:spacing w:before="0" w:after="580" w:line="240" w:lineRule="auto"/>
                              <w:ind w:left="0" w:right="0" w:firstLine="0"/>
                              <w:jc w:val="left"/>
                            </w:pPr>
                            <w:r>
                              <w:rPr>
                                <w:color w:val="000000"/>
                                <w:spacing w:val="0"/>
                                <w:w w:val="100"/>
                                <w:position w:val="0"/>
                              </w:rPr>
                              <w:t>19,000,000.00</w:t>
                            </w:r>
                          </w:p>
                          <w:p>
                            <w:pPr>
                              <w:pStyle w:val="Style25"/>
                              <w:keepNext w:val="0"/>
                              <w:keepLines w:val="0"/>
                              <w:widowControl w:val="0"/>
                              <w:shd w:val="clear" w:color="auto" w:fill="auto"/>
                              <w:bidi w:val="0"/>
                              <w:spacing w:before="0" w:after="580" w:line="240" w:lineRule="auto"/>
                              <w:ind w:left="0" w:right="0" w:firstLine="0"/>
                              <w:jc w:val="left"/>
                            </w:pPr>
                            <w:r>
                              <w:rPr>
                                <w:color w:val="000000"/>
                                <w:spacing w:val="0"/>
                                <w:w w:val="100"/>
                                <w:position w:val="0"/>
                              </w:rPr>
                              <w:t>10,000,000.00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40,000,000.00</w:t>
                            </w:r>
                          </w:p>
                        </w:txbxContent>
                      </wps:txbx>
                      <wps:bodyPr lIns="0" tIns="0" rIns="0" bIns="0">
                        <a:noAutoFit/>
                      </wps:bodyPr>
                    </wps:wsp>
                  </a:graphicData>
                </a:graphic>
              </wp:anchor>
            </w:drawing>
          </mc:Choice>
          <mc:Fallback>
            <w:pict>
              <v:shape id="_x0000_s1142" type="#_x0000_t202" style="position:absolute;margin-left:399.5pt;margin-top:120.95pt;width:65.299999999999997pt;height:136.09999999999999pt;z-index:-188744021;mso-wrap-distance-left:0;mso-wrap-distance-right:0;mso-position-horizontal-relative:page" wrapcoords="0 0" filled="f" stroked="f">
                <v:textbox inset="0,0,0,0">
                  <w:txbxContent>
                    <w:p>
                      <w:pPr>
                        <w:pStyle w:val="Style13"/>
                        <w:keepNext w:val="0"/>
                        <w:keepLines w:val="0"/>
                        <w:widowControl w:val="0"/>
                        <w:shd w:val="clear" w:color="auto" w:fill="auto"/>
                        <w:bidi w:val="0"/>
                        <w:spacing w:before="0" w:after="580" w:line="240" w:lineRule="auto"/>
                        <w:ind w:left="0" w:right="0" w:firstLine="0"/>
                        <w:jc w:val="left"/>
                      </w:pPr>
                      <w:r>
                        <w:rPr>
                          <w:color w:val="000000"/>
                          <w:spacing w:val="0"/>
                          <w:w w:val="100"/>
                          <w:position w:val="0"/>
                        </w:rPr>
                        <w:t>担保借款余额</w:t>
                      </w:r>
                    </w:p>
                    <w:p>
                      <w:pPr>
                        <w:pStyle w:val="Style25"/>
                        <w:keepNext w:val="0"/>
                        <w:keepLines w:val="0"/>
                        <w:widowControl w:val="0"/>
                        <w:shd w:val="clear" w:color="auto" w:fill="auto"/>
                        <w:bidi w:val="0"/>
                        <w:spacing w:before="0" w:after="580" w:line="240" w:lineRule="auto"/>
                        <w:ind w:left="0" w:right="0" w:firstLine="0"/>
                        <w:jc w:val="left"/>
                      </w:pPr>
                      <w:r>
                        <w:rPr>
                          <w:color w:val="000000"/>
                          <w:spacing w:val="0"/>
                          <w:w w:val="100"/>
                          <w:position w:val="0"/>
                        </w:rPr>
                        <w:t>19,000,000.00</w:t>
                      </w:r>
                    </w:p>
                    <w:p>
                      <w:pPr>
                        <w:pStyle w:val="Style25"/>
                        <w:keepNext w:val="0"/>
                        <w:keepLines w:val="0"/>
                        <w:widowControl w:val="0"/>
                        <w:shd w:val="clear" w:color="auto" w:fill="auto"/>
                        <w:bidi w:val="0"/>
                        <w:spacing w:before="0" w:after="580" w:line="240" w:lineRule="auto"/>
                        <w:ind w:left="0" w:right="0" w:firstLine="0"/>
                        <w:jc w:val="left"/>
                      </w:pPr>
                      <w:r>
                        <w:rPr>
                          <w:color w:val="000000"/>
                          <w:spacing w:val="0"/>
                          <w:w w:val="100"/>
                          <w:position w:val="0"/>
                        </w:rPr>
                        <w:t>10,000,000.00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40,000,000.00</w:t>
                      </w:r>
                    </w:p>
                  </w:txbxContent>
                </v:textbox>
                <w10:wrap anchorx="page"/>
              </v:shape>
            </w:pict>
          </mc:Fallback>
        </mc:AlternateContent>
      </w:r>
      <w:r>
        <mc:AlternateContent>
          <mc:Choice Requires="wps">
            <w:drawing>
              <wp:anchor distT="0" distB="0" distL="0" distR="0" simplePos="0" relativeHeight="62914734" behindDoc="1" locked="0" layoutInCell="1" allowOverlap="1">
                <wp:simplePos x="0" y="0"/>
                <wp:positionH relativeFrom="page">
                  <wp:posOffset>5945505</wp:posOffset>
                </wp:positionH>
                <wp:positionV relativeFrom="paragraph">
                  <wp:posOffset>1450975</wp:posOffset>
                </wp:positionV>
                <wp:extent cx="740410" cy="1810385"/>
                <wp:wrapNone/>
                <wp:docPr id="118" name="Shape 118"/>
                <a:graphic xmlns:a="http://schemas.openxmlformats.org/drawingml/2006/main">
                  <a:graphicData uri="http://schemas.microsoft.com/office/word/2010/wordprocessingShape">
                    <wps:wsp>
                      <wps:cNvSpPr txBox="1"/>
                      <wps:spPr>
                        <a:xfrm>
                          <a:ext cx="740410" cy="1810385"/>
                        </a:xfrm>
                        <a:prstGeom prst="rect"/>
                        <a:noFill/>
                      </wps:spPr>
                      <wps:txbx>
                        <w:txbxContent>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借款最后到</w:t>
                            </w:r>
                          </w:p>
                          <w:p>
                            <w:pPr>
                              <w:pStyle w:val="Style13"/>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期日</w:t>
                            </w:r>
                          </w:p>
                          <w:p>
                            <w:pPr>
                              <w:pStyle w:val="Style25"/>
                              <w:keepNext w:val="0"/>
                              <w:keepLines w:val="0"/>
                              <w:widowControl w:val="0"/>
                              <w:shd w:val="clear" w:color="auto" w:fill="auto"/>
                              <w:bidi w:val="0"/>
                              <w:spacing w:before="0" w:after="580" w:line="240" w:lineRule="auto"/>
                              <w:ind w:left="0" w:right="0" w:firstLine="0"/>
                              <w:jc w:val="left"/>
                            </w:pPr>
                            <w:r>
                              <w:rPr>
                                <w:color w:val="000000"/>
                                <w:spacing w:val="0"/>
                                <w:w w:val="100"/>
                                <w:position w:val="0"/>
                              </w:rPr>
                              <w:t>2014-8-15</w:t>
                            </w:r>
                          </w:p>
                          <w:p>
                            <w:pPr>
                              <w:pStyle w:val="Style25"/>
                              <w:keepNext w:val="0"/>
                              <w:keepLines w:val="0"/>
                              <w:widowControl w:val="0"/>
                              <w:shd w:val="clear" w:color="auto" w:fill="auto"/>
                              <w:bidi w:val="0"/>
                              <w:spacing w:before="0" w:after="580" w:line="240" w:lineRule="auto"/>
                              <w:ind w:left="0" w:right="0" w:firstLine="0"/>
                              <w:jc w:val="left"/>
                            </w:pPr>
                            <w:r>
                              <w:rPr>
                                <w:color w:val="000000"/>
                                <w:spacing w:val="0"/>
                                <w:w w:val="100"/>
                                <w:position w:val="0"/>
                              </w:rPr>
                              <w:t>2014-12-18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2014-11-25</w:t>
                            </w:r>
                          </w:p>
                        </w:txbxContent>
                      </wps:txbx>
                      <wps:bodyPr lIns="0" tIns="0" rIns="0" bIns="0">
                        <a:noAutoFit/>
                      </wps:bodyPr>
                    </wps:wsp>
                  </a:graphicData>
                </a:graphic>
              </wp:anchor>
            </w:drawing>
          </mc:Choice>
          <mc:Fallback>
            <w:pict>
              <v:shape id="_x0000_s1144" type="#_x0000_t202" style="position:absolute;margin-left:468.15000000000003pt;margin-top:114.25pt;width:58.300000000000004pt;height:142.55000000000001pt;z-index:-188744019;mso-wrap-distance-left:0;mso-wrap-distance-right:0;mso-position-horizontal-relative:page" wrapcoords="0 0" filled="f" stroked="f">
                <v:textbox inset="0,0,0,0">
                  <w:txbxContent>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借款最后到</w:t>
                      </w:r>
                    </w:p>
                    <w:p>
                      <w:pPr>
                        <w:pStyle w:val="Style13"/>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期日</w:t>
                      </w:r>
                    </w:p>
                    <w:p>
                      <w:pPr>
                        <w:pStyle w:val="Style25"/>
                        <w:keepNext w:val="0"/>
                        <w:keepLines w:val="0"/>
                        <w:widowControl w:val="0"/>
                        <w:shd w:val="clear" w:color="auto" w:fill="auto"/>
                        <w:bidi w:val="0"/>
                        <w:spacing w:before="0" w:after="580" w:line="240" w:lineRule="auto"/>
                        <w:ind w:left="0" w:right="0" w:firstLine="0"/>
                        <w:jc w:val="left"/>
                      </w:pPr>
                      <w:r>
                        <w:rPr>
                          <w:color w:val="000000"/>
                          <w:spacing w:val="0"/>
                          <w:w w:val="100"/>
                          <w:position w:val="0"/>
                        </w:rPr>
                        <w:t>2014-8-15</w:t>
                      </w:r>
                    </w:p>
                    <w:p>
                      <w:pPr>
                        <w:pStyle w:val="Style25"/>
                        <w:keepNext w:val="0"/>
                        <w:keepLines w:val="0"/>
                        <w:widowControl w:val="0"/>
                        <w:shd w:val="clear" w:color="auto" w:fill="auto"/>
                        <w:bidi w:val="0"/>
                        <w:spacing w:before="0" w:after="580" w:line="240" w:lineRule="auto"/>
                        <w:ind w:left="0" w:right="0" w:firstLine="0"/>
                        <w:jc w:val="left"/>
                      </w:pPr>
                      <w:r>
                        <w:rPr>
                          <w:color w:val="000000"/>
                          <w:spacing w:val="0"/>
                          <w:w w:val="100"/>
                          <w:position w:val="0"/>
                        </w:rPr>
                        <w:t>2014-12-18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2014-11-25</w:t>
                      </w:r>
                    </w:p>
                  </w:txbxContent>
                </v:textbox>
                <w10:wrap anchorx="page"/>
              </v:shape>
            </w:pict>
          </mc:Fallback>
        </mc:AlternateContent>
      </w:r>
      <w:r>
        <w:br w:type="page"/>
      </w:r>
    </w:p>
    <w:p>
      <w:pPr>
        <w:pStyle w:val="Style25"/>
        <w:keepNext w:val="0"/>
        <w:keepLines w:val="0"/>
        <w:widowControl w:val="0"/>
        <w:shd w:val="clear" w:color="auto" w:fill="auto"/>
        <w:tabs>
          <w:tab w:pos="2846" w:val="left"/>
          <w:tab w:pos="4613" w:val="left"/>
          <w:tab w:pos="6029" w:val="left"/>
        </w:tabs>
        <w:bidi w:val="0"/>
        <w:spacing w:before="0" w:after="300" w:line="240" w:lineRule="auto"/>
        <w:ind w:left="0" w:right="0" w:firstLine="0"/>
        <w:jc w:val="left"/>
      </w:pPr>
      <w:r>
        <w:rPr>
          <w:rFonts w:ascii="SimSun" w:eastAsia="SimSun" w:hAnsi="SimSun" w:cs="SimSun"/>
          <w:color w:val="000000"/>
          <w:spacing w:val="0"/>
          <w:w w:val="100"/>
          <w:position w:val="0"/>
        </w:rPr>
        <w:t>小计</w:t>
        <w:tab/>
      </w:r>
      <w:r>
        <w:rPr>
          <w:color w:val="000000"/>
          <w:spacing w:val="0"/>
          <w:w w:val="100"/>
          <w:position w:val="0"/>
        </w:rPr>
        <w:t>123,469,396.61</w:t>
        <w:tab/>
        <w:t>97,603,924.11</w:t>
        <w:tab/>
        <w:t>69,000,000.00</w:t>
      </w:r>
    </w:p>
    <w:p>
      <w:pPr>
        <w:pStyle w:val="Style13"/>
        <w:keepNext w:val="0"/>
        <w:keepLines w:val="0"/>
        <w:widowControl w:val="0"/>
        <w:shd w:val="clear" w:color="auto" w:fill="auto"/>
        <w:bidi w:val="0"/>
        <w:spacing w:before="0" w:after="40" w:line="245" w:lineRule="exact"/>
        <w:ind w:left="0" w:right="0" w:firstLine="0"/>
        <w:jc w:val="left"/>
      </w:pPr>
      <w:r>
        <w:rPr>
          <w:color w:val="000000"/>
          <w:spacing w:val="0"/>
          <w:w w:val="100"/>
          <w:position w:val="0"/>
        </w:rPr>
        <w:t xml:space="preserve">注：该房屋建筑物和土地使用权同时为纺织公司在中国交通银行股份有限公司诸暨支行开立的 </w:t>
      </w:r>
      <w:r>
        <w:rPr>
          <w:rFonts w:ascii="Arial Unicode MS" w:eastAsia="Arial Unicode MS" w:hAnsi="Arial Unicode MS" w:cs="Arial Unicode MS"/>
          <w:color w:val="000000"/>
          <w:spacing w:val="0"/>
          <w:w w:val="100"/>
          <w:position w:val="0"/>
          <w:sz w:val="17"/>
          <w:szCs w:val="17"/>
        </w:rPr>
        <w:t>14,200,000.00</w:t>
      </w:r>
      <w:r>
        <w:rPr>
          <w:color w:val="000000"/>
          <w:spacing w:val="0"/>
          <w:w w:val="100"/>
          <w:position w:val="0"/>
        </w:rPr>
        <w:t>元银行承兑汇票作抵押。</w:t>
      </w:r>
    </w:p>
    <w:p>
      <w:pPr>
        <w:pStyle w:val="Style13"/>
        <w:keepNext w:val="0"/>
        <w:keepLines w:val="0"/>
        <w:widowControl w:val="0"/>
        <w:shd w:val="clear" w:color="auto" w:fill="auto"/>
        <w:bidi w:val="0"/>
        <w:spacing w:before="0" w:after="0" w:line="245" w:lineRule="exact"/>
        <w:ind w:left="0" w:right="0" w:firstLine="0"/>
        <w:jc w:val="left"/>
      </w:pPr>
      <w:bookmarkStart w:id="215" w:name="bookmark215"/>
      <w:r>
        <w:rPr>
          <w:rFonts w:ascii="Arial Unicode MS" w:eastAsia="Arial Unicode MS" w:hAnsi="Arial Unicode MS" w:cs="Arial Unicode MS"/>
          <w:color w:val="000000"/>
          <w:spacing w:val="0"/>
          <w:w w:val="100"/>
          <w:position w:val="0"/>
          <w:sz w:val="17"/>
          <w:szCs w:val="17"/>
        </w:rPr>
        <w:t>2</w:t>
      </w:r>
      <w:bookmarkEnd w:id="215"/>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保证借款</w:t>
      </w:r>
    </w:p>
    <w:p>
      <w:pPr>
        <w:widowControl w:val="0"/>
        <w:spacing w:line="1" w:lineRule="exact"/>
        <w:sectPr>
          <w:headerReference w:type="default" r:id="rId19"/>
          <w:footerReference w:type="default" r:id="rId20"/>
          <w:footnotePr>
            <w:pos w:val="pageBottom"/>
            <w:numFmt w:val="decimal"/>
            <w:numRestart w:val="continuous"/>
          </w:footnotePr>
          <w:pgSz w:w="12240" w:h="15840"/>
          <w:pgMar w:top="1416" w:right="872" w:bottom="1450" w:left="1630" w:header="0" w:footer="3" w:gutter="0"/>
          <w:cols w:space="720"/>
          <w:noEndnote/>
          <w:rtlGutter w:val="0"/>
          <w:docGrid w:linePitch="360"/>
        </w:sectPr>
      </w:pPr>
      <w:r>
        <mc:AlternateContent>
          <mc:Choice Requires="wps">
            <w:drawing>
              <wp:anchor distT="88900" distB="0" distL="0" distR="0" simplePos="0" relativeHeight="125829424" behindDoc="0" locked="0" layoutInCell="1" allowOverlap="1">
                <wp:simplePos x="0" y="0"/>
                <wp:positionH relativeFrom="page">
                  <wp:posOffset>1127125</wp:posOffset>
                </wp:positionH>
                <wp:positionV relativeFrom="paragraph">
                  <wp:posOffset>88900</wp:posOffset>
                </wp:positionV>
                <wp:extent cx="4062730" cy="1042670"/>
                <wp:wrapTopAndBottom/>
                <wp:docPr id="125" name="Shape 125"/>
                <a:graphic xmlns:a="http://schemas.openxmlformats.org/drawingml/2006/main">
                  <a:graphicData uri="http://schemas.microsoft.com/office/word/2010/wordprocessingShape">
                    <wps:wsp>
                      <wps:cNvSpPr txBox="1"/>
                      <wps:spPr>
                        <a:xfrm>
                          <a:ext cx="4062730" cy="1042670"/>
                        </a:xfrm>
                        <a:prstGeom prst="rect"/>
                        <a:noFill/>
                      </wps:spPr>
                      <wps:txbx>
                        <w:txbxContent>
                          <w:p>
                            <w:pPr>
                              <w:pStyle w:val="Style13"/>
                              <w:keepNext w:val="0"/>
                              <w:keepLines w:val="0"/>
                              <w:widowControl w:val="0"/>
                              <w:shd w:val="clear" w:color="auto" w:fill="auto"/>
                              <w:tabs>
                                <w:tab w:pos="1685" w:val="left"/>
                                <w:tab w:pos="5093" w:val="left"/>
                              </w:tabs>
                              <w:bidi w:val="0"/>
                              <w:spacing w:before="0" w:after="0" w:line="274" w:lineRule="exact"/>
                              <w:ind w:left="0" w:right="0" w:firstLine="0"/>
                              <w:jc w:val="left"/>
                            </w:pPr>
                            <w:r>
                              <w:rPr>
                                <w:color w:val="000000"/>
                                <w:spacing w:val="0"/>
                                <w:w w:val="100"/>
                                <w:position w:val="0"/>
                              </w:rPr>
                              <w:t>担保人</w:t>
                              <w:tab/>
                              <w:t>被担保人</w:t>
                            </w:r>
                            <w:r>
                              <w:rPr>
                                <w:rFonts w:ascii="Times New Roman" w:eastAsia="Times New Roman" w:hAnsi="Times New Roman" w:cs="Times New Roman"/>
                                <w:color w:val="000000"/>
                                <w:spacing w:val="0"/>
                                <w:w w:val="100"/>
                                <w:position w:val="0"/>
                              </w:rPr>
                              <w:t>/</w:t>
                            </w:r>
                            <w:r>
                              <w:rPr>
                                <w:color w:val="000000"/>
                                <w:spacing w:val="0"/>
                                <w:w w:val="100"/>
                                <w:position w:val="0"/>
                              </w:rPr>
                              <w:t>借款人贷款金融机构</w:t>
                              <w:tab/>
                              <w:t>担保借款金额</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印染公司</w:t>
                            </w:r>
                            <w:r>
                              <w:rPr>
                                <w:rFonts w:ascii="Times New Roman" w:eastAsia="Times New Roman" w:hAnsi="Times New Roman" w:cs="Times New Roman"/>
                                <w:color w:val="000000"/>
                                <w:spacing w:val="0"/>
                                <w:w w:val="100"/>
                                <w:position w:val="0"/>
                              </w:rPr>
                              <w:t>/</w:t>
                            </w:r>
                            <w:r>
                              <w:rPr>
                                <w:color w:val="000000"/>
                                <w:spacing w:val="0"/>
                                <w:w w:val="100"/>
                                <w:position w:val="0"/>
                              </w:rPr>
                              <w:t>富润控 股集团有限公司明智公司</w:t>
                            </w: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以下简称富润集明人公司 团</w:t>
                            </w:r>
                            <w:r>
                              <w:rPr>
                                <w:color w:val="000000"/>
                                <w:spacing w:val="0"/>
                                <w:w w:val="100"/>
                                <w:position w:val="0"/>
                              </w:rPr>
                              <w:t>）</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小计</w:t>
                            </w:r>
                          </w:p>
                        </w:txbxContent>
                      </wps:txbx>
                      <wps:bodyPr lIns="0" tIns="0" rIns="0" bIns="0">
                        <a:noAutoFit/>
                      </wps:bodyPr>
                    </wps:wsp>
                  </a:graphicData>
                </a:graphic>
              </wp:anchor>
            </w:drawing>
          </mc:Choice>
          <mc:Fallback>
            <w:pict>
              <v:shape id="_x0000_s1151" type="#_x0000_t202" style="position:absolute;margin-left:88.75pt;margin-top:7.pt;width:319.90000000000003pt;height:82.100000000000009pt;z-index:-125829329;mso-wrap-distance-left:0;mso-wrap-distance-top:7.pt;mso-wrap-distance-right:0;mso-position-horizontal-relative:page" filled="f" stroked="f">
                <v:textbox inset="0,0,0,0">
                  <w:txbxContent>
                    <w:p>
                      <w:pPr>
                        <w:pStyle w:val="Style13"/>
                        <w:keepNext w:val="0"/>
                        <w:keepLines w:val="0"/>
                        <w:widowControl w:val="0"/>
                        <w:shd w:val="clear" w:color="auto" w:fill="auto"/>
                        <w:tabs>
                          <w:tab w:pos="1685" w:val="left"/>
                          <w:tab w:pos="5093" w:val="left"/>
                        </w:tabs>
                        <w:bidi w:val="0"/>
                        <w:spacing w:before="0" w:after="0" w:line="274" w:lineRule="exact"/>
                        <w:ind w:left="0" w:right="0" w:firstLine="0"/>
                        <w:jc w:val="left"/>
                      </w:pPr>
                      <w:r>
                        <w:rPr>
                          <w:color w:val="000000"/>
                          <w:spacing w:val="0"/>
                          <w:w w:val="100"/>
                          <w:position w:val="0"/>
                        </w:rPr>
                        <w:t>担保人</w:t>
                        <w:tab/>
                        <w:t>被担保人</w:t>
                      </w:r>
                      <w:r>
                        <w:rPr>
                          <w:rFonts w:ascii="Times New Roman" w:eastAsia="Times New Roman" w:hAnsi="Times New Roman" w:cs="Times New Roman"/>
                          <w:color w:val="000000"/>
                          <w:spacing w:val="0"/>
                          <w:w w:val="100"/>
                          <w:position w:val="0"/>
                        </w:rPr>
                        <w:t>/</w:t>
                      </w:r>
                      <w:r>
                        <w:rPr>
                          <w:color w:val="000000"/>
                          <w:spacing w:val="0"/>
                          <w:w w:val="100"/>
                          <w:position w:val="0"/>
                        </w:rPr>
                        <w:t>借款人贷款金融机构</w:t>
                        <w:tab/>
                        <w:t>担保借款金额</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印染公司</w:t>
                      </w:r>
                      <w:r>
                        <w:rPr>
                          <w:rFonts w:ascii="Times New Roman" w:eastAsia="Times New Roman" w:hAnsi="Times New Roman" w:cs="Times New Roman"/>
                          <w:color w:val="000000"/>
                          <w:spacing w:val="0"/>
                          <w:w w:val="100"/>
                          <w:position w:val="0"/>
                        </w:rPr>
                        <w:t>/</w:t>
                      </w:r>
                      <w:r>
                        <w:rPr>
                          <w:color w:val="000000"/>
                          <w:spacing w:val="0"/>
                          <w:w w:val="100"/>
                          <w:position w:val="0"/>
                        </w:rPr>
                        <w:t>富润控 股集团有限公司明智公司</w:t>
                      </w: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以下简称富润集明人公司 团</w:t>
                      </w:r>
                      <w:r>
                        <w:rPr>
                          <w:color w:val="000000"/>
                          <w:spacing w:val="0"/>
                          <w:w w:val="100"/>
                          <w:position w:val="0"/>
                        </w:rPr>
                        <w:t>）</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小计</w:t>
                      </w:r>
                    </w:p>
                  </w:txbxContent>
                </v:textbox>
                <w10:wrap type="topAndBottom" anchorx="page"/>
              </v:shape>
            </w:pict>
          </mc:Fallback>
        </mc:AlternateContent>
      </w:r>
      <w:r>
        <mc:AlternateContent>
          <mc:Choice Requires="wps">
            <w:drawing>
              <wp:anchor distT="527685" distB="433070" distL="0" distR="0" simplePos="0" relativeHeight="125829426" behindDoc="0" locked="0" layoutInCell="1" allowOverlap="1">
                <wp:simplePos x="0" y="0"/>
                <wp:positionH relativeFrom="page">
                  <wp:posOffset>3269615</wp:posOffset>
                </wp:positionH>
                <wp:positionV relativeFrom="paragraph">
                  <wp:posOffset>527685</wp:posOffset>
                </wp:positionV>
                <wp:extent cx="1886585" cy="170815"/>
                <wp:wrapTopAndBottom/>
                <wp:docPr id="127" name="Shape 127"/>
                <a:graphic xmlns:a="http://schemas.openxmlformats.org/drawingml/2006/main">
                  <a:graphicData uri="http://schemas.microsoft.com/office/word/2010/wordprocessingShape">
                    <wps:wsp>
                      <wps:cNvSpPr txBox="1"/>
                      <wps:spPr>
                        <a:xfrm>
                          <a:ext cx="1886585" cy="17081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中国银行德清支行</w:t>
                            </w:r>
                            <w:r>
                              <w:rPr>
                                <w:color w:val="000000"/>
                                <w:spacing w:val="0"/>
                                <w:w w:val="100"/>
                                <w:position w:val="0"/>
                              </w:rPr>
                              <w:t>10,000,000.00</w:t>
                            </w:r>
                          </w:p>
                        </w:txbxContent>
                      </wps:txbx>
                      <wps:bodyPr wrap="none" lIns="0" tIns="0" rIns="0" bIns="0">
                        <a:noAutoFit/>
                      </wps:bodyPr>
                    </wps:wsp>
                  </a:graphicData>
                </a:graphic>
              </wp:anchor>
            </w:drawing>
          </mc:Choice>
          <mc:Fallback>
            <w:pict>
              <v:shape id="_x0000_s1153" type="#_x0000_t202" style="position:absolute;margin-left:257.44999999999999pt;margin-top:41.550000000000004pt;width:148.55000000000001pt;height:13.450000000000001pt;z-index:-125829327;mso-wrap-distance-left:0;mso-wrap-distance-top:41.550000000000004pt;mso-wrap-distance-right:0;mso-wrap-distance-bottom:34.100000000000001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中国银行德清支行</w:t>
                      </w:r>
                      <w:r>
                        <w:rPr>
                          <w:color w:val="000000"/>
                          <w:spacing w:val="0"/>
                          <w:w w:val="100"/>
                          <w:position w:val="0"/>
                        </w:rPr>
                        <w:t>10,000,000.00</w:t>
                      </w:r>
                    </w:p>
                  </w:txbxContent>
                </v:textbox>
                <w10:wrap type="topAndBottom" anchorx="page"/>
              </v:shape>
            </w:pict>
          </mc:Fallback>
        </mc:AlternateContent>
      </w:r>
      <w:r>
        <mc:AlternateContent>
          <mc:Choice Requires="wps">
            <w:drawing>
              <wp:anchor distT="969645" distB="635" distL="0" distR="0" simplePos="0" relativeHeight="125829428" behindDoc="0" locked="0" layoutInCell="1" allowOverlap="1">
                <wp:simplePos x="0" y="0"/>
                <wp:positionH relativeFrom="page">
                  <wp:posOffset>4373245</wp:posOffset>
                </wp:positionH>
                <wp:positionV relativeFrom="paragraph">
                  <wp:posOffset>969645</wp:posOffset>
                </wp:positionV>
                <wp:extent cx="783590" cy="161290"/>
                <wp:wrapTopAndBottom/>
                <wp:docPr id="129" name="Shape 129"/>
                <a:graphic xmlns:a="http://schemas.openxmlformats.org/drawingml/2006/main">
                  <a:graphicData uri="http://schemas.microsoft.com/office/word/2010/wordprocessingShape">
                    <wps:wsp>
                      <wps:cNvSpPr txBox="1"/>
                      <wps:spPr>
                        <a:xfrm>
                          <a:ext cx="783590"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wps:txbx>
                      <wps:bodyPr wrap="none" lIns="0" tIns="0" rIns="0" bIns="0">
                        <a:noAutoFit/>
                      </wps:bodyPr>
                    </wps:wsp>
                  </a:graphicData>
                </a:graphic>
              </wp:anchor>
            </w:drawing>
          </mc:Choice>
          <mc:Fallback>
            <w:pict>
              <v:shape id="_x0000_s1155" type="#_x0000_t202" style="position:absolute;margin-left:344.35000000000002pt;margin-top:76.350000000000009pt;width:61.700000000000003pt;height:12.700000000000001pt;z-index:-125829325;mso-wrap-distance-left:0;mso-wrap-distance-top:76.350000000000009pt;mso-wrap-distance-right:0;mso-wrap-distance-bottom:5.0000000000000003e-002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v:textbox>
                <w10:wrap type="topAndBottom" anchorx="page"/>
              </v:shape>
            </w:pict>
          </mc:Fallback>
        </mc:AlternateContent>
      </w:r>
      <w:r>
        <mc:AlternateContent>
          <mc:Choice Requires="wps">
            <w:drawing>
              <wp:anchor distT="95250" distB="868680" distL="0" distR="0" simplePos="0" relativeHeight="125829430" behindDoc="0" locked="0" layoutInCell="1" allowOverlap="1">
                <wp:simplePos x="0" y="0"/>
                <wp:positionH relativeFrom="page">
                  <wp:posOffset>5367020</wp:posOffset>
                </wp:positionH>
                <wp:positionV relativeFrom="paragraph">
                  <wp:posOffset>95250</wp:posOffset>
                </wp:positionV>
                <wp:extent cx="956945" cy="167640"/>
                <wp:wrapTopAndBottom/>
                <wp:docPr id="131" name="Shape 131"/>
                <a:graphic xmlns:a="http://schemas.openxmlformats.org/drawingml/2006/main">
                  <a:graphicData uri="http://schemas.microsoft.com/office/word/2010/wordprocessingShape">
                    <wps:wsp>
                      <wps:cNvSpPr txBox="1"/>
                      <wps:spPr>
                        <a:xfrm>
                          <a:ext cx="956945" cy="1676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借款最后到期日</w:t>
                            </w:r>
                          </w:p>
                        </w:txbxContent>
                      </wps:txbx>
                      <wps:bodyPr wrap="none" lIns="0" tIns="0" rIns="0" bIns="0">
                        <a:noAutoFit/>
                      </wps:bodyPr>
                    </wps:wsp>
                  </a:graphicData>
                </a:graphic>
              </wp:anchor>
            </w:drawing>
          </mc:Choice>
          <mc:Fallback>
            <w:pict>
              <v:shape id="_x0000_s1157" type="#_x0000_t202" style="position:absolute;margin-left:422.60000000000002pt;margin-top:7.5pt;width:75.350000000000009pt;height:13.200000000000001pt;z-index:-125829323;mso-wrap-distance-left:0;mso-wrap-distance-top:7.5pt;mso-wrap-distance-right:0;mso-wrap-distance-bottom:68.400000000000006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借款最后到期日</w:t>
                      </w:r>
                    </w:p>
                  </w:txbxContent>
                </v:textbox>
                <w10:wrap type="topAndBottom" anchorx="page"/>
              </v:shape>
            </w:pict>
          </mc:Fallback>
        </mc:AlternateContent>
      </w:r>
      <w:r>
        <mc:AlternateContent>
          <mc:Choice Requires="wps">
            <w:drawing>
              <wp:anchor distT="537210" distB="433070" distL="0" distR="0" simplePos="0" relativeHeight="125829432" behindDoc="0" locked="0" layoutInCell="1" allowOverlap="1">
                <wp:simplePos x="0" y="0"/>
                <wp:positionH relativeFrom="page">
                  <wp:posOffset>5363845</wp:posOffset>
                </wp:positionH>
                <wp:positionV relativeFrom="paragraph">
                  <wp:posOffset>537210</wp:posOffset>
                </wp:positionV>
                <wp:extent cx="582295" cy="161290"/>
                <wp:wrapTopAndBottom/>
                <wp:docPr id="133" name="Shape 133"/>
                <a:graphic xmlns:a="http://schemas.openxmlformats.org/drawingml/2006/main">
                  <a:graphicData uri="http://schemas.microsoft.com/office/word/2010/wordprocessingShape">
                    <wps:wsp>
                      <wps:cNvSpPr txBox="1"/>
                      <wps:spPr>
                        <a:xfrm>
                          <a:ext cx="582295"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2014-8-25</w:t>
                            </w:r>
                          </w:p>
                        </w:txbxContent>
                      </wps:txbx>
                      <wps:bodyPr wrap="none" lIns="0" tIns="0" rIns="0" bIns="0">
                        <a:noAutoFit/>
                      </wps:bodyPr>
                    </wps:wsp>
                  </a:graphicData>
                </a:graphic>
              </wp:anchor>
            </w:drawing>
          </mc:Choice>
          <mc:Fallback>
            <w:pict>
              <v:shape id="_x0000_s1159" type="#_x0000_t202" style="position:absolute;margin-left:422.35000000000002pt;margin-top:42.300000000000004pt;width:45.850000000000001pt;height:12.700000000000001pt;z-index:-125829321;mso-wrap-distance-left:0;mso-wrap-distance-top:42.300000000000004pt;mso-wrap-distance-right:0;mso-wrap-distance-bottom:34.100000000000001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2014-8-25</w:t>
                      </w:r>
                    </w:p>
                  </w:txbxContent>
                </v:textbox>
                <w10:wrap type="topAndBottom" anchorx="page"/>
              </v:shape>
            </w:pict>
          </mc:Fallback>
        </mc:AlternateContent>
      </w:r>
    </w:p>
    <w:p>
      <w:pPr>
        <w:widowControl w:val="0"/>
        <w:spacing w:line="180" w:lineRule="exact"/>
        <w:rPr>
          <w:sz w:val="14"/>
          <w:szCs w:val="14"/>
        </w:rPr>
      </w:pPr>
    </w:p>
    <w:p>
      <w:pPr>
        <w:widowControl w:val="0"/>
        <w:spacing w:line="1" w:lineRule="exact"/>
        <w:sectPr>
          <w:footnotePr>
            <w:pos w:val="pageBottom"/>
            <w:numFmt w:val="decimal"/>
            <w:numRestart w:val="continuous"/>
          </w:footnotePr>
          <w:type w:val="continuous"/>
          <w:pgSz w:w="12240" w:h="15840"/>
          <w:pgMar w:top="1450" w:right="0" w:bottom="1464" w:left="0" w:header="0" w:footer="3" w:gutter="0"/>
          <w:cols w:space="720"/>
          <w:noEndnote/>
          <w:rtlGutter w:val="0"/>
          <w:docGrid w:linePitch="360"/>
        </w:sectPr>
      </w:pPr>
    </w:p>
    <w:p>
      <w:pPr>
        <w:pStyle w:val="Style13"/>
        <w:keepNext w:val="0"/>
        <w:keepLines w:val="0"/>
        <w:widowControl w:val="0"/>
        <w:shd w:val="clear" w:color="auto" w:fill="auto"/>
        <w:bidi w:val="0"/>
        <w:spacing w:before="0" w:after="0" w:line="240" w:lineRule="auto"/>
        <w:ind w:left="0" w:right="0" w:firstLine="0"/>
        <w:jc w:val="left"/>
      </w:pPr>
      <w:bookmarkStart w:id="216" w:name="bookmark216"/>
      <w:r>
        <w:rPr>
          <w:rFonts w:ascii="Arial Unicode MS" w:eastAsia="Arial Unicode MS" w:hAnsi="Arial Unicode MS" w:cs="Arial Unicode MS"/>
          <w:color w:val="000000"/>
          <w:spacing w:val="0"/>
          <w:w w:val="100"/>
          <w:position w:val="0"/>
          <w:sz w:val="17"/>
          <w:szCs w:val="17"/>
        </w:rPr>
        <w:t>3</w:t>
      </w:r>
      <w:bookmarkEnd w:id="216"/>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已贴现票据</w:t>
      </w:r>
    </w:p>
    <w:p>
      <w:pPr>
        <w:widowControl w:val="0"/>
        <w:spacing w:line="1" w:lineRule="exact"/>
        <w:sectPr>
          <w:footnotePr>
            <w:pos w:val="pageBottom"/>
            <w:numFmt w:val="decimal"/>
            <w:numRestart w:val="continuous"/>
          </w:footnotePr>
          <w:type w:val="continuous"/>
          <w:pgSz w:w="12240" w:h="15840"/>
          <w:pgMar w:top="1450" w:right="1142" w:bottom="1464" w:left="1776" w:header="0" w:footer="3" w:gutter="0"/>
          <w:cols w:space="720"/>
          <w:noEndnote/>
          <w:rtlGutter w:val="0"/>
          <w:docGrid w:linePitch="360"/>
        </w:sectPr>
      </w:pPr>
      <w:r>
        <mc:AlternateContent>
          <mc:Choice Requires="wps">
            <w:drawing>
              <wp:anchor distT="101600" distB="511810" distL="0" distR="0" simplePos="0" relativeHeight="125829434" behindDoc="0" locked="0" layoutInCell="1" allowOverlap="1">
                <wp:simplePos x="0" y="0"/>
                <wp:positionH relativeFrom="page">
                  <wp:posOffset>1139190</wp:posOffset>
                </wp:positionH>
                <wp:positionV relativeFrom="paragraph">
                  <wp:posOffset>101600</wp:posOffset>
                </wp:positionV>
                <wp:extent cx="414655" cy="170815"/>
                <wp:wrapTopAndBottom/>
                <wp:docPr id="135" name="Shape 135"/>
                <a:graphic xmlns:a="http://schemas.openxmlformats.org/drawingml/2006/main">
                  <a:graphicData uri="http://schemas.microsoft.com/office/word/2010/wordprocessingShape">
                    <wps:wsp>
                      <wps:cNvSpPr txBox="1"/>
                      <wps:spPr>
                        <a:xfrm>
                          <a:ext cx="414655" cy="1708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出票人</w:t>
                            </w:r>
                          </w:p>
                        </w:txbxContent>
                      </wps:txbx>
                      <wps:bodyPr wrap="none" lIns="0" tIns="0" rIns="0" bIns="0">
                        <a:noAutoFit/>
                      </wps:bodyPr>
                    </wps:wsp>
                  </a:graphicData>
                </a:graphic>
              </wp:anchor>
            </w:drawing>
          </mc:Choice>
          <mc:Fallback>
            <w:pict>
              <v:shape id="_x0000_s1161" type="#_x0000_t202" style="position:absolute;margin-left:89.700000000000003pt;margin-top:8.pt;width:32.649999999999999pt;height:13.450000000000001pt;z-index:-125829319;mso-wrap-distance-left:0;mso-wrap-distance-top:8.pt;mso-wrap-distance-right:0;mso-wrap-distance-bottom:40.300000000000004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出票人</w:t>
                      </w:r>
                    </w:p>
                  </w:txbxContent>
                </v:textbox>
                <w10:wrap type="topAndBottom" anchorx="page"/>
              </v:shape>
            </w:pict>
          </mc:Fallback>
        </mc:AlternateContent>
      </w:r>
      <w:r>
        <mc:AlternateContent>
          <mc:Choice Requires="wps">
            <w:drawing>
              <wp:anchor distT="101600" distB="514985" distL="0" distR="0" simplePos="0" relativeHeight="125829436" behindDoc="0" locked="0" layoutInCell="1" allowOverlap="1">
                <wp:simplePos x="0" y="0"/>
                <wp:positionH relativeFrom="page">
                  <wp:posOffset>3206115</wp:posOffset>
                </wp:positionH>
                <wp:positionV relativeFrom="paragraph">
                  <wp:posOffset>101600</wp:posOffset>
                </wp:positionV>
                <wp:extent cx="1639570" cy="167640"/>
                <wp:wrapTopAndBottom/>
                <wp:docPr id="137" name="Shape 137"/>
                <a:graphic xmlns:a="http://schemas.openxmlformats.org/drawingml/2006/main">
                  <a:graphicData uri="http://schemas.microsoft.com/office/word/2010/wordprocessingShape">
                    <wps:wsp>
                      <wps:cNvSpPr txBox="1"/>
                      <wps:spPr>
                        <a:xfrm>
                          <a:ext cx="1639570" cy="167640"/>
                        </a:xfrm>
                        <a:prstGeom prst="rect"/>
                        <a:noFill/>
                      </wps:spPr>
                      <wps:txbx>
                        <w:txbxContent>
                          <w:p>
                            <w:pPr>
                              <w:pStyle w:val="Style13"/>
                              <w:keepNext w:val="0"/>
                              <w:keepLines w:val="0"/>
                              <w:widowControl w:val="0"/>
                              <w:shd w:val="clear" w:color="auto" w:fill="auto"/>
                              <w:tabs>
                                <w:tab w:pos="1694" w:val="left"/>
                              </w:tabs>
                              <w:bidi w:val="0"/>
                              <w:spacing w:before="0" w:after="0" w:line="240" w:lineRule="auto"/>
                              <w:ind w:left="0" w:right="0" w:firstLine="0"/>
                              <w:jc w:val="center"/>
                            </w:pPr>
                            <w:r>
                              <w:rPr>
                                <w:color w:val="000000"/>
                                <w:spacing w:val="0"/>
                                <w:w w:val="100"/>
                                <w:position w:val="0"/>
                              </w:rPr>
                              <w:t>贷款金融机构</w:t>
                              <w:tab/>
                              <w:t>票面金额</w:t>
                            </w:r>
                          </w:p>
                        </w:txbxContent>
                      </wps:txbx>
                      <wps:bodyPr wrap="none" lIns="0" tIns="0" rIns="0" bIns="0">
                        <a:noAutoFit/>
                      </wps:bodyPr>
                    </wps:wsp>
                  </a:graphicData>
                </a:graphic>
              </wp:anchor>
            </w:drawing>
          </mc:Choice>
          <mc:Fallback>
            <w:pict>
              <v:shape id="_x0000_s1163" type="#_x0000_t202" style="position:absolute;margin-left:252.45000000000002pt;margin-top:8.pt;width:129.09999999999999pt;height:13.200000000000001pt;z-index:-125829317;mso-wrap-distance-left:0;mso-wrap-distance-top:8.pt;mso-wrap-distance-right:0;mso-wrap-distance-bottom:40.550000000000004pt;mso-position-horizontal-relative:page" filled="f" stroked="f">
                <v:textbox inset="0,0,0,0">
                  <w:txbxContent>
                    <w:p>
                      <w:pPr>
                        <w:pStyle w:val="Style13"/>
                        <w:keepNext w:val="0"/>
                        <w:keepLines w:val="0"/>
                        <w:widowControl w:val="0"/>
                        <w:shd w:val="clear" w:color="auto" w:fill="auto"/>
                        <w:tabs>
                          <w:tab w:pos="1694" w:val="left"/>
                        </w:tabs>
                        <w:bidi w:val="0"/>
                        <w:spacing w:before="0" w:after="0" w:line="240" w:lineRule="auto"/>
                        <w:ind w:left="0" w:right="0" w:firstLine="0"/>
                        <w:jc w:val="center"/>
                      </w:pPr>
                      <w:r>
                        <w:rPr>
                          <w:color w:val="000000"/>
                          <w:spacing w:val="0"/>
                          <w:w w:val="100"/>
                          <w:position w:val="0"/>
                        </w:rPr>
                        <w:t>贷款金融机构</w:t>
                        <w:tab/>
                        <w:t>票面金额</w:t>
                      </w:r>
                    </w:p>
                  </w:txbxContent>
                </v:textbox>
                <w10:wrap type="topAndBottom" anchorx="page"/>
              </v:shape>
            </w:pict>
          </mc:Fallback>
        </mc:AlternateContent>
      </w:r>
      <w:r>
        <mc:AlternateContent>
          <mc:Choice Requires="wps">
            <w:drawing>
              <wp:anchor distT="448945" distB="176530" distL="0" distR="0" simplePos="0" relativeHeight="125829438" behindDoc="0" locked="0" layoutInCell="1" allowOverlap="1">
                <wp:simplePos x="0" y="0"/>
                <wp:positionH relativeFrom="page">
                  <wp:posOffset>1130300</wp:posOffset>
                </wp:positionH>
                <wp:positionV relativeFrom="paragraph">
                  <wp:posOffset>448945</wp:posOffset>
                </wp:positionV>
                <wp:extent cx="557530" cy="158750"/>
                <wp:wrapTopAndBottom/>
                <wp:docPr id="139" name="Shape 139"/>
                <a:graphic xmlns:a="http://schemas.openxmlformats.org/drawingml/2006/main">
                  <a:graphicData uri="http://schemas.microsoft.com/office/word/2010/wordprocessingShape">
                    <wps:wsp>
                      <wps:cNvSpPr txBox="1"/>
                      <wps:spPr>
                        <a:xfrm>
                          <a:ext cx="557530" cy="1587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纺织公司</w:t>
                            </w:r>
                          </w:p>
                        </w:txbxContent>
                      </wps:txbx>
                      <wps:bodyPr wrap="none" lIns="0" tIns="0" rIns="0" bIns="0">
                        <a:noAutoFit/>
                      </wps:bodyPr>
                    </wps:wsp>
                  </a:graphicData>
                </a:graphic>
              </wp:anchor>
            </w:drawing>
          </mc:Choice>
          <mc:Fallback>
            <w:pict>
              <v:shape id="_x0000_s1165" type="#_x0000_t202" style="position:absolute;margin-left:89.pt;margin-top:35.350000000000001pt;width:43.899999999999999pt;height:12.5pt;z-index:-125829315;mso-wrap-distance-left:0;mso-wrap-distance-top:35.350000000000001pt;mso-wrap-distance-right:0;mso-wrap-distance-bottom:13.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纺织公司</w:t>
                      </w:r>
                    </w:p>
                  </w:txbxContent>
                </v:textbox>
                <w10:wrap type="topAndBottom" anchorx="page"/>
              </v:shape>
            </w:pict>
          </mc:Fallback>
        </mc:AlternateContent>
      </w:r>
      <w:r>
        <mc:AlternateContent>
          <mc:Choice Requires="wps">
            <w:drawing>
              <wp:anchor distT="101600" distB="0" distL="0" distR="0" simplePos="0" relativeHeight="125829440" behindDoc="0" locked="0" layoutInCell="1" allowOverlap="1">
                <wp:simplePos x="0" y="0"/>
                <wp:positionH relativeFrom="page">
                  <wp:posOffset>2112010</wp:posOffset>
                </wp:positionH>
                <wp:positionV relativeFrom="paragraph">
                  <wp:posOffset>101600</wp:posOffset>
                </wp:positionV>
                <wp:extent cx="2968625" cy="682625"/>
                <wp:wrapTopAndBottom/>
                <wp:docPr id="141" name="Shape 141"/>
                <a:graphic xmlns:a="http://schemas.openxmlformats.org/drawingml/2006/main">
                  <a:graphicData uri="http://schemas.microsoft.com/office/word/2010/wordprocessingShape">
                    <wps:wsp>
                      <wps:cNvSpPr txBox="1"/>
                      <wps:spPr>
                        <a:xfrm>
                          <a:ext cx="2968625" cy="682625"/>
                        </a:xfrm>
                        <a:prstGeom prst="rect"/>
                        <a:noFill/>
                      </wps:spPr>
                      <wps:txbx>
                        <w:txbxContent>
                          <w:p>
                            <w:pPr>
                              <w:pStyle w:val="Style13"/>
                              <w:keepNext w:val="0"/>
                              <w:keepLines w:val="0"/>
                              <w:widowControl w:val="0"/>
                              <w:shd w:val="clear" w:color="auto" w:fill="auto"/>
                              <w:bidi w:val="0"/>
                              <w:spacing w:before="0" w:after="40" w:line="245" w:lineRule="exact"/>
                              <w:ind w:left="0" w:right="0" w:firstLine="0"/>
                              <w:jc w:val="left"/>
                            </w:pPr>
                            <w:r>
                              <w:rPr>
                                <w:color w:val="000000"/>
                                <w:spacing w:val="0"/>
                                <w:w w:val="100"/>
                                <w:position w:val="0"/>
                              </w:rPr>
                              <w:t>开立条件</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存入保证金</w:t>
                            </w:r>
                            <w:r>
                              <w:rPr>
                                <w:rFonts w:ascii="Calibri" w:eastAsia="Calibri" w:hAnsi="Calibri" w:cs="Calibri"/>
                                <w:color w:val="000000"/>
                                <w:spacing w:val="0"/>
                                <w:w w:val="100"/>
                                <w:position w:val="0"/>
                                <w:sz w:val="20"/>
                                <w:szCs w:val="20"/>
                                <w:vertAlign w:val="superscript"/>
                              </w:rPr>
                              <w:t>426</w:t>
                            </w:r>
                            <w:r>
                              <w:rPr>
                                <w:color w:val="000000"/>
                                <w:spacing w:val="0"/>
                                <w:w w:val="100"/>
                                <w:position w:val="0"/>
                              </w:rPr>
                              <w:t>万交通银行股份有限</w:t>
                            </w:r>
                          </w:p>
                          <w:p>
                            <w:pPr>
                              <w:pStyle w:val="Style13"/>
                              <w:keepNext w:val="0"/>
                              <w:keepLines w:val="0"/>
                              <w:widowControl w:val="0"/>
                              <w:shd w:val="clear" w:color="auto" w:fill="auto"/>
                              <w:tabs>
                                <w:tab w:pos="1728" w:val="left"/>
                              </w:tabs>
                              <w:bidi w:val="0"/>
                              <w:spacing w:before="0" w:after="0" w:line="245" w:lineRule="exact"/>
                              <w:ind w:left="0" w:right="0" w:firstLine="0"/>
                              <w:jc w:val="left"/>
                            </w:pPr>
                            <w:r>
                              <w:rPr>
                                <w:color w:val="000000"/>
                                <w:spacing w:val="0"/>
                                <w:w w:val="100"/>
                                <w:position w:val="0"/>
                              </w:rPr>
                              <w:t>元，余额以房屋</w:t>
                            </w:r>
                            <w:r>
                              <w:rPr>
                                <w:rFonts w:ascii="Times New Roman" w:eastAsia="Times New Roman" w:hAnsi="Times New Roman" w:cs="Times New Roman"/>
                                <w:color w:val="000000"/>
                                <w:spacing w:val="0"/>
                                <w:w w:val="100"/>
                                <w:position w:val="0"/>
                              </w:rPr>
                              <w:t>/</w:t>
                            </w:r>
                            <w:r>
                              <w:rPr>
                                <w:color w:val="000000"/>
                                <w:spacing w:val="0"/>
                                <w:w w:val="100"/>
                                <w:position w:val="0"/>
                              </w:rPr>
                              <w:t>土八『织垃法既古右</w:t>
                            </w:r>
                            <w:r>
                              <w:rPr>
                                <w:rFonts w:ascii="Times New Roman" w:eastAsia="Times New Roman" w:hAnsi="Times New Roman" w:cs="Times New Roman"/>
                                <w:color w:val="000000"/>
                                <w:spacing w:val="0"/>
                                <w:w w:val="100"/>
                                <w:position w:val="0"/>
                              </w:rPr>
                              <w:t xml:space="preserve">14,200,000.00 </w:t>
                            </w:r>
                            <w:r>
                              <w:rPr>
                                <w:color w:val="000000"/>
                                <w:spacing w:val="0"/>
                                <w:w w:val="100"/>
                                <w:position w:val="0"/>
                              </w:rPr>
                              <w:t>地使用权抵押</w:t>
                              <w:tab/>
                              <w:t>公司绍兴诸暨支行</w:t>
                            </w:r>
                          </w:p>
                        </w:txbxContent>
                      </wps:txbx>
                      <wps:bodyPr lIns="0" tIns="0" rIns="0" bIns="0">
                        <a:noAutoFit/>
                      </wps:bodyPr>
                    </wps:wsp>
                  </a:graphicData>
                </a:graphic>
              </wp:anchor>
            </w:drawing>
          </mc:Choice>
          <mc:Fallback>
            <w:pict>
              <v:shape id="_x0000_s1167" type="#_x0000_t202" style="position:absolute;margin-left:166.30000000000001pt;margin-top:8.pt;width:233.75pt;height:53.75pt;z-index:-125829313;mso-wrap-distance-left:0;mso-wrap-distance-top:8.pt;mso-wrap-distance-right:0;mso-position-horizontal-relative:page" filled="f" stroked="f">
                <v:textbox inset="0,0,0,0">
                  <w:txbxContent>
                    <w:p>
                      <w:pPr>
                        <w:pStyle w:val="Style13"/>
                        <w:keepNext w:val="0"/>
                        <w:keepLines w:val="0"/>
                        <w:widowControl w:val="0"/>
                        <w:shd w:val="clear" w:color="auto" w:fill="auto"/>
                        <w:bidi w:val="0"/>
                        <w:spacing w:before="0" w:after="40" w:line="245" w:lineRule="exact"/>
                        <w:ind w:left="0" w:right="0" w:firstLine="0"/>
                        <w:jc w:val="left"/>
                      </w:pPr>
                      <w:r>
                        <w:rPr>
                          <w:color w:val="000000"/>
                          <w:spacing w:val="0"/>
                          <w:w w:val="100"/>
                          <w:position w:val="0"/>
                        </w:rPr>
                        <w:t>开立条件</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存入保证金</w:t>
                      </w:r>
                      <w:r>
                        <w:rPr>
                          <w:rFonts w:ascii="Calibri" w:eastAsia="Calibri" w:hAnsi="Calibri" w:cs="Calibri"/>
                          <w:color w:val="000000"/>
                          <w:spacing w:val="0"/>
                          <w:w w:val="100"/>
                          <w:position w:val="0"/>
                          <w:sz w:val="20"/>
                          <w:szCs w:val="20"/>
                          <w:vertAlign w:val="superscript"/>
                        </w:rPr>
                        <w:t>426</w:t>
                      </w:r>
                      <w:r>
                        <w:rPr>
                          <w:color w:val="000000"/>
                          <w:spacing w:val="0"/>
                          <w:w w:val="100"/>
                          <w:position w:val="0"/>
                        </w:rPr>
                        <w:t>万交通银行股份有限</w:t>
                      </w:r>
                    </w:p>
                    <w:p>
                      <w:pPr>
                        <w:pStyle w:val="Style13"/>
                        <w:keepNext w:val="0"/>
                        <w:keepLines w:val="0"/>
                        <w:widowControl w:val="0"/>
                        <w:shd w:val="clear" w:color="auto" w:fill="auto"/>
                        <w:tabs>
                          <w:tab w:pos="1728" w:val="left"/>
                        </w:tabs>
                        <w:bidi w:val="0"/>
                        <w:spacing w:before="0" w:after="0" w:line="245" w:lineRule="exact"/>
                        <w:ind w:left="0" w:right="0" w:firstLine="0"/>
                        <w:jc w:val="left"/>
                      </w:pPr>
                      <w:r>
                        <w:rPr>
                          <w:color w:val="000000"/>
                          <w:spacing w:val="0"/>
                          <w:w w:val="100"/>
                          <w:position w:val="0"/>
                        </w:rPr>
                        <w:t>元，余额以房屋</w:t>
                      </w:r>
                      <w:r>
                        <w:rPr>
                          <w:rFonts w:ascii="Times New Roman" w:eastAsia="Times New Roman" w:hAnsi="Times New Roman" w:cs="Times New Roman"/>
                          <w:color w:val="000000"/>
                          <w:spacing w:val="0"/>
                          <w:w w:val="100"/>
                          <w:position w:val="0"/>
                        </w:rPr>
                        <w:t>/</w:t>
                      </w:r>
                      <w:r>
                        <w:rPr>
                          <w:color w:val="000000"/>
                          <w:spacing w:val="0"/>
                          <w:w w:val="100"/>
                          <w:position w:val="0"/>
                        </w:rPr>
                        <w:t>土八『织垃法既古右</w:t>
                      </w:r>
                      <w:r>
                        <w:rPr>
                          <w:rFonts w:ascii="Times New Roman" w:eastAsia="Times New Roman" w:hAnsi="Times New Roman" w:cs="Times New Roman"/>
                          <w:color w:val="000000"/>
                          <w:spacing w:val="0"/>
                          <w:w w:val="100"/>
                          <w:position w:val="0"/>
                        </w:rPr>
                        <w:t xml:space="preserve">14,200,000.00 </w:t>
                      </w:r>
                      <w:r>
                        <w:rPr>
                          <w:color w:val="000000"/>
                          <w:spacing w:val="0"/>
                          <w:w w:val="100"/>
                          <w:position w:val="0"/>
                        </w:rPr>
                        <w:t>地使用权抵押</w:t>
                        <w:tab/>
                        <w:t>公司绍兴诸暨支行</w:t>
                      </w:r>
                    </w:p>
                  </w:txbxContent>
                </v:textbox>
                <w10:wrap type="topAndBottom" anchorx="page"/>
              </v:shape>
            </w:pict>
          </mc:Fallback>
        </mc:AlternateContent>
      </w:r>
      <w:r>
        <mc:AlternateContent>
          <mc:Choice Requires="wps">
            <w:drawing>
              <wp:anchor distT="101600" distB="521335" distL="0" distR="0" simplePos="0" relativeHeight="125829442" behindDoc="0" locked="0" layoutInCell="1" allowOverlap="1">
                <wp:simplePos x="0" y="0"/>
                <wp:positionH relativeFrom="page">
                  <wp:posOffset>5367020</wp:posOffset>
                </wp:positionH>
                <wp:positionV relativeFrom="paragraph">
                  <wp:posOffset>101600</wp:posOffset>
                </wp:positionV>
                <wp:extent cx="956945" cy="161290"/>
                <wp:wrapTopAndBottom/>
                <wp:docPr id="143" name="Shape 143"/>
                <a:graphic xmlns:a="http://schemas.openxmlformats.org/drawingml/2006/main">
                  <a:graphicData uri="http://schemas.microsoft.com/office/word/2010/wordprocessingShape">
                    <wps:wsp>
                      <wps:cNvSpPr txBox="1"/>
                      <wps:spPr>
                        <a:xfrm>
                          <a:ext cx="956945" cy="1612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借款最后到期日</w:t>
                            </w:r>
                          </w:p>
                        </w:txbxContent>
                      </wps:txbx>
                      <wps:bodyPr wrap="none" lIns="0" tIns="0" rIns="0" bIns="0">
                        <a:noAutoFit/>
                      </wps:bodyPr>
                    </wps:wsp>
                  </a:graphicData>
                </a:graphic>
              </wp:anchor>
            </w:drawing>
          </mc:Choice>
          <mc:Fallback>
            <w:pict>
              <v:shape id="_x0000_s1169" type="#_x0000_t202" style="position:absolute;margin-left:422.60000000000002pt;margin-top:8.pt;width:75.350000000000009pt;height:12.700000000000001pt;z-index:-125829311;mso-wrap-distance-left:0;mso-wrap-distance-top:8.pt;mso-wrap-distance-right:0;mso-wrap-distance-bottom:41.050000000000004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借款最后到期日</w:t>
                      </w:r>
                    </w:p>
                  </w:txbxContent>
                </v:textbox>
                <w10:wrap type="topAndBottom" anchorx="page"/>
              </v:shape>
            </w:pict>
          </mc:Fallback>
        </mc:AlternateContent>
      </w:r>
      <w:r>
        <mc:AlternateContent>
          <mc:Choice Requires="wps">
            <w:drawing>
              <wp:anchor distT="458470" distB="167005" distL="0" distR="0" simplePos="0" relativeHeight="125829444" behindDoc="0" locked="0" layoutInCell="1" allowOverlap="1">
                <wp:simplePos x="0" y="0"/>
                <wp:positionH relativeFrom="page">
                  <wp:posOffset>5363845</wp:posOffset>
                </wp:positionH>
                <wp:positionV relativeFrom="paragraph">
                  <wp:posOffset>458470</wp:posOffset>
                </wp:positionV>
                <wp:extent cx="582295" cy="158750"/>
                <wp:wrapTopAndBottom/>
                <wp:docPr id="145" name="Shape 145"/>
                <a:graphic xmlns:a="http://schemas.openxmlformats.org/drawingml/2006/main">
                  <a:graphicData uri="http://schemas.microsoft.com/office/word/2010/wordprocessingShape">
                    <wps:wsp>
                      <wps:cNvSpPr txBox="1"/>
                      <wps:spPr>
                        <a:xfrm>
                          <a:ext cx="582295"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2014-5-18</w:t>
                            </w:r>
                          </w:p>
                        </w:txbxContent>
                      </wps:txbx>
                      <wps:bodyPr wrap="none" lIns="0" tIns="0" rIns="0" bIns="0">
                        <a:noAutoFit/>
                      </wps:bodyPr>
                    </wps:wsp>
                  </a:graphicData>
                </a:graphic>
              </wp:anchor>
            </w:drawing>
          </mc:Choice>
          <mc:Fallback>
            <w:pict>
              <v:shape id="_x0000_s1171" type="#_x0000_t202" style="position:absolute;margin-left:422.35000000000002pt;margin-top:36.100000000000001pt;width:45.850000000000001pt;height:12.5pt;z-index:-125829309;mso-wrap-distance-left:0;mso-wrap-distance-top:36.100000000000001pt;mso-wrap-distance-right:0;mso-wrap-distance-bottom:13.15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2014-5-18</w:t>
                      </w:r>
                    </w:p>
                  </w:txbxContent>
                </v:textbox>
                <w10:wrap type="topAndBottom" anchorx="page"/>
              </v:shape>
            </w:pict>
          </mc:Fallback>
        </mc:AlternateContent>
      </w:r>
    </w:p>
    <w:p>
      <w:pPr>
        <w:pStyle w:val="Style25"/>
        <w:keepNext w:val="0"/>
        <w:keepLines w:val="0"/>
        <w:widowControl w:val="0"/>
        <w:shd w:val="clear" w:color="auto" w:fill="auto"/>
        <w:bidi w:val="0"/>
        <w:spacing w:before="0" w:after="300" w:line="240" w:lineRule="auto"/>
        <w:ind w:left="0" w:right="0" w:firstLine="0"/>
        <w:jc w:val="center"/>
      </w:pPr>
      <w:r>
        <mc:AlternateContent>
          <mc:Choice Requires="wps">
            <w:drawing>
              <wp:anchor distT="0" distB="0" distL="114300" distR="114300" simplePos="0" relativeHeight="125829446" behindDoc="0" locked="0" layoutInCell="1" allowOverlap="1">
                <wp:simplePos x="0" y="0"/>
                <wp:positionH relativeFrom="page">
                  <wp:posOffset>1132840</wp:posOffset>
                </wp:positionH>
                <wp:positionV relativeFrom="paragraph">
                  <wp:posOffset>12700</wp:posOffset>
                </wp:positionV>
                <wp:extent cx="286385" cy="167640"/>
                <wp:wrapSquare wrapText="right"/>
                <wp:docPr id="147" name="Shape 147"/>
                <a:graphic xmlns:a="http://schemas.openxmlformats.org/drawingml/2006/main">
                  <a:graphicData uri="http://schemas.microsoft.com/office/word/2010/wordprocessingShape">
                    <wps:wsp>
                      <wps:cNvSpPr txBox="1"/>
                      <wps:spPr>
                        <a:xfrm>
                          <a:ext cx="286385" cy="1676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xbxContent>
                      </wps:txbx>
                      <wps:bodyPr wrap="none" lIns="0" tIns="0" rIns="0" bIns="0">
                        <a:noAutoFit/>
                      </wps:bodyPr>
                    </wps:wsp>
                  </a:graphicData>
                </a:graphic>
              </wp:anchor>
            </w:drawing>
          </mc:Choice>
          <mc:Fallback>
            <w:pict>
              <v:shape id="_x0000_s1173" type="#_x0000_t202" style="position:absolute;margin-left:89.200000000000003pt;margin-top:1.pt;width:22.550000000000001pt;height:13.200000000000001pt;z-index:-125829307;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xbxContent>
                </v:textbox>
                <w10:wrap type="square" side="right" anchorx="page"/>
              </v:shape>
            </w:pict>
          </mc:Fallback>
        </mc:AlternateContent>
      </w:r>
      <w:r>
        <w:rPr>
          <w:color w:val="000000"/>
          <w:spacing w:val="0"/>
          <w:w w:val="100"/>
          <w:position w:val="0"/>
        </w:rPr>
        <w:t>14,200,000.00</w:t>
      </w:r>
    </w:p>
    <w:p>
      <w:pPr>
        <w:pStyle w:val="Style13"/>
        <w:keepNext w:val="0"/>
        <w:keepLines w:val="0"/>
        <w:widowControl w:val="0"/>
        <w:shd w:val="clear" w:color="auto" w:fill="auto"/>
        <w:bidi w:val="0"/>
        <w:spacing w:before="0" w:after="0" w:line="240" w:lineRule="auto"/>
        <w:ind w:left="0" w:right="0" w:firstLine="0"/>
        <w:jc w:val="left"/>
      </w:pPr>
      <w:bookmarkStart w:id="217" w:name="bookmark217"/>
      <w:r>
        <w:rPr>
          <w:rFonts w:ascii="Arial Unicode MS" w:eastAsia="Arial Unicode MS" w:hAnsi="Arial Unicode MS" w:cs="Arial Unicode MS"/>
          <w:color w:val="000000"/>
          <w:spacing w:val="0"/>
          <w:w w:val="100"/>
          <w:position w:val="0"/>
          <w:sz w:val="17"/>
          <w:szCs w:val="17"/>
        </w:rPr>
        <w:t>4</w:t>
      </w:r>
      <w:bookmarkEnd w:id="217"/>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抵押兼保证借款</w:t>
      </w:r>
    </w:p>
    <w:p>
      <w:pPr>
        <w:widowControl w:val="0"/>
        <w:spacing w:line="1" w:lineRule="exact"/>
      </w:pPr>
      <w:r>
        <mc:AlternateContent>
          <mc:Choice Requires="wps">
            <w:drawing>
              <wp:anchor distT="100965" distB="186055" distL="0" distR="0" simplePos="0" relativeHeight="125829448" behindDoc="0" locked="0" layoutInCell="1" allowOverlap="1">
                <wp:simplePos x="0" y="0"/>
                <wp:positionH relativeFrom="page">
                  <wp:posOffset>1127125</wp:posOffset>
                </wp:positionH>
                <wp:positionV relativeFrom="paragraph">
                  <wp:posOffset>100965</wp:posOffset>
                </wp:positionV>
                <wp:extent cx="3818890" cy="1889760"/>
                <wp:wrapTopAndBottom/>
                <wp:docPr id="149" name="Shape 149"/>
                <a:graphic xmlns:a="http://schemas.openxmlformats.org/drawingml/2006/main">
                  <a:graphicData uri="http://schemas.microsoft.com/office/word/2010/wordprocessingShape">
                    <wps:wsp>
                      <wps:cNvSpPr txBox="1"/>
                      <wps:spPr>
                        <a:xfrm>
                          <a:ext cx="3818890" cy="1889760"/>
                        </a:xfrm>
                        <a:prstGeom prst="rect"/>
                        <a:noFill/>
                      </wps:spPr>
                      <wps:txbx>
                        <w:txbxContent>
                          <w:p>
                            <w:pPr>
                              <w:pStyle w:val="Style13"/>
                              <w:keepNext w:val="0"/>
                              <w:keepLines w:val="0"/>
                              <w:widowControl w:val="0"/>
                              <w:shd w:val="clear" w:color="auto" w:fill="auto"/>
                              <w:tabs>
                                <w:tab w:pos="5021" w:val="left"/>
                              </w:tabs>
                              <w:bidi w:val="0"/>
                              <w:spacing w:before="0" w:after="0" w:line="240" w:lineRule="auto"/>
                              <w:ind w:left="0" w:right="0" w:firstLine="0"/>
                              <w:jc w:val="left"/>
                            </w:pPr>
                            <w:r>
                              <w:rPr>
                                <w:rFonts w:ascii="SimHei" w:eastAsia="SimHei" w:hAnsi="SimHei" w:cs="SimHei"/>
                                <w:color w:val="000000"/>
                                <w:spacing w:val="0"/>
                                <w:w w:val="100"/>
                                <w:position w:val="0"/>
                                <w:sz w:val="19"/>
                                <w:szCs w:val="19"/>
                                <w:vertAlign w:val="superscript"/>
                              </w:rPr>
                              <w:t>借款人</w:t>
                            </w:r>
                            <w:r>
                              <w:rPr>
                                <w:rFonts w:ascii="Calibri" w:eastAsia="Calibri" w:hAnsi="Calibri" w:cs="Calibri"/>
                                <w:color w:val="000000"/>
                                <w:spacing w:val="0"/>
                                <w:w w:val="100"/>
                                <w:position w:val="0"/>
                                <w:sz w:val="20"/>
                                <w:szCs w:val="20"/>
                                <w:vertAlign w:val="superscript"/>
                              </w:rPr>
                              <w:t>/</w:t>
                            </w:r>
                            <w:r>
                              <w:rPr>
                                <w:color w:val="000000"/>
                                <w:spacing w:val="0"/>
                                <w:w w:val="100"/>
                                <w:position w:val="0"/>
                              </w:rPr>
                              <w:t xml:space="preserve">抵押权人 抵押物 </w:t>
                            </w:r>
                            <w:r>
                              <w:rPr>
                                <w:rFonts w:ascii="SimHei" w:eastAsia="SimHei" w:hAnsi="SimHei" w:cs="SimHei"/>
                                <w:color w:val="000000"/>
                                <w:spacing w:val="0"/>
                                <w:w w:val="100"/>
                                <w:position w:val="0"/>
                                <w:sz w:val="19"/>
                                <w:szCs w:val="19"/>
                                <w:vertAlign w:val="superscript"/>
                              </w:rPr>
                              <w:t>抵押物</w:t>
                            </w:r>
                            <w:r>
                              <w:rPr>
                                <w:rFonts w:ascii="SimHei" w:eastAsia="SimHei" w:hAnsi="SimHei" w:cs="SimHei"/>
                                <w:color w:val="000000"/>
                                <w:spacing w:val="0"/>
                                <w:w w:val="100"/>
                                <w:position w:val="0"/>
                                <w:sz w:val="19"/>
                                <w:szCs w:val="19"/>
                              </w:rPr>
                              <w:tab/>
                            </w:r>
                            <w:r>
                              <w:rPr>
                                <w:color w:val="000000"/>
                                <w:spacing w:val="0"/>
                                <w:w w:val="100"/>
                                <w:position w:val="0"/>
                              </w:rPr>
                              <w:t>担保人</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抵押人抵押权人抵押物账面原价账面净值担保人</w:t>
                            </w:r>
                          </w:p>
                          <w:p>
                            <w:pPr>
                              <w:pStyle w:val="Style13"/>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中国工商房屋及</w:t>
                            </w:r>
                          </w:p>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银行股份建筑物 </w:t>
                            </w:r>
                            <w:r>
                              <w:rPr>
                                <w:rFonts w:ascii="Calibri" w:eastAsia="Calibri" w:hAnsi="Calibri" w:cs="Calibri"/>
                                <w:color w:val="000000"/>
                                <w:spacing w:val="0"/>
                                <w:w w:val="100"/>
                                <w:position w:val="0"/>
                                <w:sz w:val="20"/>
                                <w:szCs w:val="20"/>
                                <w:vertAlign w:val="superscript"/>
                              </w:rPr>
                              <w:t>24,352,760.39 22,263,999.73</w:t>
                            </w:r>
                          </w:p>
                          <w:p>
                            <w:pPr>
                              <w:pStyle w:val="Style13"/>
                              <w:keepNext w:val="0"/>
                              <w:keepLines w:val="0"/>
                              <w:widowControl w:val="0"/>
                              <w:shd w:val="clear" w:color="auto" w:fill="auto"/>
                              <w:tabs>
                                <w:tab w:pos="5131" w:val="left"/>
                              </w:tabs>
                              <w:bidi w:val="0"/>
                              <w:spacing w:before="0" w:after="0" w:line="240" w:lineRule="auto"/>
                              <w:ind w:left="0" w:right="0" w:firstLine="720"/>
                              <w:jc w:val="left"/>
                            </w:pPr>
                            <w:r>
                              <w:rPr>
                                <w:color w:val="000000"/>
                                <w:spacing w:val="0"/>
                                <w:w w:val="100"/>
                                <w:position w:val="0"/>
                              </w:rPr>
                              <w:t>有限公司土地使</w:t>
                            </w:r>
                            <w:r>
                              <w:rPr>
                                <w:rFonts w:ascii="Times New Roman" w:eastAsia="Times New Roman" w:hAnsi="Times New Roman" w:cs="Times New Roman"/>
                                <w:color w:val="000000"/>
                                <w:spacing w:val="0"/>
                                <w:w w:val="100"/>
                                <w:position w:val="0"/>
                              </w:rPr>
                              <w:t>6</w:t>
                              <w:tab/>
                            </w:r>
                            <w:r>
                              <w:rPr>
                                <w:color w:val="000000"/>
                                <w:spacing w:val="0"/>
                                <w:w w:val="100"/>
                                <w:position w:val="0"/>
                              </w:rPr>
                              <w:t>'染公可</w:t>
                            </w:r>
                          </w:p>
                          <w:p>
                            <w:pPr>
                              <w:pStyle w:val="Style25"/>
                              <w:keepNext w:val="0"/>
                              <w:keepLines w:val="0"/>
                              <w:widowControl w:val="0"/>
                              <w:shd w:val="clear" w:color="auto" w:fill="auto"/>
                              <w:tabs>
                                <w:tab w:pos="3792" w:val="left"/>
                              </w:tabs>
                              <w:bidi w:val="0"/>
                              <w:spacing w:before="0" w:after="80" w:line="240" w:lineRule="auto"/>
                              <w:ind w:left="0" w:right="0" w:firstLine="720"/>
                              <w:jc w:val="left"/>
                            </w:pPr>
                            <w:r>
                              <w:rPr>
                                <w:rFonts w:ascii="SimHei" w:eastAsia="SimHei" w:hAnsi="SimHei" w:cs="SimHei"/>
                                <w:color w:val="000000"/>
                                <w:spacing w:val="0"/>
                                <w:w w:val="100"/>
                                <w:position w:val="0"/>
                                <w:sz w:val="19"/>
                                <w:szCs w:val="19"/>
                                <w:vertAlign w:val="subscript"/>
                              </w:rPr>
                              <w:t>德清支行 用权</w:t>
                            </w:r>
                            <w:r>
                              <w:rPr>
                                <w:rFonts w:ascii="SimHei" w:eastAsia="SimHei" w:hAnsi="SimHei" w:cs="SimHei"/>
                                <w:color w:val="000000"/>
                                <w:spacing w:val="0"/>
                                <w:w w:val="100"/>
                                <w:position w:val="0"/>
                                <w:sz w:val="19"/>
                                <w:szCs w:val="19"/>
                              </w:rPr>
                              <w:t xml:space="preserve"> </w:t>
                            </w:r>
                            <w:r>
                              <w:rPr>
                                <w:color w:val="000000"/>
                                <w:spacing w:val="0"/>
                                <w:w w:val="100"/>
                                <w:position w:val="0"/>
                              </w:rPr>
                              <w:t>6,669,627.81</w:t>
                              <w:tab/>
                              <w:t>5,834,432.64</w:t>
                            </w:r>
                          </w:p>
                          <w:p>
                            <w:pPr>
                              <w:pStyle w:val="Style25"/>
                              <w:keepNext w:val="0"/>
                              <w:keepLines w:val="0"/>
                              <w:widowControl w:val="0"/>
                              <w:shd w:val="clear" w:color="auto" w:fill="auto"/>
                              <w:tabs>
                                <w:tab w:pos="691" w:val="left"/>
                              </w:tabs>
                              <w:bidi w:val="0"/>
                              <w:spacing w:before="0" w:after="0" w:line="254" w:lineRule="exact"/>
                              <w:ind w:left="0" w:right="0" w:firstLine="0"/>
                              <w:jc w:val="left"/>
                            </w:pPr>
                            <w:r>
                              <w:rPr>
                                <w:rFonts w:ascii="SimSun" w:eastAsia="SimSun" w:hAnsi="SimSun" w:cs="SimSun"/>
                                <w:color w:val="000000"/>
                                <w:spacing w:val="0"/>
                                <w:w w:val="100"/>
                                <w:position w:val="0"/>
                              </w:rPr>
                              <w:t>明贝公浦发银行用器订 司</w:t>
                              <w:tab/>
                              <w:t>湖州德清机器设</w:t>
                            </w:r>
                            <w:r>
                              <w:rPr>
                                <w:color w:val="000000"/>
                                <w:spacing w:val="0"/>
                                <w:w w:val="100"/>
                                <w:position w:val="0"/>
                              </w:rPr>
                              <w:t>79,724,078.19 49,655,132.52</w:t>
                            </w:r>
                            <w:r>
                              <w:rPr>
                                <w:rFonts w:ascii="SimSun" w:eastAsia="SimSun" w:hAnsi="SimSun" w:cs="SimSun"/>
                                <w:color w:val="000000"/>
                                <w:spacing w:val="0"/>
                                <w:w w:val="100"/>
                                <w:position w:val="0"/>
                              </w:rPr>
                              <w:t>富润集团</w:t>
                            </w:r>
                          </w:p>
                          <w:p>
                            <w:pPr>
                              <w:pStyle w:val="Style13"/>
                              <w:keepNext w:val="0"/>
                              <w:keepLines w:val="0"/>
                              <w:widowControl w:val="0"/>
                              <w:shd w:val="clear" w:color="auto" w:fill="auto"/>
                              <w:bidi w:val="0"/>
                              <w:spacing w:before="0" w:after="0" w:line="240" w:lineRule="auto"/>
                              <w:ind w:left="0" w:right="0" w:firstLine="720"/>
                              <w:jc w:val="left"/>
                            </w:pPr>
                            <w:r>
                              <w:rPr>
                                <w:color w:val="000000"/>
                                <w:spacing w:val="0"/>
                                <w:w w:val="100"/>
                                <w:position w:val="0"/>
                              </w:rPr>
                              <w:t>支行备</w:t>
                            </w:r>
                          </w:p>
                          <w:p>
                            <w:pPr>
                              <w:pStyle w:val="Style13"/>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中国银行土地使.</w:t>
                            </w:r>
                          </w:p>
                          <w:p>
                            <w:pPr>
                              <w:pStyle w:val="Style13"/>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德清支行 用权</w:t>
                            </w:r>
                          </w:p>
                        </w:txbxContent>
                      </wps:txbx>
                      <wps:bodyPr lIns="0" tIns="0" rIns="0" bIns="0">
                        <a:noAutoFit/>
                      </wps:bodyPr>
                    </wps:wsp>
                  </a:graphicData>
                </a:graphic>
              </wp:anchor>
            </w:drawing>
          </mc:Choice>
          <mc:Fallback>
            <w:pict>
              <v:shape id="_x0000_s1175" type="#_x0000_t202" style="position:absolute;margin-left:88.75pt;margin-top:7.9500000000000002pt;width:300.69999999999999pt;height:148.80000000000001pt;z-index:-125829305;mso-wrap-distance-left:0;mso-wrap-distance-top:7.9500000000000002pt;mso-wrap-distance-right:0;mso-wrap-distance-bottom:14.65pt;mso-position-horizontal-relative:page" filled="f" stroked="f">
                <v:textbox inset="0,0,0,0">
                  <w:txbxContent>
                    <w:p>
                      <w:pPr>
                        <w:pStyle w:val="Style13"/>
                        <w:keepNext w:val="0"/>
                        <w:keepLines w:val="0"/>
                        <w:widowControl w:val="0"/>
                        <w:shd w:val="clear" w:color="auto" w:fill="auto"/>
                        <w:tabs>
                          <w:tab w:pos="5021" w:val="left"/>
                        </w:tabs>
                        <w:bidi w:val="0"/>
                        <w:spacing w:before="0" w:after="0" w:line="240" w:lineRule="auto"/>
                        <w:ind w:left="0" w:right="0" w:firstLine="0"/>
                        <w:jc w:val="left"/>
                      </w:pPr>
                      <w:r>
                        <w:rPr>
                          <w:rFonts w:ascii="SimHei" w:eastAsia="SimHei" w:hAnsi="SimHei" w:cs="SimHei"/>
                          <w:color w:val="000000"/>
                          <w:spacing w:val="0"/>
                          <w:w w:val="100"/>
                          <w:position w:val="0"/>
                          <w:sz w:val="19"/>
                          <w:szCs w:val="19"/>
                          <w:vertAlign w:val="superscript"/>
                        </w:rPr>
                        <w:t>借款人</w:t>
                      </w:r>
                      <w:r>
                        <w:rPr>
                          <w:rFonts w:ascii="Calibri" w:eastAsia="Calibri" w:hAnsi="Calibri" w:cs="Calibri"/>
                          <w:color w:val="000000"/>
                          <w:spacing w:val="0"/>
                          <w:w w:val="100"/>
                          <w:position w:val="0"/>
                          <w:sz w:val="20"/>
                          <w:szCs w:val="20"/>
                          <w:vertAlign w:val="superscript"/>
                        </w:rPr>
                        <w:t>/</w:t>
                      </w:r>
                      <w:r>
                        <w:rPr>
                          <w:color w:val="000000"/>
                          <w:spacing w:val="0"/>
                          <w:w w:val="100"/>
                          <w:position w:val="0"/>
                        </w:rPr>
                        <w:t xml:space="preserve">抵押权人 抵押物 </w:t>
                      </w:r>
                      <w:r>
                        <w:rPr>
                          <w:rFonts w:ascii="SimHei" w:eastAsia="SimHei" w:hAnsi="SimHei" w:cs="SimHei"/>
                          <w:color w:val="000000"/>
                          <w:spacing w:val="0"/>
                          <w:w w:val="100"/>
                          <w:position w:val="0"/>
                          <w:sz w:val="19"/>
                          <w:szCs w:val="19"/>
                          <w:vertAlign w:val="superscript"/>
                        </w:rPr>
                        <w:t>抵押物</w:t>
                      </w:r>
                      <w:r>
                        <w:rPr>
                          <w:rFonts w:ascii="SimHei" w:eastAsia="SimHei" w:hAnsi="SimHei" w:cs="SimHei"/>
                          <w:color w:val="000000"/>
                          <w:spacing w:val="0"/>
                          <w:w w:val="100"/>
                          <w:position w:val="0"/>
                          <w:sz w:val="19"/>
                          <w:szCs w:val="19"/>
                        </w:rPr>
                        <w:tab/>
                      </w:r>
                      <w:r>
                        <w:rPr>
                          <w:color w:val="000000"/>
                          <w:spacing w:val="0"/>
                          <w:w w:val="100"/>
                          <w:position w:val="0"/>
                        </w:rPr>
                        <w:t>担保人</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抵押人抵押权人抵押物账面原价账面净值担保人</w:t>
                      </w:r>
                    </w:p>
                    <w:p>
                      <w:pPr>
                        <w:pStyle w:val="Style13"/>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中国工商房屋及</w:t>
                      </w:r>
                    </w:p>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银行股份建筑物 </w:t>
                      </w:r>
                      <w:r>
                        <w:rPr>
                          <w:rFonts w:ascii="Calibri" w:eastAsia="Calibri" w:hAnsi="Calibri" w:cs="Calibri"/>
                          <w:color w:val="000000"/>
                          <w:spacing w:val="0"/>
                          <w:w w:val="100"/>
                          <w:position w:val="0"/>
                          <w:sz w:val="20"/>
                          <w:szCs w:val="20"/>
                          <w:vertAlign w:val="superscript"/>
                        </w:rPr>
                        <w:t>24,352,760.39 22,263,999.73</w:t>
                      </w:r>
                    </w:p>
                    <w:p>
                      <w:pPr>
                        <w:pStyle w:val="Style13"/>
                        <w:keepNext w:val="0"/>
                        <w:keepLines w:val="0"/>
                        <w:widowControl w:val="0"/>
                        <w:shd w:val="clear" w:color="auto" w:fill="auto"/>
                        <w:tabs>
                          <w:tab w:pos="5131" w:val="left"/>
                        </w:tabs>
                        <w:bidi w:val="0"/>
                        <w:spacing w:before="0" w:after="0" w:line="240" w:lineRule="auto"/>
                        <w:ind w:left="0" w:right="0" w:firstLine="720"/>
                        <w:jc w:val="left"/>
                      </w:pPr>
                      <w:r>
                        <w:rPr>
                          <w:color w:val="000000"/>
                          <w:spacing w:val="0"/>
                          <w:w w:val="100"/>
                          <w:position w:val="0"/>
                        </w:rPr>
                        <w:t>有限公司土地使</w:t>
                      </w:r>
                      <w:r>
                        <w:rPr>
                          <w:rFonts w:ascii="Times New Roman" w:eastAsia="Times New Roman" w:hAnsi="Times New Roman" w:cs="Times New Roman"/>
                          <w:color w:val="000000"/>
                          <w:spacing w:val="0"/>
                          <w:w w:val="100"/>
                          <w:position w:val="0"/>
                        </w:rPr>
                        <w:t>6</w:t>
                        <w:tab/>
                      </w:r>
                      <w:r>
                        <w:rPr>
                          <w:color w:val="000000"/>
                          <w:spacing w:val="0"/>
                          <w:w w:val="100"/>
                          <w:position w:val="0"/>
                        </w:rPr>
                        <w:t>'染公可</w:t>
                      </w:r>
                    </w:p>
                    <w:p>
                      <w:pPr>
                        <w:pStyle w:val="Style25"/>
                        <w:keepNext w:val="0"/>
                        <w:keepLines w:val="0"/>
                        <w:widowControl w:val="0"/>
                        <w:shd w:val="clear" w:color="auto" w:fill="auto"/>
                        <w:tabs>
                          <w:tab w:pos="3792" w:val="left"/>
                        </w:tabs>
                        <w:bidi w:val="0"/>
                        <w:spacing w:before="0" w:after="80" w:line="240" w:lineRule="auto"/>
                        <w:ind w:left="0" w:right="0" w:firstLine="720"/>
                        <w:jc w:val="left"/>
                      </w:pPr>
                      <w:r>
                        <w:rPr>
                          <w:rFonts w:ascii="SimHei" w:eastAsia="SimHei" w:hAnsi="SimHei" w:cs="SimHei"/>
                          <w:color w:val="000000"/>
                          <w:spacing w:val="0"/>
                          <w:w w:val="100"/>
                          <w:position w:val="0"/>
                          <w:sz w:val="19"/>
                          <w:szCs w:val="19"/>
                          <w:vertAlign w:val="subscript"/>
                        </w:rPr>
                        <w:t>德清支行 用权</w:t>
                      </w:r>
                      <w:r>
                        <w:rPr>
                          <w:rFonts w:ascii="SimHei" w:eastAsia="SimHei" w:hAnsi="SimHei" w:cs="SimHei"/>
                          <w:color w:val="000000"/>
                          <w:spacing w:val="0"/>
                          <w:w w:val="100"/>
                          <w:position w:val="0"/>
                          <w:sz w:val="19"/>
                          <w:szCs w:val="19"/>
                        </w:rPr>
                        <w:t xml:space="preserve"> </w:t>
                      </w:r>
                      <w:r>
                        <w:rPr>
                          <w:color w:val="000000"/>
                          <w:spacing w:val="0"/>
                          <w:w w:val="100"/>
                          <w:position w:val="0"/>
                        </w:rPr>
                        <w:t>6,669,627.81</w:t>
                        <w:tab/>
                        <w:t>5,834,432.64</w:t>
                      </w:r>
                    </w:p>
                    <w:p>
                      <w:pPr>
                        <w:pStyle w:val="Style25"/>
                        <w:keepNext w:val="0"/>
                        <w:keepLines w:val="0"/>
                        <w:widowControl w:val="0"/>
                        <w:shd w:val="clear" w:color="auto" w:fill="auto"/>
                        <w:tabs>
                          <w:tab w:pos="691" w:val="left"/>
                        </w:tabs>
                        <w:bidi w:val="0"/>
                        <w:spacing w:before="0" w:after="0" w:line="254" w:lineRule="exact"/>
                        <w:ind w:left="0" w:right="0" w:firstLine="0"/>
                        <w:jc w:val="left"/>
                      </w:pPr>
                      <w:r>
                        <w:rPr>
                          <w:rFonts w:ascii="SimSun" w:eastAsia="SimSun" w:hAnsi="SimSun" w:cs="SimSun"/>
                          <w:color w:val="000000"/>
                          <w:spacing w:val="0"/>
                          <w:w w:val="100"/>
                          <w:position w:val="0"/>
                        </w:rPr>
                        <w:t>明贝公浦发银行用器订 司</w:t>
                        <w:tab/>
                        <w:t>湖州德清机器设</w:t>
                      </w:r>
                      <w:r>
                        <w:rPr>
                          <w:color w:val="000000"/>
                          <w:spacing w:val="0"/>
                          <w:w w:val="100"/>
                          <w:position w:val="0"/>
                        </w:rPr>
                        <w:t>79,724,078.19 49,655,132.52</w:t>
                      </w:r>
                      <w:r>
                        <w:rPr>
                          <w:rFonts w:ascii="SimSun" w:eastAsia="SimSun" w:hAnsi="SimSun" w:cs="SimSun"/>
                          <w:color w:val="000000"/>
                          <w:spacing w:val="0"/>
                          <w:w w:val="100"/>
                          <w:position w:val="0"/>
                        </w:rPr>
                        <w:t>富润集团</w:t>
                      </w:r>
                    </w:p>
                    <w:p>
                      <w:pPr>
                        <w:pStyle w:val="Style13"/>
                        <w:keepNext w:val="0"/>
                        <w:keepLines w:val="0"/>
                        <w:widowControl w:val="0"/>
                        <w:shd w:val="clear" w:color="auto" w:fill="auto"/>
                        <w:bidi w:val="0"/>
                        <w:spacing w:before="0" w:after="0" w:line="240" w:lineRule="auto"/>
                        <w:ind w:left="0" w:right="0" w:firstLine="720"/>
                        <w:jc w:val="left"/>
                      </w:pPr>
                      <w:r>
                        <w:rPr>
                          <w:color w:val="000000"/>
                          <w:spacing w:val="0"/>
                          <w:w w:val="100"/>
                          <w:position w:val="0"/>
                        </w:rPr>
                        <w:t>支行备</w:t>
                      </w:r>
                    </w:p>
                    <w:p>
                      <w:pPr>
                        <w:pStyle w:val="Style13"/>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中国银行土地使.</w:t>
                      </w:r>
                    </w:p>
                    <w:p>
                      <w:pPr>
                        <w:pStyle w:val="Style13"/>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德清支行 用权</w:t>
                      </w:r>
                    </w:p>
                  </w:txbxContent>
                </v:textbox>
                <w10:wrap type="topAndBottom" anchorx="page"/>
              </v:shape>
            </w:pict>
          </mc:Fallback>
        </mc:AlternateContent>
      </w:r>
      <w:r>
        <mc:AlternateContent>
          <mc:Choice Requires="wps">
            <w:drawing>
              <wp:anchor distT="88900" distB="1734185" distL="0" distR="0" simplePos="0" relativeHeight="125829450" behindDoc="0" locked="0" layoutInCell="1" allowOverlap="1">
                <wp:simplePos x="0" y="0"/>
                <wp:positionH relativeFrom="page">
                  <wp:posOffset>5229860</wp:posOffset>
                </wp:positionH>
                <wp:positionV relativeFrom="paragraph">
                  <wp:posOffset>88900</wp:posOffset>
                </wp:positionV>
                <wp:extent cx="1414145" cy="353695"/>
                <wp:wrapTopAndBottom/>
                <wp:docPr id="151" name="Shape 151"/>
                <a:graphic xmlns:a="http://schemas.openxmlformats.org/drawingml/2006/main">
                  <a:graphicData uri="http://schemas.microsoft.com/office/word/2010/wordprocessingShape">
                    <wps:wsp>
                      <wps:cNvSpPr txBox="1"/>
                      <wps:spPr>
                        <a:xfrm>
                          <a:ext cx="1414145" cy="353695"/>
                        </a:xfrm>
                        <a:prstGeom prst="rect"/>
                        <a:noFill/>
                      </wps:spPr>
                      <wps:txbx>
                        <w:txbxContent>
                          <w:p>
                            <w:pPr>
                              <w:pStyle w:val="Style13"/>
                              <w:keepNext w:val="0"/>
                              <w:keepLines w:val="0"/>
                              <w:widowControl w:val="0"/>
                              <w:shd w:val="clear" w:color="auto" w:fill="auto"/>
                              <w:tabs>
                                <w:tab w:pos="1210" w:val="left"/>
                              </w:tabs>
                              <w:bidi w:val="0"/>
                              <w:spacing w:before="0" w:after="0" w:line="269" w:lineRule="exact"/>
                              <w:ind w:left="0" w:right="0" w:firstLine="0"/>
                              <w:jc w:val="left"/>
                            </w:pPr>
                            <w:r>
                              <w:rPr>
                                <w:color w:val="000000"/>
                                <w:spacing w:val="0"/>
                                <w:w w:val="100"/>
                                <w:position w:val="0"/>
                              </w:rPr>
                              <w:t>担保借款余借款最后 额</w:t>
                              <w:tab/>
                              <w:t>到期日</w:t>
                            </w:r>
                          </w:p>
                        </w:txbxContent>
                      </wps:txbx>
                      <wps:bodyPr lIns="0" tIns="0" rIns="0" bIns="0">
                        <a:noAutoFit/>
                      </wps:bodyPr>
                    </wps:wsp>
                  </a:graphicData>
                </a:graphic>
              </wp:anchor>
            </w:drawing>
          </mc:Choice>
          <mc:Fallback>
            <w:pict>
              <v:shape id="_x0000_s1177" type="#_x0000_t202" style="position:absolute;margin-left:411.80000000000001pt;margin-top:7.pt;width:111.35000000000001pt;height:27.850000000000001pt;z-index:-125829303;mso-wrap-distance-left:0;mso-wrap-distance-top:7.pt;mso-wrap-distance-right:0;mso-wrap-distance-bottom:136.55000000000001pt;mso-position-horizontal-relative:page" filled="f" stroked="f">
                <v:textbox inset="0,0,0,0">
                  <w:txbxContent>
                    <w:p>
                      <w:pPr>
                        <w:pStyle w:val="Style13"/>
                        <w:keepNext w:val="0"/>
                        <w:keepLines w:val="0"/>
                        <w:widowControl w:val="0"/>
                        <w:shd w:val="clear" w:color="auto" w:fill="auto"/>
                        <w:tabs>
                          <w:tab w:pos="1210" w:val="left"/>
                        </w:tabs>
                        <w:bidi w:val="0"/>
                        <w:spacing w:before="0" w:after="0" w:line="269" w:lineRule="exact"/>
                        <w:ind w:left="0" w:right="0" w:firstLine="0"/>
                        <w:jc w:val="left"/>
                      </w:pPr>
                      <w:r>
                        <w:rPr>
                          <w:color w:val="000000"/>
                          <w:spacing w:val="0"/>
                          <w:w w:val="100"/>
                          <w:position w:val="0"/>
                        </w:rPr>
                        <w:t>担保借款余借款最后 额</w:t>
                        <w:tab/>
                        <w:t>到期日</w:t>
                      </w:r>
                    </w:p>
                  </w:txbxContent>
                </v:textbox>
                <w10:wrap type="topAndBottom" anchorx="page"/>
              </v:shape>
            </w:pict>
          </mc:Fallback>
        </mc:AlternateContent>
      </w:r>
      <w:r>
        <mc:AlternateContent>
          <mc:Choice Requires="wps">
            <w:drawing>
              <wp:anchor distT="716915" distB="1298575" distL="0" distR="0" simplePos="0" relativeHeight="125829452" behindDoc="0" locked="0" layoutInCell="1" allowOverlap="1">
                <wp:simplePos x="0" y="0"/>
                <wp:positionH relativeFrom="page">
                  <wp:posOffset>5226685</wp:posOffset>
                </wp:positionH>
                <wp:positionV relativeFrom="paragraph">
                  <wp:posOffset>716915</wp:posOffset>
                </wp:positionV>
                <wp:extent cx="1417320" cy="161290"/>
                <wp:wrapTopAndBottom/>
                <wp:docPr id="153" name="Shape 153"/>
                <a:graphic xmlns:a="http://schemas.openxmlformats.org/drawingml/2006/main">
                  <a:graphicData uri="http://schemas.microsoft.com/office/word/2010/wordprocessingShape">
                    <wps:wsp>
                      <wps:cNvSpPr txBox="1"/>
                      <wps:spPr>
                        <a:xfrm>
                          <a:ext cx="1417320"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30,000,000.002014-12-15</w:t>
                            </w:r>
                          </w:p>
                        </w:txbxContent>
                      </wps:txbx>
                      <wps:bodyPr wrap="none" lIns="0" tIns="0" rIns="0" bIns="0">
                        <a:noAutoFit/>
                      </wps:bodyPr>
                    </wps:wsp>
                  </a:graphicData>
                </a:graphic>
              </wp:anchor>
            </w:drawing>
          </mc:Choice>
          <mc:Fallback>
            <w:pict>
              <v:shape id="_x0000_s1179" type="#_x0000_t202" style="position:absolute;margin-left:411.55000000000001pt;margin-top:56.450000000000003pt;width:111.60000000000001pt;height:12.700000000000001pt;z-index:-125829301;mso-wrap-distance-left:0;mso-wrap-distance-top:56.450000000000003pt;mso-wrap-distance-right:0;mso-wrap-distance-bottom:102.25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30,000,000.002014-12-15</w:t>
                      </w:r>
                    </w:p>
                  </w:txbxContent>
                </v:textbox>
                <w10:wrap type="topAndBottom" anchorx="page"/>
              </v:shape>
            </w:pict>
          </mc:Fallback>
        </mc:AlternateContent>
      </w:r>
      <w:r>
        <mc:AlternateContent>
          <mc:Choice Requires="wps">
            <w:drawing>
              <wp:anchor distT="1323340" distB="692150" distL="0" distR="0" simplePos="0" relativeHeight="125829454" behindDoc="0" locked="0" layoutInCell="1" allowOverlap="1">
                <wp:simplePos x="0" y="0"/>
                <wp:positionH relativeFrom="page">
                  <wp:posOffset>5229860</wp:posOffset>
                </wp:positionH>
                <wp:positionV relativeFrom="paragraph">
                  <wp:posOffset>1323340</wp:posOffset>
                </wp:positionV>
                <wp:extent cx="1347470" cy="161290"/>
                <wp:wrapTopAndBottom/>
                <wp:docPr id="155" name="Shape 155"/>
                <a:graphic xmlns:a="http://schemas.openxmlformats.org/drawingml/2006/main">
                  <a:graphicData uri="http://schemas.microsoft.com/office/word/2010/wordprocessingShape">
                    <wps:wsp>
                      <wps:cNvSpPr txBox="1"/>
                      <wps:spPr>
                        <a:xfrm>
                          <a:ext cx="1347470"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 2014-12-1</w:t>
                            </w:r>
                          </w:p>
                        </w:txbxContent>
                      </wps:txbx>
                      <wps:bodyPr wrap="none" lIns="0" tIns="0" rIns="0" bIns="0">
                        <a:noAutoFit/>
                      </wps:bodyPr>
                    </wps:wsp>
                  </a:graphicData>
                </a:graphic>
              </wp:anchor>
            </w:drawing>
          </mc:Choice>
          <mc:Fallback>
            <w:pict>
              <v:shape id="_x0000_s1181" type="#_x0000_t202" style="position:absolute;margin-left:411.80000000000001pt;margin-top:104.2pt;width:106.10000000000001pt;height:12.700000000000001pt;z-index:-125829299;mso-wrap-distance-left:0;mso-wrap-distance-top:104.2pt;mso-wrap-distance-right:0;mso-wrap-distance-bottom:54.5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 2014-12-1</w:t>
                      </w:r>
                    </w:p>
                  </w:txbxContent>
                </v:textbox>
                <w10:wrap type="topAndBottom" anchorx="page"/>
              </v:shape>
            </w:pict>
          </mc:Fallback>
        </mc:AlternateContent>
      </w:r>
      <w:r>
        <mc:AlternateContent>
          <mc:Choice Requires="wps">
            <w:drawing>
              <wp:anchor distT="2009140" distB="0" distL="0" distR="0" simplePos="0" relativeHeight="125829456" behindDoc="0" locked="0" layoutInCell="1" allowOverlap="1">
                <wp:simplePos x="0" y="0"/>
                <wp:positionH relativeFrom="page">
                  <wp:posOffset>1133475</wp:posOffset>
                </wp:positionH>
                <wp:positionV relativeFrom="paragraph">
                  <wp:posOffset>2009140</wp:posOffset>
                </wp:positionV>
                <wp:extent cx="286385" cy="167640"/>
                <wp:wrapTopAndBottom/>
                <wp:docPr id="157" name="Shape 157"/>
                <a:graphic xmlns:a="http://schemas.openxmlformats.org/drawingml/2006/main">
                  <a:graphicData uri="http://schemas.microsoft.com/office/word/2010/wordprocessingShape">
                    <wps:wsp>
                      <wps:cNvSpPr txBox="1"/>
                      <wps:spPr>
                        <a:xfrm>
                          <a:ext cx="286385" cy="1676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xbxContent>
                      </wps:txbx>
                      <wps:bodyPr wrap="none" lIns="0" tIns="0" rIns="0" bIns="0">
                        <a:noAutoFit/>
                      </wps:bodyPr>
                    </wps:wsp>
                  </a:graphicData>
                </a:graphic>
              </wp:anchor>
            </w:drawing>
          </mc:Choice>
          <mc:Fallback>
            <w:pict>
              <v:shape id="_x0000_s1183" type="#_x0000_t202" style="position:absolute;margin-left:89.25pt;margin-top:158.20000000000002pt;width:22.550000000000001pt;height:13.200000000000001pt;z-index:-125829297;mso-wrap-distance-left:0;mso-wrap-distance-top:158.20000000000002pt;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xbxContent>
                </v:textbox>
                <w10:wrap type="topAndBottom" anchorx="page"/>
              </v:shape>
            </w:pict>
          </mc:Fallback>
        </mc:AlternateContent>
      </w:r>
      <w:r>
        <mc:AlternateContent>
          <mc:Choice Requires="wps">
            <w:drawing>
              <wp:anchor distT="1631315" distB="0" distL="0" distR="0" simplePos="0" relativeHeight="125829458" behindDoc="0" locked="0" layoutInCell="1" allowOverlap="1">
                <wp:simplePos x="0" y="0"/>
                <wp:positionH relativeFrom="page">
                  <wp:posOffset>2696845</wp:posOffset>
                </wp:positionH>
                <wp:positionV relativeFrom="paragraph">
                  <wp:posOffset>1631315</wp:posOffset>
                </wp:positionV>
                <wp:extent cx="3813175" cy="545465"/>
                <wp:wrapTopAndBottom/>
                <wp:docPr id="159" name="Shape 159"/>
                <a:graphic xmlns:a="http://schemas.openxmlformats.org/drawingml/2006/main">
                  <a:graphicData uri="http://schemas.microsoft.com/office/word/2010/wordprocessingShape">
                    <wps:wsp>
                      <wps:cNvSpPr txBox="1"/>
                      <wps:spPr>
                        <a:xfrm>
                          <a:ext cx="3813175" cy="5454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印染公司</w:t>
                            </w:r>
                            <w:r>
                              <w:rPr>
                                <w:rFonts w:ascii="Times New Roman" w:eastAsia="Times New Roman" w:hAnsi="Times New Roman" w:cs="Times New Roman"/>
                                <w:color w:val="000000"/>
                                <w:spacing w:val="0"/>
                                <w:w w:val="100"/>
                                <w:position w:val="0"/>
                              </w:rPr>
                              <w:t>/</w:t>
                            </w:r>
                            <w:r>
                              <w:rPr>
                                <w:color w:val="000000"/>
                                <w:spacing w:val="0"/>
                                <w:w w:val="100"/>
                                <w:position w:val="0"/>
                              </w:rPr>
                              <w:t>富润</w:t>
                            </w:r>
                          </w:p>
                          <w:p>
                            <w:pPr>
                              <w:pStyle w:val="Style25"/>
                              <w:keepNext w:val="0"/>
                              <w:keepLines w:val="0"/>
                              <w:widowControl w:val="0"/>
                              <w:shd w:val="clear" w:color="auto" w:fill="auto"/>
                              <w:tabs>
                                <w:tab w:pos="1301" w:val="left"/>
                                <w:tab w:pos="3998" w:val="left"/>
                              </w:tabs>
                              <w:bidi w:val="0"/>
                              <w:spacing w:before="0" w:after="0" w:line="185" w:lineRule="auto"/>
                              <w:ind w:left="0" w:right="0" w:firstLine="0"/>
                              <w:jc w:val="left"/>
                            </w:pPr>
                            <w:r>
                              <w:rPr>
                                <w:color w:val="000000"/>
                                <w:spacing w:val="0"/>
                                <w:w w:val="100"/>
                                <w:position w:val="0"/>
                              </w:rPr>
                              <w:t>3,796,353.70</w:t>
                              <w:tab/>
                              <w:t>3,672,559.58</w:t>
                              <w:tab/>
                              <w:t>10,000,000.002014-7-2</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集团</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114,542,820.0981,426,124.47</w:t>
                            </w:r>
                          </w:p>
                        </w:txbxContent>
                      </wps:txbx>
                      <wps:bodyPr lIns="0" tIns="0" rIns="0" bIns="0">
                        <a:noAutoFit/>
                      </wps:bodyPr>
                    </wps:wsp>
                  </a:graphicData>
                </a:graphic>
              </wp:anchor>
            </w:drawing>
          </mc:Choice>
          <mc:Fallback>
            <w:pict>
              <v:shape id="_x0000_s1185" type="#_x0000_t202" style="position:absolute;margin-left:212.34999999999999pt;margin-top:128.44999999999999pt;width:300.25pt;height:42.950000000000003pt;z-index:-125829295;mso-wrap-distance-left:0;mso-wrap-distance-top:128.44999999999999pt;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印染公司</w:t>
                      </w:r>
                      <w:r>
                        <w:rPr>
                          <w:rFonts w:ascii="Times New Roman" w:eastAsia="Times New Roman" w:hAnsi="Times New Roman" w:cs="Times New Roman"/>
                          <w:color w:val="000000"/>
                          <w:spacing w:val="0"/>
                          <w:w w:val="100"/>
                          <w:position w:val="0"/>
                        </w:rPr>
                        <w:t>/</w:t>
                      </w:r>
                      <w:r>
                        <w:rPr>
                          <w:color w:val="000000"/>
                          <w:spacing w:val="0"/>
                          <w:w w:val="100"/>
                          <w:position w:val="0"/>
                        </w:rPr>
                        <w:t>富润</w:t>
                      </w:r>
                    </w:p>
                    <w:p>
                      <w:pPr>
                        <w:pStyle w:val="Style25"/>
                        <w:keepNext w:val="0"/>
                        <w:keepLines w:val="0"/>
                        <w:widowControl w:val="0"/>
                        <w:shd w:val="clear" w:color="auto" w:fill="auto"/>
                        <w:tabs>
                          <w:tab w:pos="1301" w:val="left"/>
                          <w:tab w:pos="3998" w:val="left"/>
                        </w:tabs>
                        <w:bidi w:val="0"/>
                        <w:spacing w:before="0" w:after="0" w:line="185" w:lineRule="auto"/>
                        <w:ind w:left="0" w:right="0" w:firstLine="0"/>
                        <w:jc w:val="left"/>
                      </w:pPr>
                      <w:r>
                        <w:rPr>
                          <w:color w:val="000000"/>
                          <w:spacing w:val="0"/>
                          <w:w w:val="100"/>
                          <w:position w:val="0"/>
                        </w:rPr>
                        <w:t>3,796,353.70</w:t>
                        <w:tab/>
                        <w:t>3,672,559.58</w:t>
                        <w:tab/>
                        <w:t>10,000,000.002014-7-2</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集团</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114,542,820.0981,426,124.47</w:t>
                      </w:r>
                    </w:p>
                  </w:txbxContent>
                </v:textbox>
                <w10:wrap type="topAndBottom" anchorx="page"/>
              </v:shape>
            </w:pict>
          </mc:Fallback>
        </mc:AlternateContent>
      </w:r>
      <w:r>
        <mc:AlternateContent>
          <mc:Choice Requires="wps">
            <w:drawing>
              <wp:anchor distT="2015490" distB="0" distL="0" distR="0" simplePos="0" relativeHeight="125829460" behindDoc="0" locked="0" layoutInCell="1" allowOverlap="1">
                <wp:simplePos x="0" y="0"/>
                <wp:positionH relativeFrom="page">
                  <wp:posOffset>5226685</wp:posOffset>
                </wp:positionH>
                <wp:positionV relativeFrom="paragraph">
                  <wp:posOffset>2015490</wp:posOffset>
                </wp:positionV>
                <wp:extent cx="795655" cy="161290"/>
                <wp:wrapTopAndBottom/>
                <wp:docPr id="161" name="Shape 161"/>
                <a:graphic xmlns:a="http://schemas.openxmlformats.org/drawingml/2006/main">
                  <a:graphicData uri="http://schemas.microsoft.com/office/word/2010/wordprocessingShape">
                    <wps:wsp>
                      <wps:cNvSpPr txBox="1"/>
                      <wps:spPr>
                        <a:xfrm>
                          <a:ext cx="795655"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45,000,000.00</w:t>
                            </w:r>
                          </w:p>
                        </w:txbxContent>
                      </wps:txbx>
                      <wps:bodyPr wrap="none" lIns="0" tIns="0" rIns="0" bIns="0">
                        <a:noAutoFit/>
                      </wps:bodyPr>
                    </wps:wsp>
                  </a:graphicData>
                </a:graphic>
              </wp:anchor>
            </w:drawing>
          </mc:Choice>
          <mc:Fallback>
            <w:pict>
              <v:shape id="_x0000_s1187" type="#_x0000_t202" style="position:absolute;margin-left:411.55000000000001pt;margin-top:158.70000000000002pt;width:62.649999999999999pt;height:12.700000000000001pt;z-index:-125829293;mso-wrap-distance-left:0;mso-wrap-distance-top:158.70000000000002pt;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45,000,000.00</w:t>
                      </w:r>
                    </w:p>
                  </w:txbxContent>
                </v:textbox>
                <w10:wrap type="topAndBottom" anchorx="page"/>
              </v:shape>
            </w:pict>
          </mc:Fallback>
        </mc:AlternateContent>
      </w:r>
    </w:p>
    <w:tbl>
      <w:tblPr>
        <w:tblOverlap w:val="never"/>
        <w:jc w:val="left"/>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21"/>
              <w:keepNext w:val="0"/>
              <w:keepLines w:val="0"/>
              <w:framePr w:w="9317" w:h="883" w:hSpace="5" w:vSpace="538" w:wrap="notBeside" w:vAnchor="text" w:hAnchor="text" w:x="8" w:y="539"/>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1"/>
              <w:keepNext w:val="0"/>
              <w:keepLines w:val="0"/>
              <w:framePr w:w="9317" w:h="883" w:hSpace="5" w:vSpace="538" w:wrap="notBeside" w:vAnchor="text" w:hAnchor="text" w:x="8" w:y="539"/>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framePr w:w="9317" w:h="883" w:hSpace="5" w:vSpace="538" w:wrap="notBeside" w:vAnchor="text" w:hAnchor="text" w:x="8" w:y="539"/>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883" w:hSpace="5" w:vSpace="538" w:wrap="notBeside" w:vAnchor="text" w:hAnchor="text" w:x="8" w:y="539"/>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framePr w:w="9317" w:h="883" w:hSpace="5" w:vSpace="538" w:wrap="notBeside" w:vAnchor="text" w:hAnchor="text" w:x="8" w:y="539"/>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24,500,000.00</w:t>
            </w:r>
          </w:p>
        </w:tc>
        <w:tc>
          <w:tcPr>
            <w:tcBorders>
              <w:top w:val="single" w:sz="4"/>
              <w:left w:val="single" w:sz="4"/>
              <w:right w:val="single" w:sz="4"/>
            </w:tcBorders>
            <w:shd w:val="clear" w:color="auto" w:fill="FFFFFF"/>
            <w:vAlign w:val="bottom"/>
          </w:tcPr>
          <w:p>
            <w:pPr>
              <w:pStyle w:val="Style21"/>
              <w:keepNext w:val="0"/>
              <w:keepLines w:val="0"/>
              <w:framePr w:w="9317" w:h="883" w:hSpace="5" w:vSpace="538" w:wrap="notBeside" w:vAnchor="text" w:hAnchor="text" w:x="8" w:y="539"/>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33,900,000.00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9317" w:h="883" w:hSpace="5" w:vSpace="538" w:wrap="notBeside" w:vAnchor="text" w:hAnchor="text" w:x="8" w:y="53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framePr w:w="9317" w:h="883" w:hSpace="5" w:vSpace="538" w:wrap="notBeside" w:vAnchor="text" w:hAnchor="text" w:x="8" w:y="539"/>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24,500,000.00</w:t>
            </w:r>
          </w:p>
        </w:tc>
        <w:tc>
          <w:tcPr>
            <w:tcBorders>
              <w:top w:val="single" w:sz="4"/>
              <w:left w:val="single" w:sz="4"/>
              <w:bottom w:val="single" w:sz="4"/>
              <w:right w:val="single" w:sz="4"/>
            </w:tcBorders>
            <w:shd w:val="clear" w:color="auto" w:fill="FFFFFF"/>
            <w:vAlign w:val="bottom"/>
          </w:tcPr>
          <w:p>
            <w:pPr>
              <w:pStyle w:val="Style21"/>
              <w:keepNext w:val="0"/>
              <w:keepLines w:val="0"/>
              <w:framePr w:w="9317" w:h="883" w:hSpace="5" w:vSpace="538" w:wrap="notBeside" w:vAnchor="text" w:hAnchor="text" w:x="8" w:y="539"/>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33,900,000.00</w:t>
            </w:r>
          </w:p>
        </w:tc>
      </w:tr>
    </w:tbl>
    <w:p>
      <w:pPr>
        <w:pStyle w:val="Style19"/>
        <w:keepNext w:val="0"/>
        <w:keepLines w:val="0"/>
        <w:framePr w:w="2074" w:h="278" w:hSpace="2" w:wrap="notBeside" w:vAnchor="text" w:hAnchor="text" w:x="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应付票据:</w:t>
      </w:r>
    </w:p>
    <w:p>
      <w:pPr>
        <w:pStyle w:val="Style19"/>
        <w:keepNext w:val="0"/>
        <w:keepLines w:val="0"/>
        <w:framePr w:w="2237" w:h="259" w:hSpace="2" w:wrap="notBeside" w:vAnchor="text" w:hAnchor="text" w:x="6454" w:y="275"/>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24,500,000.00</w:t>
      </w:r>
      <w:r>
        <w:rPr>
          <w:color w:val="000000"/>
          <w:spacing w:val="0"/>
          <w:w w:val="100"/>
          <w:position w:val="0"/>
        </w:rPr>
        <w:t>元。</w:t>
      </w:r>
    </w:p>
    <w:tbl>
      <w:tblPr>
        <w:tblOverlap w:val="never"/>
        <w:jc w:val="left"/>
        <w:tblLayout w:type="fixed"/>
      </w:tblPr>
      <w:tblGrid>
        <w:gridCol w:w="1032"/>
        <w:gridCol w:w="1747"/>
        <w:gridCol w:w="2779"/>
        <w:gridCol w:w="1459"/>
        <w:gridCol w:w="1267"/>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出票人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票据开立条件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票据最后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到期日</w:t>
            </w:r>
          </w:p>
        </w:tc>
      </w:tr>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中国工商银行股份 有限公司诸暨支行</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公司存入银行</w:t>
            </w:r>
            <w:r>
              <w:rPr>
                <w:rFonts w:ascii="Times New Roman" w:eastAsia="Times New Roman" w:hAnsi="Times New Roman" w:cs="Times New Roman"/>
                <w:color w:val="000000"/>
                <w:spacing w:val="0"/>
                <w:w w:val="100"/>
                <w:position w:val="0"/>
              </w:rPr>
              <w:t>744</w:t>
            </w:r>
            <w:r>
              <w:rPr>
                <w:color w:val="000000"/>
                <w:spacing w:val="0"/>
                <w:w w:val="100"/>
                <w:position w:val="0"/>
              </w:rPr>
              <w:t>万元保证 金，其余部分由菲达集团有限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2014-2-21</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2014-3-24</w:t>
            </w:r>
          </w:p>
        </w:tc>
      </w:tr>
      <w:tr>
        <w:trPr>
          <w:trHeight w:val="28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2014-1-24</w:t>
            </w:r>
          </w:p>
        </w:tc>
      </w:tr>
    </w:tbl>
    <w:p>
      <w:pPr>
        <w:widowControl w:val="0"/>
        <w:spacing w:line="1" w:lineRule="exact"/>
      </w:pPr>
      <w:r>
        <w:br w:type="page"/>
      </w:r>
    </w:p>
    <w:tbl>
      <w:tblPr>
        <w:tblOverlap w:val="never"/>
        <w:jc w:val="left"/>
        <w:tblLayout w:type="fixed"/>
      </w:tblPr>
      <w:tblGrid>
        <w:gridCol w:w="1056"/>
        <w:gridCol w:w="1742"/>
        <w:gridCol w:w="2779"/>
        <w:gridCol w:w="1459"/>
        <w:gridCol w:w="1267"/>
      </w:tblGrid>
      <w:tr>
        <w:trPr>
          <w:trHeight w:val="278"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公司提供保证担保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2014-4-28</w:t>
            </w:r>
          </w:p>
        </w:tc>
      </w:tr>
      <w:tr>
        <w:trPr>
          <w:trHeight w:val="2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2014-5-26</w:t>
            </w:r>
          </w:p>
        </w:tc>
      </w:tr>
      <w:tr>
        <w:trPr>
          <w:trHeight w:val="26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2014-6-18</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应付账款:</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应付账款情况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应付原料采购或接受劳务款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54,910,443.54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41,568,971.64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应付长期资产购置或工程款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6,013,463.32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5,509,829.40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60,923,906.86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47,078,801.04</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 情况</w:t>
      </w:r>
    </w:p>
    <w:p>
      <w:pPr>
        <w:pStyle w:val="Style19"/>
        <w:keepNext w:val="0"/>
        <w:keepLines w:val="0"/>
        <w:widowControl w:val="0"/>
        <w:shd w:val="clear" w:color="auto" w:fill="auto"/>
        <w:bidi w:val="0"/>
        <w:spacing w:before="0" w:after="0" w:line="274" w:lineRule="exact"/>
        <w:ind w:left="0" w:right="0" w:firstLine="0"/>
        <w:jc w:val="right"/>
      </w:pPr>
      <w:r>
        <w:rPr>
          <w:color w:val="000000"/>
          <w:spacing w:val="0"/>
          <w:w w:val="100"/>
          <w:position w:val="0"/>
        </w:rPr>
        <w:t>单位： 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诸暨富润化工助剂有限公司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浙江诸暨一百购物中心有限公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诸暨富润染整有限公司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4,867.14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106,549.47</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16,067.14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130,699.47</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预收账款：</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预收账款情况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202"/>
        <w:gridCol w:w="3005"/>
        <w:gridCol w:w="311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23,081,503.55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19,742,143.39</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23,081,503.55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19,742,143.39</w:t>
            </w:r>
          </w:p>
        </w:tc>
      </w:tr>
    </w:tbl>
    <w:p>
      <w:pPr>
        <w:widowControl w:val="0"/>
        <w:spacing w:after="239" w:line="1" w:lineRule="exact"/>
      </w:pPr>
    </w:p>
    <w:p>
      <w:pPr>
        <w:pStyle w:val="Style13"/>
        <w:keepNext w:val="0"/>
        <w:keepLines w:val="0"/>
        <w:widowControl w:val="0"/>
        <w:shd w:val="clear" w:color="auto" w:fill="auto"/>
        <w:tabs>
          <w:tab w:pos="49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本报告期预收款项中预收持有公司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以上表决权股份的股东单位或关联方情况：</w:t>
      </w:r>
    </w:p>
    <w:p>
      <w:pPr>
        <w:pStyle w:val="Style13"/>
        <w:keepNext w:val="0"/>
        <w:keepLines w:val="0"/>
        <w:widowControl w:val="0"/>
        <w:shd w:val="clear" w:color="auto" w:fill="auto"/>
        <w:bidi w:val="0"/>
        <w:spacing w:before="0" w:after="240" w:line="240" w:lineRule="auto"/>
        <w:ind w:left="0" w:right="0" w:firstLine="240"/>
        <w:jc w:val="left"/>
      </w:pPr>
      <w:r>
        <w:rPr>
          <w:color w:val="000000"/>
          <w:spacing w:val="0"/>
          <w:w w:val="100"/>
          <w:position w:val="0"/>
        </w:rPr>
        <w:t>本报告期预收账款中无预收持有公司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应付职工薪酬</w:t>
      </w:r>
    </w:p>
    <w:tbl>
      <w:tblPr>
        <w:tblOverlap w:val="never"/>
        <w:jc w:val="center"/>
        <w:tblLayout w:type="fixed"/>
      </w:tblPr>
      <w:tblGrid>
        <w:gridCol w:w="3110"/>
        <w:gridCol w:w="1550"/>
        <w:gridCol w:w="1550"/>
        <w:gridCol w:w="1550"/>
        <w:gridCol w:w="1555"/>
      </w:tblGrid>
      <w:tr>
        <w:trPr>
          <w:trHeight w:val="269" w:hRule="exact"/>
        </w:trPr>
        <w:tc>
          <w:tcPr>
            <w:gridSpan w:val="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9,526,883.99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115,618,783.83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109,955,012.59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15,190,655.23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13,606,220.32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26,176,889.49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20,107,481.22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19,675,628.59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152,152.62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8,780,468.72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8,734,380.25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198,241.09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30,654.00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1,413,537.00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1,401,993.00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42,198.00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22,955,509.81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995,359.91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3,654,321.22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20,296,548.50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2,997,789.46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2,286,996.97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1,847,838.68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3,436,947.75</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49,269,210.20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155,272,035.92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145,701,026.96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58,840,219.16</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3,436,947.75</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20,296,548.50</w:t>
      </w:r>
      <w:r>
        <w:rPr>
          <w:color w:val="000000"/>
          <w:spacing w:val="0"/>
          <w:w w:val="100"/>
          <w:position w:val="0"/>
        </w:rPr>
        <w:t>元。</w:t>
      </w:r>
    </w:p>
    <w:p>
      <w:pPr>
        <w:widowControl w:val="0"/>
        <w:spacing w:after="2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期末应付工资、奖金、津贴和补贴</w:t>
      </w:r>
      <w:r>
        <w:rPr>
          <w:rFonts w:ascii="Times New Roman" w:eastAsia="Times New Roman" w:hAnsi="Times New Roman" w:cs="Times New Roman"/>
          <w:color w:val="000000"/>
          <w:spacing w:val="0"/>
          <w:w w:val="100"/>
          <w:position w:val="0"/>
        </w:rPr>
        <w:t>15,190,655.23</w:t>
      </w:r>
      <w:r>
        <w:rPr>
          <w:color w:val="000000"/>
          <w:spacing w:val="0"/>
          <w:w w:val="100"/>
          <w:position w:val="0"/>
        </w:rPr>
        <w:t>元，将于下一会计期间发放。</w:t>
      </w:r>
      <w:r>
        <w:br w:type="page"/>
      </w:r>
    </w:p>
    <w:tbl>
      <w:tblPr>
        <w:tblOverlap w:val="never"/>
        <w:jc w:val="left"/>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122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102,868.28</w:t>
            </w:r>
          </w:p>
        </w:tc>
        <w:tc>
          <w:tcPr>
            <w:tcBorders>
              <w:top w:val="single" w:sz="4"/>
              <w:left w:val="single" w:sz="4"/>
              <w:righ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2,800,650.76</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141,094.21</w:t>
            </w:r>
          </w:p>
        </w:tc>
        <w:tc>
          <w:tcPr>
            <w:tcBorders>
              <w:top w:val="single" w:sz="4"/>
              <w:left w:val="single" w:sz="4"/>
              <w:righ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222,804.20</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8,373,750.55</w:t>
            </w:r>
          </w:p>
        </w:tc>
        <w:tc>
          <w:tcPr>
            <w:tcBorders>
              <w:top w:val="single" w:sz="4"/>
              <w:left w:val="single" w:sz="4"/>
              <w:righ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10,567,901.65</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1,552,793.89</w:t>
            </w:r>
          </w:p>
        </w:tc>
        <w:tc>
          <w:tcPr>
            <w:tcBorders>
              <w:top w:val="single" w:sz="4"/>
              <w:left w:val="single" w:sz="4"/>
              <w:righ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1,620,744.41</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272,329.20</w:t>
            </w:r>
          </w:p>
        </w:tc>
        <w:tc>
          <w:tcPr>
            <w:tcBorders>
              <w:top w:val="single" w:sz="4"/>
              <w:left w:val="single" w:sz="4"/>
              <w:righ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323,114.62</w:t>
            </w:r>
          </w:p>
        </w:tc>
      </w:tr>
      <w:tr>
        <w:trPr>
          <w:trHeight w:val="283" w:hRule="exact"/>
        </w:trPr>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57,211.61</w:t>
            </w:r>
          </w:p>
        </w:tc>
        <w:tc>
          <w:tcPr>
            <w:tcBorders>
              <w:top w:val="single" w:sz="4"/>
              <w:left w:val="single" w:sz="4"/>
              <w:righ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155,255.59</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519,864.36</w:t>
            </w:r>
          </w:p>
        </w:tc>
        <w:tc>
          <w:tcPr>
            <w:tcBorders>
              <w:top w:val="single" w:sz="4"/>
              <w:left w:val="single" w:sz="4"/>
              <w:righ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389,483.21</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103,306.21</w:t>
            </w:r>
          </w:p>
        </w:tc>
        <w:tc>
          <w:tcPr>
            <w:tcBorders>
              <w:top w:val="single" w:sz="4"/>
              <w:left w:val="single" w:sz="4"/>
              <w:righ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259,655.48</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1,000,948.82</w:t>
            </w:r>
          </w:p>
        </w:tc>
        <w:tc>
          <w:tcPr>
            <w:tcBorders>
              <w:top w:val="single" w:sz="4"/>
              <w:left w:val="single" w:sz="4"/>
              <w:right w:val="single" w:sz="4"/>
            </w:tcBorders>
            <w:shd w:val="clear" w:color="auto" w:fill="FFFFFF"/>
            <w:vAlign w:val="top"/>
          </w:tcPr>
          <w:p>
            <w:pPr>
              <w:framePr w:w="9317" w:h="4046" w:hSpace="5" w:vSpace="533" w:wrap="notBeside" w:vAnchor="text" w:hAnchor="text" w:x="8"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21,554.13</w:t>
            </w:r>
          </w:p>
        </w:tc>
        <w:tc>
          <w:tcPr>
            <w:tcBorders>
              <w:top w:val="single" w:sz="4"/>
              <w:left w:val="single" w:sz="4"/>
              <w:righ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21,722.87</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0" w:right="0" w:firstLine="0"/>
              <w:jc w:val="left"/>
            </w:pPr>
            <w:r>
              <w:rPr>
                <w:color w:val="000000"/>
                <w:spacing w:val="0"/>
                <w:w w:val="100"/>
                <w:position w:val="0"/>
              </w:rPr>
              <w:t>水利建设专项资金</w:t>
            </w:r>
          </w:p>
        </w:tc>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177,286.66</w:t>
            </w:r>
          </w:p>
        </w:tc>
        <w:tc>
          <w:tcPr>
            <w:tcBorders>
              <w:top w:val="single" w:sz="4"/>
              <w:left w:val="single" w:sz="4"/>
              <w:righ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192,846.77</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574,936.44</w:t>
            </w:r>
          </w:p>
        </w:tc>
        <w:tc>
          <w:tcPr>
            <w:tcBorders>
              <w:top w:val="single" w:sz="4"/>
              <w:left w:val="single" w:sz="4"/>
              <w:righ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589,036.44</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12,897,944.36</w:t>
            </w:r>
          </w:p>
        </w:tc>
        <w:tc>
          <w:tcPr>
            <w:tcBorders>
              <w:top w:val="single" w:sz="4"/>
              <w:left w:val="single" w:sz="4"/>
              <w:bottom w:val="single" w:sz="4"/>
              <w:right w:val="single" w:sz="4"/>
            </w:tcBorders>
            <w:shd w:val="clear" w:color="auto" w:fill="FFFFFF"/>
            <w:vAlign w:val="bottom"/>
          </w:tcPr>
          <w:p>
            <w:pPr>
              <w:pStyle w:val="Style21"/>
              <w:keepNext w:val="0"/>
              <w:keepLines w:val="0"/>
              <w:framePr w:w="9317" w:h="4046" w:hSpace="5" w:vSpace="533" w:wrap="notBeside" w:vAnchor="text" w:hAnchor="text" w:x="8" w:y="534"/>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17,143,216.00</w:t>
            </w:r>
          </w:p>
        </w:tc>
      </w:tr>
    </w:tbl>
    <w:p>
      <w:pPr>
        <w:pStyle w:val="Style19"/>
        <w:keepNext w:val="0"/>
        <w:keepLines w:val="0"/>
        <w:framePr w:w="2074" w:h="274" w:hSpace="2" w:wrap="notBeside" w:vAnchor="text" w:hAnchor="text" w:x="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应交税费:</w:t>
      </w:r>
    </w:p>
    <w:p>
      <w:pPr>
        <w:pStyle w:val="Style19"/>
        <w:keepNext w:val="0"/>
        <w:keepLines w:val="0"/>
        <w:framePr w:w="2237" w:h="254" w:hSpace="2" w:wrap="notBeside" w:vAnchor="text" w:hAnchor="text" w:x="6454" w:y="275"/>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应付利息：</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551,000.00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551,000.00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220,588.67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772,480.51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771,588.67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1,323,480.51</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color w:val="000000"/>
          <w:spacing w:val="0"/>
          <w:w w:val="100"/>
          <w:position w:val="0"/>
        </w:rPr>
        <w:t>应付股利：</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33"/>
        <w:gridCol w:w="2328"/>
        <w:gridCol w:w="2323"/>
        <w:gridCol w:w="2333"/>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超过</w:t>
            </w:r>
            <w:r>
              <w:rPr>
                <w:rFonts w:ascii="Times New Roman" w:eastAsia="Times New Roman" w:hAnsi="Times New Roman" w:cs="Times New Roman"/>
                <w:color w:val="000000"/>
                <w:spacing w:val="0"/>
                <w:w w:val="100"/>
                <w:position w:val="0"/>
              </w:rPr>
              <w:t>1</w:t>
            </w:r>
            <w:r>
              <w:rPr>
                <w:color w:val="000000"/>
                <w:spacing w:val="0"/>
                <w:w w:val="100"/>
                <w:position w:val="0"/>
              </w:rPr>
              <w:t>年未支付原因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公司部分流通股股东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638,571.40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576,795.40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未来结算</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638,571.40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576,795.40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9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二十九</w:t>
      </w:r>
      <w:r>
        <w:rPr>
          <w:color w:val="000000"/>
          <w:spacing w:val="0"/>
          <w:w w:val="100"/>
          <w:position w:val="0"/>
        </w:rPr>
        <w:t>）</w:t>
      </w:r>
      <w:r>
        <w:rPr>
          <w:color w:val="000000"/>
          <w:spacing w:val="0"/>
          <w:w w:val="100"/>
          <w:position w:val="0"/>
        </w:rPr>
        <w:t>其他应付款:</w:t>
      </w:r>
    </w:p>
    <w:p>
      <w:pPr>
        <w:pStyle w:val="Style13"/>
        <w:keepNext w:val="0"/>
        <w:keepLines w:val="0"/>
        <w:widowControl w:val="0"/>
        <w:shd w:val="clear" w:color="auto" w:fill="auto"/>
        <w:tabs>
          <w:tab w:pos="514" w:val="left"/>
        </w:tabs>
        <w:bidi w:val="0"/>
        <w:spacing w:before="0" w:after="0" w:line="240" w:lineRule="auto"/>
        <w:ind w:left="0" w:right="0" w:firstLine="0"/>
        <w:jc w:val="left"/>
      </w:pPr>
      <w:bookmarkStart w:id="218" w:name="bookmark218"/>
      <w:r>
        <w:rPr>
          <w:rFonts w:ascii="Times New Roman" w:eastAsia="Times New Roman" w:hAnsi="Times New Roman" w:cs="Times New Roman"/>
          <w:color w:val="000000"/>
          <w:spacing w:val="0"/>
          <w:w w:val="100"/>
          <w:position w:val="0"/>
          <w:shd w:val="clear" w:color="auto" w:fill="FFFFFF"/>
        </w:rPr>
        <w:t>1</w:t>
      </w:r>
      <w:bookmarkEnd w:id="218"/>
      <w:r>
        <w:rPr>
          <w:color w:val="000000"/>
          <w:spacing w:val="0"/>
          <w:w w:val="100"/>
          <w:position w:val="0"/>
          <w:shd w:val="clear" w:color="auto" w:fill="FFFFFF"/>
        </w:rPr>
        <w:t>、</w:t>
      </w:r>
      <w:r>
        <w:rPr>
          <w:color w:val="000000"/>
          <w:spacing w:val="0"/>
          <w:w w:val="100"/>
          <w:position w:val="0"/>
        </w:rPr>
        <w:tab/>
        <w:t>其他应付款情况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暂借款本息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76,106,454.73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73,323,550.01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9,939,704.00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2,295,100.00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5,472,395.93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5,003,401.06</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91,518,554.66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80,622,051.07</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74" w:lineRule="exact"/>
        <w:ind w:left="0" w:right="0" w:firstLine="0"/>
        <w:jc w:val="right"/>
      </w:pPr>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以上表决权股份的股东单位或关联方情况 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诸暨市富润置业有限公司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29,317,369.04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27,000,000.00</w:t>
            </w:r>
          </w:p>
        </w:tc>
      </w:tr>
    </w:tbl>
    <w:p>
      <w:pPr>
        <w:sectPr>
          <w:footnotePr>
            <w:pos w:val="pageBottom"/>
            <w:numFmt w:val="decimal"/>
            <w:numRestart w:val="continuous"/>
          </w:footnotePr>
          <w:type w:val="continuous"/>
          <w:pgSz w:w="12240" w:h="15840"/>
          <w:pgMar w:top="1450" w:right="1141" w:bottom="1464" w:left="1772" w:header="0" w:footer="3" w:gutter="0"/>
          <w:cols w:space="720"/>
          <w:noEndnote/>
          <w:rtlGutter w:val="0"/>
          <w:docGrid w:linePitch="360"/>
        </w:sect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pgSz w:w="12240" w:h="15840"/>
          <w:pgMar w:top="1022" w:right="1142" w:bottom="988" w:left="1771" w:header="0" w:footer="3" w:gutter="0"/>
          <w:cols w:space="720"/>
          <w:noEndnote/>
          <w:rtlGutter w:val="0"/>
          <w:docGrid w:linePitch="360"/>
        </w:sectPr>
      </w:pPr>
    </w:p>
    <w:tbl>
      <w:tblPr>
        <w:tblOverlap w:val="never"/>
        <w:jc w:val="left"/>
        <w:tblLayout w:type="fixed"/>
      </w:tblPr>
      <w:tblGrid>
        <w:gridCol w:w="3110"/>
        <w:gridCol w:w="3101"/>
        <w:gridCol w:w="3106"/>
      </w:tblGrid>
      <w:tr>
        <w:trPr>
          <w:trHeight w:val="293" w:hRule="exact"/>
        </w:trPr>
        <w:tc>
          <w:tcPr>
            <w:tcBorders>
              <w:top w:val="single" w:sz="4"/>
              <w:lef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0" w:right="0" w:firstLine="0"/>
              <w:jc w:val="left"/>
            </w:pPr>
            <w:r>
              <w:rPr>
                <w:color w:val="000000"/>
                <w:spacing w:val="0"/>
                <w:w w:val="100"/>
                <w:position w:val="0"/>
              </w:rPr>
              <w:t>诸暨市富裕金属材料有限公司</w:t>
            </w:r>
          </w:p>
        </w:tc>
        <w:tc>
          <w:tcPr>
            <w:tcBorders>
              <w:top w:val="single" w:sz="4"/>
              <w:lef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8,461,848.35</w:t>
            </w:r>
          </w:p>
        </w:tc>
        <w:tc>
          <w:tcPr>
            <w:tcBorders>
              <w:top w:val="single" w:sz="4"/>
              <w:left w:val="single" w:sz="4"/>
              <w:righ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8,088,891.59</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0" w:right="0" w:firstLine="0"/>
              <w:jc w:val="left"/>
            </w:pPr>
            <w:r>
              <w:rPr>
                <w:color w:val="000000"/>
                <w:spacing w:val="0"/>
                <w:w w:val="100"/>
                <w:position w:val="0"/>
              </w:rPr>
              <w:t>浙江诸暨地润商贸有限公司</w:t>
            </w:r>
          </w:p>
        </w:tc>
        <w:tc>
          <w:tcPr>
            <w:tcBorders>
              <w:top w:val="single" w:sz="4"/>
              <w:lef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1,474,419.24</w:t>
            </w:r>
          </w:p>
        </w:tc>
        <w:tc>
          <w:tcPr>
            <w:tcBorders>
              <w:top w:val="single" w:sz="4"/>
              <w:left w:val="single" w:sz="4"/>
              <w:righ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1,412,259.62</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0" w:right="0" w:firstLine="0"/>
              <w:jc w:val="left"/>
            </w:pPr>
            <w:r>
              <w:rPr>
                <w:color w:val="000000"/>
                <w:spacing w:val="0"/>
                <w:w w:val="100"/>
                <w:position w:val="0"/>
              </w:rPr>
              <w:t>浙江诸暨华泽纺织有限公司</w:t>
            </w:r>
          </w:p>
        </w:tc>
        <w:tc>
          <w:tcPr>
            <w:tcBorders>
              <w:top w:val="single" w:sz="4"/>
              <w:lef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350,000.00</w:t>
            </w:r>
          </w:p>
        </w:tc>
        <w:tc>
          <w:tcPr>
            <w:tcBorders>
              <w:top w:val="single" w:sz="4"/>
              <w:left w:val="single" w:sz="4"/>
              <w:righ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1,500,000.00</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0" w:right="0" w:firstLine="0"/>
              <w:jc w:val="left"/>
            </w:pPr>
            <w:r>
              <w:rPr>
                <w:color w:val="000000"/>
                <w:spacing w:val="0"/>
                <w:w w:val="100"/>
                <w:position w:val="0"/>
              </w:rPr>
              <w:t>富润集团</w:t>
            </w:r>
          </w:p>
        </w:tc>
        <w:tc>
          <w:tcPr>
            <w:tcBorders>
              <w:top w:val="single" w:sz="4"/>
              <w:lef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271,043.70</w:t>
            </w:r>
          </w:p>
        </w:tc>
        <w:tc>
          <w:tcPr>
            <w:tcBorders>
              <w:top w:val="single" w:sz="4"/>
              <w:left w:val="single" w:sz="4"/>
              <w:righ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141,940.00</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0" w:right="0" w:firstLine="0"/>
              <w:jc w:val="left"/>
            </w:pPr>
            <w:r>
              <w:rPr>
                <w:color w:val="000000"/>
                <w:spacing w:val="0"/>
                <w:w w:val="100"/>
                <w:position w:val="0"/>
              </w:rPr>
              <w:t>服饰公司</w:t>
            </w:r>
          </w:p>
        </w:tc>
        <w:tc>
          <w:tcPr>
            <w:tcBorders>
              <w:top w:val="single" w:sz="4"/>
              <w:lef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206,720.48</w:t>
            </w:r>
          </w:p>
        </w:tc>
        <w:tc>
          <w:tcPr>
            <w:tcBorders>
              <w:top w:val="single" w:sz="4"/>
              <w:left w:val="single" w:sz="4"/>
              <w:righ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0" w:right="0" w:firstLine="0"/>
              <w:jc w:val="left"/>
            </w:pPr>
            <w:r>
              <w:rPr>
                <w:color w:val="000000"/>
                <w:spacing w:val="0"/>
                <w:w w:val="100"/>
                <w:position w:val="0"/>
              </w:rPr>
              <w:t>富润针织有限公司</w:t>
            </w:r>
          </w:p>
        </w:tc>
        <w:tc>
          <w:tcPr>
            <w:tcBorders>
              <w:top w:val="single" w:sz="4"/>
              <w:lef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58,103.30</w:t>
            </w:r>
          </w:p>
        </w:tc>
        <w:tc>
          <w:tcPr>
            <w:tcBorders>
              <w:top w:val="single" w:sz="4"/>
              <w:left w:val="single" w:sz="4"/>
              <w:right w:val="single" w:sz="4"/>
            </w:tcBorders>
            <w:shd w:val="clear" w:color="auto" w:fill="FFFFFF"/>
            <w:vAlign w:val="top"/>
          </w:tcPr>
          <w:p>
            <w:pPr>
              <w:framePr w:w="9317" w:h="2030" w:wrap="none" w:vAnchor="text" w:hAnchor="page" w:x="1782" w:y="21"/>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40,139,504.11</w:t>
            </w:r>
          </w:p>
        </w:tc>
        <w:tc>
          <w:tcPr>
            <w:tcBorders>
              <w:top w:val="single" w:sz="4"/>
              <w:left w:val="single" w:sz="4"/>
              <w:bottom w:val="single" w:sz="4"/>
              <w:right w:val="single" w:sz="4"/>
            </w:tcBorders>
            <w:shd w:val="clear" w:color="auto" w:fill="FFFFFF"/>
            <w:vAlign w:val="bottom"/>
          </w:tcPr>
          <w:p>
            <w:pPr>
              <w:pStyle w:val="Style21"/>
              <w:keepNext w:val="0"/>
              <w:keepLines w:val="0"/>
              <w:framePr w:w="9317" w:h="2030" w:wrap="none" w:vAnchor="text" w:hAnchor="page" w:x="1782"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38,343,091.21</w:t>
            </w:r>
          </w:p>
        </w:tc>
      </w:tr>
    </w:tbl>
    <w:p>
      <w:pPr>
        <w:framePr w:w="9317" w:h="2030" w:wrap="none" w:vAnchor="text" w:hAnchor="page" w:x="1782" w:y="21"/>
        <w:widowControl w:val="0"/>
        <w:spacing w:line="1" w:lineRule="exact"/>
      </w:pPr>
    </w:p>
    <w:p>
      <w:pPr>
        <w:pStyle w:val="Style13"/>
        <w:keepNext w:val="0"/>
        <w:keepLines w:val="0"/>
        <w:framePr w:w="7469" w:h="874" w:wrap="none" w:vAnchor="text" w:hAnchor="page" w:x="1772" w:y="2276"/>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年的大额其他应付款情况的说明</w:t>
      </w:r>
    </w:p>
    <w:p>
      <w:pPr>
        <w:pStyle w:val="Style13"/>
        <w:keepNext w:val="0"/>
        <w:keepLines w:val="0"/>
        <w:framePr w:w="7469" w:h="874" w:wrap="none" w:vAnchor="text" w:hAnchor="page" w:x="1772" w:y="2276"/>
        <w:widowControl w:val="0"/>
        <w:shd w:val="clear" w:color="auto" w:fill="auto"/>
        <w:tabs>
          <w:tab w:pos="2549" w:val="left"/>
          <w:tab w:pos="4070" w:val="left"/>
          <w:tab w:pos="6370" w:val="left"/>
        </w:tabs>
        <w:bidi w:val="0"/>
        <w:spacing w:before="0" w:after="60" w:line="240" w:lineRule="auto"/>
        <w:ind w:left="0" w:right="0" w:firstLine="0"/>
        <w:jc w:val="left"/>
      </w:pPr>
      <w:r>
        <w:rPr>
          <w:color w:val="000000"/>
          <w:spacing w:val="0"/>
          <w:w w:val="100"/>
          <w:position w:val="0"/>
        </w:rPr>
        <w:t>单位名称</w:t>
        <w:tab/>
        <w:t>账龄</w:t>
        <w:tab/>
        <w:t>期末数</w:t>
        <w:tab/>
        <w:t>未偿付原因</w:t>
      </w:r>
    </w:p>
    <w:p>
      <w:pPr>
        <w:pStyle w:val="Style25"/>
        <w:keepNext w:val="0"/>
        <w:keepLines w:val="0"/>
        <w:framePr w:w="7469" w:h="874" w:wrap="none" w:vAnchor="text" w:hAnchor="page" w:x="1772" w:y="2276"/>
        <w:widowControl w:val="0"/>
        <w:shd w:val="clear" w:color="auto" w:fill="auto"/>
        <w:tabs>
          <w:tab w:pos="1498" w:val="left"/>
        </w:tabs>
        <w:bidi w:val="0"/>
        <w:spacing w:before="0" w:after="60" w:line="240" w:lineRule="auto"/>
        <w:ind w:left="0" w:right="0" w:firstLine="0"/>
        <w:jc w:val="center"/>
      </w:pPr>
      <w:r>
        <w:rPr>
          <w:color w:val="000000"/>
          <w:spacing w:val="0"/>
          <w:w w:val="100"/>
          <w:position w:val="0"/>
        </w:rPr>
        <w:t xml:space="preserve">1-2 </w:t>
      </w:r>
      <w:r>
        <w:rPr>
          <w:rFonts w:ascii="SimSun" w:eastAsia="SimSun" w:hAnsi="SimSun" w:cs="SimSun"/>
          <w:color w:val="000000"/>
          <w:spacing w:val="0"/>
          <w:w w:val="100"/>
          <w:position w:val="0"/>
        </w:rPr>
        <w:t>年</w:t>
        <w:tab/>
      </w:r>
      <w:r>
        <w:rPr>
          <w:color w:val="000000"/>
          <w:spacing w:val="0"/>
          <w:w w:val="100"/>
          <w:position w:val="0"/>
        </w:rPr>
        <w:t>750,000.00</w:t>
      </w:r>
    </w:p>
    <w:tbl>
      <w:tblPr>
        <w:tblOverlap w:val="never"/>
        <w:jc w:val="left"/>
        <w:tblLayout w:type="fixed"/>
      </w:tblPr>
      <w:tblGrid>
        <w:gridCol w:w="2554"/>
        <w:gridCol w:w="1522"/>
        <w:gridCol w:w="2299"/>
        <w:gridCol w:w="1834"/>
      </w:tblGrid>
      <w:tr>
        <w:trPr>
          <w:trHeight w:val="312" w:hRule="exact"/>
        </w:trPr>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color w:val="000000"/>
                <w:spacing w:val="0"/>
                <w:w w:val="100"/>
                <w:position w:val="0"/>
              </w:rPr>
              <w:t>账龄</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color w:val="000000"/>
                <w:spacing w:val="0"/>
                <w:w w:val="100"/>
                <w:position w:val="0"/>
              </w:rPr>
              <w:t>未偿付原因</w:t>
            </w:r>
          </w:p>
        </w:tc>
      </w:tr>
      <w:tr>
        <w:trPr>
          <w:trHeight w:val="302" w:hRule="exact"/>
        </w:trPr>
        <w:tc>
          <w:tcPr>
            <w:vMerge w:val="restart"/>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color w:val="000000"/>
                <w:spacing w:val="0"/>
                <w:w w:val="100"/>
                <w:position w:val="0"/>
              </w:rPr>
              <w:t>诸暨市富润置业有限公司</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750,000.00</w:t>
            </w:r>
          </w:p>
        </w:tc>
        <w:tc>
          <w:tcPr>
            <w:vMerge w:val="restart"/>
            <w:tcBorders>
              <w:top w:val="single" w:sz="4"/>
              <w:left w:val="single" w:sz="4"/>
              <w:righ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74" w:lineRule="exact"/>
              <w:ind w:left="0" w:right="0" w:firstLine="0"/>
              <w:jc w:val="both"/>
            </w:pPr>
            <w:r>
              <w:rPr>
                <w:color w:val="000000"/>
                <w:spacing w:val="0"/>
                <w:w w:val="100"/>
                <w:position w:val="0"/>
              </w:rPr>
              <w:t>按约借款，未到偿还 期</w:t>
            </w: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w:t>
            </w:r>
          </w:p>
        </w:tc>
        <w:tc>
          <w:tcPr>
            <w:vMerge/>
            <w:tcBorders>
              <w:left w:val="single" w:sz="4"/>
              <w:right w:val="single" w:sz="4"/>
            </w:tcBorders>
            <w:shd w:val="clear" w:color="auto" w:fill="FFFFFF"/>
            <w:vAlign w:val="center"/>
          </w:tcPr>
          <w:p>
            <w:pPr>
              <w:framePr w:w="8208" w:h="8184" w:wrap="none" w:vAnchor="text" w:hAnchor="page" w:x="1791" w:y="2555"/>
            </w:pP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27,067,369.04</w:t>
            </w:r>
          </w:p>
        </w:tc>
        <w:tc>
          <w:tcPr>
            <w:vMerge/>
            <w:tcBorders>
              <w:left w:val="single" w:sz="4"/>
              <w:right w:val="single" w:sz="4"/>
            </w:tcBorders>
            <w:shd w:val="clear" w:color="auto" w:fill="FFFFFF"/>
            <w:vAlign w:val="center"/>
          </w:tcPr>
          <w:p>
            <w:pPr>
              <w:framePr w:w="8208" w:h="8184" w:wrap="none" w:vAnchor="text" w:hAnchor="page" w:x="1791" w:y="2555"/>
            </w:pP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29,317,369.04</w:t>
            </w:r>
          </w:p>
        </w:tc>
        <w:tc>
          <w:tcPr>
            <w:vMerge/>
            <w:tcBorders>
              <w:left w:val="single" w:sz="4"/>
              <w:right w:val="single" w:sz="4"/>
            </w:tcBorders>
            <w:shd w:val="clear" w:color="auto" w:fill="FFFFFF"/>
            <w:vAlign w:val="center"/>
          </w:tcPr>
          <w:p>
            <w:pPr>
              <w:framePr w:w="8208" w:h="8184" w:wrap="none" w:vAnchor="text" w:hAnchor="page" w:x="1791" w:y="2555"/>
            </w:pPr>
          </w:p>
        </w:tc>
      </w:tr>
      <w:tr>
        <w:trPr>
          <w:trHeight w:val="302" w:hRule="exact"/>
        </w:trPr>
        <w:tc>
          <w:tcPr>
            <w:vMerge w:val="restart"/>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color w:val="000000"/>
                <w:spacing w:val="0"/>
                <w:w w:val="100"/>
                <w:position w:val="0"/>
              </w:rPr>
              <w:t>上海敏贺钢管有限公司</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2,403,189.87</w:t>
            </w:r>
          </w:p>
        </w:tc>
        <w:tc>
          <w:tcPr>
            <w:vMerge w:val="restart"/>
            <w:tcBorders>
              <w:top w:val="single" w:sz="4"/>
              <w:left w:val="single" w:sz="4"/>
              <w:right w:val="single" w:sz="4"/>
            </w:tcBorders>
            <w:shd w:val="clear" w:color="auto" w:fill="FFFFFF"/>
            <w:vAlign w:val="bottom"/>
          </w:tcPr>
          <w:p>
            <w:pPr>
              <w:pStyle w:val="Style21"/>
              <w:keepNext w:val="0"/>
              <w:keepLines w:val="0"/>
              <w:framePr w:w="8208" w:h="8184" w:wrap="none" w:vAnchor="text" w:hAnchor="page" w:x="1791" w:y="2555"/>
              <w:widowControl w:val="0"/>
              <w:shd w:val="clear" w:color="auto" w:fill="auto"/>
              <w:bidi w:val="0"/>
              <w:spacing w:before="0" w:after="0" w:line="235" w:lineRule="exact"/>
              <w:ind w:left="0" w:right="0" w:firstLine="0"/>
              <w:jc w:val="both"/>
            </w:pPr>
            <w:r>
              <w:rPr>
                <w:color w:val="000000"/>
                <w:spacing w:val="0"/>
                <w:w w:val="100"/>
                <w:position w:val="0"/>
              </w:rPr>
              <w:t>按约借款，未到偿还 期</w:t>
            </w: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1,526,215.73</w:t>
            </w:r>
          </w:p>
        </w:tc>
        <w:tc>
          <w:tcPr>
            <w:vMerge/>
            <w:tcBorders>
              <w:left w:val="single" w:sz="4"/>
              <w:right w:val="single" w:sz="4"/>
            </w:tcBorders>
            <w:shd w:val="clear" w:color="auto" w:fill="FFFFFF"/>
            <w:vAlign w:val="bottom"/>
          </w:tcPr>
          <w:p>
            <w:pPr>
              <w:framePr w:w="8208" w:h="8184" w:wrap="none" w:vAnchor="text" w:hAnchor="page" w:x="1791" w:y="2555"/>
            </w:pP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1,427,083.95</w:t>
            </w:r>
          </w:p>
        </w:tc>
        <w:tc>
          <w:tcPr>
            <w:vMerge/>
            <w:tcBorders>
              <w:left w:val="single" w:sz="4"/>
              <w:right w:val="single" w:sz="4"/>
            </w:tcBorders>
            <w:shd w:val="clear" w:color="auto" w:fill="FFFFFF"/>
            <w:vAlign w:val="bottom"/>
          </w:tcPr>
          <w:p>
            <w:pPr>
              <w:framePr w:w="8208" w:h="8184" w:wrap="none" w:vAnchor="text" w:hAnchor="page" w:x="1791" w:y="2555"/>
            </w:pP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17,839,339.97</w:t>
            </w:r>
          </w:p>
        </w:tc>
        <w:tc>
          <w:tcPr>
            <w:vMerge w:val="restart"/>
            <w:tcBorders>
              <w:top w:val="single" w:sz="4"/>
              <w:left w:val="single" w:sz="4"/>
              <w:right w:val="single" w:sz="4"/>
            </w:tcBorders>
            <w:shd w:val="clear" w:color="auto" w:fill="FFFFFF"/>
            <w:vAlign w:val="top"/>
          </w:tcPr>
          <w:p>
            <w:pPr>
              <w:framePr w:w="8208" w:h="8184" w:wrap="none" w:vAnchor="text" w:hAnchor="page" w:x="1791" w:y="2555"/>
              <w:widowControl w:val="0"/>
              <w:rPr>
                <w:sz w:val="10"/>
                <w:szCs w:val="10"/>
              </w:rPr>
            </w:pP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23,195,829.52</w:t>
            </w:r>
          </w:p>
        </w:tc>
        <w:tc>
          <w:tcPr>
            <w:vMerge/>
            <w:tcBorders>
              <w:left w:val="single" w:sz="4"/>
              <w:right w:val="single" w:sz="4"/>
            </w:tcBorders>
            <w:shd w:val="clear" w:color="auto" w:fill="FFFFFF"/>
            <w:vAlign w:val="top"/>
          </w:tcPr>
          <w:p>
            <w:pPr>
              <w:framePr w:w="8208" w:h="8184" w:wrap="none" w:vAnchor="text" w:hAnchor="page" w:x="1791" w:y="2555"/>
            </w:pPr>
          </w:p>
        </w:tc>
      </w:tr>
      <w:tr>
        <w:trPr>
          <w:trHeight w:val="302" w:hRule="exact"/>
        </w:trPr>
        <w:tc>
          <w:tcPr>
            <w:vMerge w:val="restart"/>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color w:val="000000"/>
                <w:spacing w:val="0"/>
                <w:w w:val="100"/>
                <w:position w:val="0"/>
              </w:rPr>
              <w:t>印染公司职工</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1,100,000.00</w:t>
            </w:r>
          </w:p>
        </w:tc>
        <w:tc>
          <w:tcPr>
            <w:vMerge w:val="restart"/>
            <w:tcBorders>
              <w:top w:val="single" w:sz="4"/>
              <w:left w:val="single" w:sz="4"/>
              <w:right w:val="single" w:sz="4"/>
            </w:tcBorders>
            <w:shd w:val="clear" w:color="auto" w:fill="FFFFFF"/>
            <w:vAlign w:val="bottom"/>
          </w:tcPr>
          <w:p>
            <w:pPr>
              <w:pStyle w:val="Style21"/>
              <w:keepNext w:val="0"/>
              <w:keepLines w:val="0"/>
              <w:framePr w:w="8208" w:h="8184" w:wrap="none" w:vAnchor="text" w:hAnchor="page" w:x="1791" w:y="2555"/>
              <w:widowControl w:val="0"/>
              <w:shd w:val="clear" w:color="auto" w:fill="auto"/>
              <w:bidi w:val="0"/>
              <w:spacing w:before="0" w:after="0" w:line="235" w:lineRule="exact"/>
              <w:ind w:left="0" w:right="0" w:firstLine="0"/>
              <w:jc w:val="both"/>
            </w:pPr>
            <w:r>
              <w:rPr>
                <w:color w:val="000000"/>
                <w:spacing w:val="0"/>
                <w:w w:val="100"/>
                <w:position w:val="0"/>
              </w:rPr>
              <w:t>按约借款，未到偿还 期</w:t>
            </w: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7,230,000.00</w:t>
            </w:r>
          </w:p>
        </w:tc>
        <w:tc>
          <w:tcPr>
            <w:vMerge/>
            <w:tcBorders>
              <w:left w:val="single" w:sz="4"/>
              <w:right w:val="single" w:sz="4"/>
            </w:tcBorders>
            <w:shd w:val="clear" w:color="auto" w:fill="FFFFFF"/>
            <w:vAlign w:val="bottom"/>
          </w:tcPr>
          <w:p>
            <w:pPr>
              <w:framePr w:w="8208" w:h="8184" w:wrap="none" w:vAnchor="text" w:hAnchor="page" w:x="1791" w:y="2555"/>
            </w:pP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8,330,000.00</w:t>
            </w:r>
          </w:p>
        </w:tc>
        <w:tc>
          <w:tcPr>
            <w:tcBorders>
              <w:top w:val="single" w:sz="4"/>
              <w:left w:val="single" w:sz="4"/>
              <w:right w:val="single" w:sz="4"/>
            </w:tcBorders>
            <w:shd w:val="clear" w:color="auto" w:fill="FFFFFF"/>
            <w:vAlign w:val="top"/>
          </w:tcPr>
          <w:p>
            <w:pPr>
              <w:framePr w:w="8208" w:h="8184" w:wrap="none" w:vAnchor="text" w:hAnchor="page" w:x="1791" w:y="2555"/>
              <w:widowControl w:val="0"/>
              <w:rPr>
                <w:sz w:val="10"/>
                <w:szCs w:val="10"/>
              </w:rPr>
            </w:pPr>
          </w:p>
        </w:tc>
      </w:tr>
      <w:tr>
        <w:trPr>
          <w:trHeight w:val="302" w:hRule="exact"/>
        </w:trPr>
        <w:tc>
          <w:tcPr>
            <w:vMerge w:val="restart"/>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74" w:lineRule="exact"/>
              <w:ind w:left="0" w:right="0" w:firstLine="0"/>
              <w:jc w:val="left"/>
            </w:pPr>
            <w:r>
              <w:rPr>
                <w:color w:val="000000"/>
                <w:spacing w:val="0"/>
                <w:w w:val="100"/>
                <w:position w:val="0"/>
              </w:rPr>
              <w:t>诸暨市富裕金属材料有限公 司</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398,830.14</w:t>
            </w:r>
          </w:p>
        </w:tc>
        <w:tc>
          <w:tcPr>
            <w:vMerge w:val="restart"/>
            <w:tcBorders>
              <w:top w:val="single" w:sz="4"/>
              <w:left w:val="single" w:sz="4"/>
              <w:right w:val="single" w:sz="4"/>
            </w:tcBorders>
            <w:shd w:val="clear" w:color="auto" w:fill="FFFFFF"/>
            <w:vAlign w:val="bottom"/>
          </w:tcPr>
          <w:p>
            <w:pPr>
              <w:pStyle w:val="Style21"/>
              <w:keepNext w:val="0"/>
              <w:keepLines w:val="0"/>
              <w:framePr w:w="8208" w:h="8184" w:wrap="none" w:vAnchor="text" w:hAnchor="page" w:x="1791" w:y="2555"/>
              <w:widowControl w:val="0"/>
              <w:shd w:val="clear" w:color="auto" w:fill="auto"/>
              <w:bidi w:val="0"/>
              <w:spacing w:before="0" w:after="0" w:line="235" w:lineRule="exact"/>
              <w:ind w:left="0" w:right="0" w:firstLine="0"/>
              <w:jc w:val="both"/>
            </w:pPr>
            <w:r>
              <w:rPr>
                <w:color w:val="000000"/>
                <w:spacing w:val="0"/>
                <w:w w:val="100"/>
                <w:position w:val="0"/>
              </w:rPr>
              <w:t>按约借款，未到偿还 期</w:t>
            </w: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434,995.83</w:t>
            </w:r>
          </w:p>
        </w:tc>
        <w:tc>
          <w:tcPr>
            <w:vMerge/>
            <w:tcBorders>
              <w:left w:val="single" w:sz="4"/>
              <w:right w:val="single" w:sz="4"/>
            </w:tcBorders>
            <w:shd w:val="clear" w:color="auto" w:fill="FFFFFF"/>
            <w:vAlign w:val="bottom"/>
          </w:tcPr>
          <w:p>
            <w:pPr>
              <w:framePr w:w="8208" w:h="8184" w:wrap="none" w:vAnchor="text" w:hAnchor="page" w:x="1791" w:y="2555"/>
            </w:pP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482,661.23</w:t>
            </w:r>
          </w:p>
        </w:tc>
        <w:tc>
          <w:tcPr>
            <w:vMerge/>
            <w:tcBorders>
              <w:left w:val="single" w:sz="4"/>
              <w:right w:val="single" w:sz="4"/>
            </w:tcBorders>
            <w:shd w:val="clear" w:color="auto" w:fill="FFFFFF"/>
            <w:vAlign w:val="bottom"/>
          </w:tcPr>
          <w:p>
            <w:pPr>
              <w:framePr w:w="8208" w:h="8184" w:wrap="none" w:vAnchor="text" w:hAnchor="page" w:x="1791" w:y="2555"/>
            </w:pP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7,145,361.15</w:t>
            </w:r>
          </w:p>
        </w:tc>
        <w:tc>
          <w:tcPr>
            <w:vMerge w:val="restart"/>
            <w:tcBorders>
              <w:top w:val="single" w:sz="4"/>
              <w:left w:val="single" w:sz="4"/>
              <w:right w:val="single" w:sz="4"/>
            </w:tcBorders>
            <w:shd w:val="clear" w:color="auto" w:fill="FFFFFF"/>
            <w:vAlign w:val="top"/>
          </w:tcPr>
          <w:p>
            <w:pPr>
              <w:framePr w:w="8208" w:h="8184" w:wrap="none" w:vAnchor="text" w:hAnchor="page" w:x="1791" w:y="2555"/>
              <w:widowControl w:val="0"/>
              <w:rPr>
                <w:sz w:val="10"/>
                <w:szCs w:val="10"/>
              </w:rPr>
            </w:pP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8,461,848.35</w:t>
            </w:r>
          </w:p>
        </w:tc>
        <w:tc>
          <w:tcPr>
            <w:vMerge/>
            <w:tcBorders>
              <w:left w:val="single" w:sz="4"/>
              <w:right w:val="single" w:sz="4"/>
            </w:tcBorders>
            <w:shd w:val="clear" w:color="auto" w:fill="FFFFFF"/>
            <w:vAlign w:val="top"/>
          </w:tcPr>
          <w:p>
            <w:pPr>
              <w:framePr w:w="8208" w:h="8184" w:wrap="none" w:vAnchor="text" w:hAnchor="page" w:x="1791" w:y="2555"/>
            </w:pPr>
          </w:p>
        </w:tc>
      </w:tr>
      <w:tr>
        <w:trPr>
          <w:trHeight w:val="302" w:hRule="exact"/>
        </w:trPr>
        <w:tc>
          <w:tcPr>
            <w:vMerge w:val="restart"/>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color w:val="000000"/>
                <w:spacing w:val="0"/>
                <w:w w:val="100"/>
                <w:position w:val="0"/>
              </w:rPr>
              <w:t>德清绿能热电有限公司</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184,552.93</w:t>
            </w:r>
          </w:p>
        </w:tc>
        <w:tc>
          <w:tcPr>
            <w:vMerge w:val="restart"/>
            <w:tcBorders>
              <w:top w:val="single" w:sz="4"/>
              <w:left w:val="single" w:sz="4"/>
              <w:right w:val="single" w:sz="4"/>
            </w:tcBorders>
            <w:shd w:val="clear" w:color="auto" w:fill="FFFFFF"/>
            <w:vAlign w:val="bottom"/>
          </w:tcPr>
          <w:p>
            <w:pPr>
              <w:pStyle w:val="Style21"/>
              <w:keepNext w:val="0"/>
              <w:keepLines w:val="0"/>
              <w:framePr w:w="8208" w:h="8184" w:wrap="none" w:vAnchor="text" w:hAnchor="page" w:x="1791" w:y="2555"/>
              <w:widowControl w:val="0"/>
              <w:shd w:val="clear" w:color="auto" w:fill="auto"/>
              <w:bidi w:val="0"/>
              <w:spacing w:before="0" w:after="0" w:line="240" w:lineRule="exact"/>
              <w:ind w:left="0" w:right="0" w:firstLine="0"/>
              <w:jc w:val="both"/>
            </w:pPr>
            <w:r>
              <w:rPr>
                <w:color w:val="000000"/>
                <w:spacing w:val="0"/>
                <w:w w:val="100"/>
                <w:position w:val="0"/>
              </w:rPr>
              <w:t>按约借款，未到偿还 期</w:t>
            </w: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300,834.19</w:t>
            </w:r>
          </w:p>
        </w:tc>
        <w:tc>
          <w:tcPr>
            <w:vMerge/>
            <w:tcBorders>
              <w:left w:val="single" w:sz="4"/>
              <w:right w:val="single" w:sz="4"/>
            </w:tcBorders>
            <w:shd w:val="clear" w:color="auto" w:fill="FFFFFF"/>
            <w:vAlign w:val="bottom"/>
          </w:tcPr>
          <w:p>
            <w:pPr>
              <w:framePr w:w="8208" w:h="8184" w:wrap="none" w:vAnchor="text" w:hAnchor="page" w:x="1791" w:y="2555"/>
            </w:pP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215,192.87</w:t>
            </w:r>
          </w:p>
        </w:tc>
        <w:tc>
          <w:tcPr>
            <w:vMerge/>
            <w:tcBorders>
              <w:left w:val="single" w:sz="4"/>
              <w:right w:val="single" w:sz="4"/>
            </w:tcBorders>
            <w:shd w:val="clear" w:color="auto" w:fill="FFFFFF"/>
            <w:vAlign w:val="bottom"/>
          </w:tcPr>
          <w:p>
            <w:pPr>
              <w:framePr w:w="8208" w:h="8184" w:wrap="none" w:vAnchor="text" w:hAnchor="page" w:x="1791" w:y="2555"/>
            </w:pP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2,888,292.81</w:t>
            </w:r>
          </w:p>
        </w:tc>
        <w:tc>
          <w:tcPr>
            <w:vMerge w:val="restart"/>
            <w:tcBorders>
              <w:top w:val="single" w:sz="4"/>
              <w:left w:val="single" w:sz="4"/>
              <w:right w:val="single" w:sz="4"/>
            </w:tcBorders>
            <w:shd w:val="clear" w:color="auto" w:fill="FFFFFF"/>
            <w:vAlign w:val="top"/>
          </w:tcPr>
          <w:p>
            <w:pPr>
              <w:framePr w:w="8208" w:h="8184" w:wrap="none" w:vAnchor="text" w:hAnchor="page" w:x="1791" w:y="2555"/>
              <w:widowControl w:val="0"/>
              <w:rPr>
                <w:sz w:val="10"/>
                <w:szCs w:val="10"/>
              </w:rPr>
            </w:pP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3,588,872.80</w:t>
            </w:r>
          </w:p>
        </w:tc>
        <w:tc>
          <w:tcPr>
            <w:vMerge/>
            <w:tcBorders>
              <w:left w:val="single" w:sz="4"/>
              <w:right w:val="single" w:sz="4"/>
            </w:tcBorders>
            <w:shd w:val="clear" w:color="auto" w:fill="FFFFFF"/>
            <w:vAlign w:val="top"/>
          </w:tcPr>
          <w:p>
            <w:pPr>
              <w:framePr w:w="8208" w:h="8184" w:wrap="none" w:vAnchor="text" w:hAnchor="page" w:x="1791" w:y="2555"/>
            </w:pPr>
          </w:p>
        </w:tc>
      </w:tr>
      <w:tr>
        <w:trPr>
          <w:trHeight w:val="302" w:hRule="exact"/>
        </w:trPr>
        <w:tc>
          <w:tcPr>
            <w:vMerge w:val="restart"/>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color w:val="000000"/>
                <w:spacing w:val="0"/>
                <w:w w:val="100"/>
                <w:position w:val="0"/>
              </w:rPr>
              <w:t>纺织公司职工</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w:t>
            </w:r>
          </w:p>
        </w:tc>
        <w:tc>
          <w:tcPr>
            <w:vMerge w:val="restart"/>
            <w:tcBorders>
              <w:top w:val="single" w:sz="4"/>
              <w:left w:val="single" w:sz="4"/>
              <w:right w:val="single" w:sz="4"/>
            </w:tcBorders>
            <w:shd w:val="clear" w:color="auto" w:fill="FFFFFF"/>
            <w:vAlign w:val="bottom"/>
          </w:tcPr>
          <w:p>
            <w:pPr>
              <w:pStyle w:val="Style21"/>
              <w:keepNext w:val="0"/>
              <w:keepLines w:val="0"/>
              <w:framePr w:w="8208" w:h="8184" w:wrap="none" w:vAnchor="text" w:hAnchor="page" w:x="1791" w:y="2555"/>
              <w:widowControl w:val="0"/>
              <w:shd w:val="clear" w:color="auto" w:fill="auto"/>
              <w:bidi w:val="0"/>
              <w:spacing w:before="0" w:after="0" w:line="240" w:lineRule="exact"/>
              <w:ind w:left="0" w:right="0" w:firstLine="0"/>
              <w:jc w:val="both"/>
            </w:pPr>
            <w:r>
              <w:rPr>
                <w:color w:val="000000"/>
                <w:spacing w:val="0"/>
                <w:w w:val="100"/>
                <w:position w:val="0"/>
              </w:rPr>
              <w:t>按约借款，未到偿还 期</w:t>
            </w: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1,537,500.00</w:t>
            </w:r>
          </w:p>
        </w:tc>
        <w:tc>
          <w:tcPr>
            <w:vMerge/>
            <w:tcBorders>
              <w:left w:val="single" w:sz="4"/>
              <w:right w:val="single" w:sz="4"/>
            </w:tcBorders>
            <w:shd w:val="clear" w:color="auto" w:fill="FFFFFF"/>
            <w:vAlign w:val="bottom"/>
          </w:tcPr>
          <w:p>
            <w:pPr>
              <w:framePr w:w="8208" w:h="8184" w:wrap="none" w:vAnchor="text" w:hAnchor="page" w:x="1791" w:y="2555"/>
            </w:pPr>
          </w:p>
        </w:tc>
      </w:tr>
      <w:tr>
        <w:trPr>
          <w:trHeight w:val="302" w:hRule="exact"/>
        </w:trPr>
        <w:tc>
          <w:tcPr>
            <w:vMerge/>
            <w:tcBorders>
              <w:left w:val="single" w:sz="4"/>
            </w:tcBorders>
            <w:shd w:val="clear" w:color="auto" w:fill="FFFFFF"/>
            <w:vAlign w:val="center"/>
          </w:tcPr>
          <w:p>
            <w:pPr>
              <w:framePr w:w="8208" w:h="8184" w:wrap="none" w:vAnchor="text" w:hAnchor="page" w:x="1791" w:y="2555"/>
            </w:pP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1,587,500.00</w:t>
            </w:r>
          </w:p>
        </w:tc>
        <w:tc>
          <w:tcPr>
            <w:tcBorders>
              <w:top w:val="single" w:sz="4"/>
              <w:left w:val="single" w:sz="4"/>
              <w:right w:val="single" w:sz="4"/>
            </w:tcBorders>
            <w:shd w:val="clear" w:color="auto" w:fill="FFFFFF"/>
            <w:vAlign w:val="top"/>
          </w:tcPr>
          <w:p>
            <w:pPr>
              <w:framePr w:w="8208" w:h="8184" w:wrap="none" w:vAnchor="text" w:hAnchor="page" w:x="1791" w:y="2555"/>
              <w:widowControl w:val="0"/>
              <w:rPr>
                <w:sz w:val="10"/>
                <w:szCs w:val="10"/>
              </w:rPr>
            </w:pPr>
          </w:p>
        </w:tc>
      </w:tr>
      <w:tr>
        <w:trPr>
          <w:trHeight w:val="312" w:hRule="exact"/>
        </w:trPr>
        <w:tc>
          <w:tcPr>
            <w:gridSpan w:val="2"/>
            <w:tcBorders>
              <w:top w:val="single" w:sz="4"/>
              <w:left w:val="single" w:sz="4"/>
              <w:bottom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framePr w:w="8208" w:h="8184" w:wrap="none" w:vAnchor="text" w:hAnchor="page" w:x="1791" w:y="25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74,481,419.71</w:t>
            </w:r>
          </w:p>
        </w:tc>
        <w:tc>
          <w:tcPr>
            <w:tcBorders>
              <w:top w:val="single" w:sz="4"/>
              <w:left w:val="single" w:sz="4"/>
              <w:bottom w:val="single" w:sz="4"/>
              <w:right w:val="single" w:sz="4"/>
            </w:tcBorders>
            <w:shd w:val="clear" w:color="auto" w:fill="FFFFFF"/>
            <w:vAlign w:val="top"/>
          </w:tcPr>
          <w:p>
            <w:pPr>
              <w:framePr w:w="8208" w:h="8184" w:wrap="none" w:vAnchor="text" w:hAnchor="page" w:x="1791" w:y="2555"/>
              <w:widowControl w:val="0"/>
              <w:rPr>
                <w:sz w:val="10"/>
                <w:szCs w:val="10"/>
              </w:rPr>
            </w:pPr>
          </w:p>
        </w:tc>
      </w:tr>
    </w:tbl>
    <w:p>
      <w:pPr>
        <w:framePr w:w="8208" w:h="8184" w:wrap="none" w:vAnchor="text" w:hAnchor="page" w:x="1791" w:y="2555"/>
        <w:widowControl w:val="0"/>
        <w:spacing w:line="1" w:lineRule="exact"/>
      </w:pPr>
    </w:p>
    <w:tbl>
      <w:tblPr>
        <w:tblOverlap w:val="never"/>
        <w:jc w:val="left"/>
        <w:tblLayout w:type="fixed"/>
      </w:tblPr>
      <w:tblGrid>
        <w:gridCol w:w="3259"/>
        <w:gridCol w:w="2702"/>
        <w:gridCol w:w="2702"/>
      </w:tblGrid>
      <w:tr>
        <w:trPr>
          <w:trHeight w:val="312" w:hRule="exact"/>
        </w:trPr>
        <w:tc>
          <w:tcPr>
            <w:tcBorders>
              <w:top w:val="single" w:sz="4"/>
              <w:left w:val="single" w:sz="4"/>
            </w:tcBorders>
            <w:shd w:val="clear" w:color="auto" w:fill="FFFFFF"/>
            <w:vAlign w:val="center"/>
          </w:tcPr>
          <w:p>
            <w:pPr>
              <w:pStyle w:val="Style21"/>
              <w:keepNext w:val="0"/>
              <w:keepLines w:val="0"/>
              <w:framePr w:w="8664" w:h="1531" w:vSpace="278" w:wrap="none" w:vAnchor="text" w:hAnchor="page" w:x="1772" w:y="11261"/>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framePr w:w="8664" w:h="1531" w:vSpace="278" w:wrap="none" w:vAnchor="text" w:hAnchor="page" w:x="1772" w:y="11261"/>
              <w:widowControl w:val="0"/>
              <w:shd w:val="clear" w:color="auto" w:fill="auto"/>
              <w:bidi w:val="0"/>
              <w:spacing w:before="0" w:after="0" w:line="240" w:lineRule="auto"/>
              <w:ind w:left="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framePr w:w="8664" w:h="1531" w:vSpace="278" w:wrap="none" w:vAnchor="text" w:hAnchor="page" w:x="1772" w:y="11261"/>
              <w:widowControl w:val="0"/>
              <w:shd w:val="clear" w:color="auto" w:fill="auto"/>
              <w:bidi w:val="0"/>
              <w:spacing w:before="0" w:after="0" w:line="240" w:lineRule="auto"/>
              <w:ind w:left="0" w:right="0" w:firstLine="0"/>
              <w:jc w:val="left"/>
            </w:pPr>
            <w:r>
              <w:rPr>
                <w:color w:val="000000"/>
                <w:spacing w:val="0"/>
                <w:w w:val="100"/>
                <w:position w:val="0"/>
              </w:rPr>
              <w:t>款项性质及内容</w:t>
            </w:r>
          </w:p>
        </w:tc>
      </w:tr>
      <w:tr>
        <w:trPr>
          <w:trHeight w:val="302" w:hRule="exact"/>
        </w:trPr>
        <w:tc>
          <w:tcPr>
            <w:tcBorders>
              <w:top w:val="single" w:sz="4"/>
              <w:left w:val="single" w:sz="4"/>
            </w:tcBorders>
            <w:shd w:val="clear" w:color="auto" w:fill="FFFFFF"/>
            <w:vAlign w:val="center"/>
          </w:tcPr>
          <w:p>
            <w:pPr>
              <w:pStyle w:val="Style21"/>
              <w:keepNext w:val="0"/>
              <w:keepLines w:val="0"/>
              <w:framePr w:w="8664" w:h="1531" w:vSpace="278" w:wrap="none" w:vAnchor="text" w:hAnchor="page" w:x="1772" w:y="11261"/>
              <w:widowControl w:val="0"/>
              <w:shd w:val="clear" w:color="auto" w:fill="auto"/>
              <w:bidi w:val="0"/>
              <w:spacing w:before="0" w:after="0" w:line="240" w:lineRule="auto"/>
              <w:ind w:left="0" w:right="0" w:firstLine="0"/>
              <w:jc w:val="left"/>
            </w:pPr>
            <w:r>
              <w:rPr>
                <w:color w:val="000000"/>
                <w:spacing w:val="0"/>
                <w:w w:val="100"/>
                <w:position w:val="0"/>
              </w:rPr>
              <w:t>诸暨市富润置业有限公司</w:t>
            </w:r>
          </w:p>
        </w:tc>
        <w:tc>
          <w:tcPr>
            <w:tcBorders>
              <w:top w:val="single" w:sz="4"/>
              <w:left w:val="single" w:sz="4"/>
            </w:tcBorders>
            <w:shd w:val="clear" w:color="auto" w:fill="FFFFFF"/>
            <w:vAlign w:val="center"/>
          </w:tcPr>
          <w:p>
            <w:pPr>
              <w:pStyle w:val="Style21"/>
              <w:keepNext w:val="0"/>
              <w:keepLines w:val="0"/>
              <w:framePr w:w="8664" w:h="1531" w:vSpace="278" w:wrap="none" w:vAnchor="text" w:hAnchor="page" w:x="1772" w:y="1126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29,317,369.04</w:t>
            </w:r>
          </w:p>
        </w:tc>
        <w:tc>
          <w:tcPr>
            <w:tcBorders>
              <w:top w:val="single" w:sz="4"/>
              <w:left w:val="single" w:sz="4"/>
              <w:right w:val="single" w:sz="4"/>
            </w:tcBorders>
            <w:shd w:val="clear" w:color="auto" w:fill="FFFFFF"/>
            <w:vAlign w:val="center"/>
          </w:tcPr>
          <w:p>
            <w:pPr>
              <w:pStyle w:val="Style21"/>
              <w:keepNext w:val="0"/>
              <w:keepLines w:val="0"/>
              <w:framePr w:w="8664" w:h="1531" w:vSpace="278" w:wrap="none" w:vAnchor="text" w:hAnchor="page" w:x="1772" w:y="11261"/>
              <w:widowControl w:val="0"/>
              <w:shd w:val="clear" w:color="auto" w:fill="auto"/>
              <w:bidi w:val="0"/>
              <w:spacing w:before="0" w:after="0" w:line="240" w:lineRule="auto"/>
              <w:ind w:left="0" w:right="0" w:firstLine="0"/>
              <w:jc w:val="left"/>
            </w:pPr>
            <w:r>
              <w:rPr>
                <w:color w:val="000000"/>
                <w:spacing w:val="0"/>
                <w:w w:val="100"/>
                <w:position w:val="0"/>
              </w:rPr>
              <w:t>暂借款</w:t>
            </w:r>
          </w:p>
        </w:tc>
      </w:tr>
      <w:tr>
        <w:trPr>
          <w:trHeight w:val="302" w:hRule="exact"/>
        </w:trPr>
        <w:tc>
          <w:tcPr>
            <w:tcBorders>
              <w:top w:val="single" w:sz="4"/>
              <w:left w:val="single" w:sz="4"/>
            </w:tcBorders>
            <w:shd w:val="clear" w:color="auto" w:fill="FFFFFF"/>
            <w:vAlign w:val="center"/>
          </w:tcPr>
          <w:p>
            <w:pPr>
              <w:pStyle w:val="Style21"/>
              <w:keepNext w:val="0"/>
              <w:keepLines w:val="0"/>
              <w:framePr w:w="8664" w:h="1531" w:vSpace="278" w:wrap="none" w:vAnchor="text" w:hAnchor="page" w:x="1772" w:y="11261"/>
              <w:widowControl w:val="0"/>
              <w:shd w:val="clear" w:color="auto" w:fill="auto"/>
              <w:bidi w:val="0"/>
              <w:spacing w:before="0" w:after="0" w:line="240" w:lineRule="auto"/>
              <w:ind w:left="0" w:right="0" w:firstLine="0"/>
              <w:jc w:val="left"/>
            </w:pPr>
            <w:r>
              <w:rPr>
                <w:color w:val="000000"/>
                <w:spacing w:val="0"/>
                <w:w w:val="100"/>
                <w:position w:val="0"/>
              </w:rPr>
              <w:t>上海敏贺钢管有限公司</w:t>
            </w:r>
          </w:p>
        </w:tc>
        <w:tc>
          <w:tcPr>
            <w:tcBorders>
              <w:top w:val="single" w:sz="4"/>
              <w:left w:val="single" w:sz="4"/>
            </w:tcBorders>
            <w:shd w:val="clear" w:color="auto" w:fill="FFFFFF"/>
            <w:vAlign w:val="center"/>
          </w:tcPr>
          <w:p>
            <w:pPr>
              <w:pStyle w:val="Style21"/>
              <w:keepNext w:val="0"/>
              <w:keepLines w:val="0"/>
              <w:framePr w:w="8664" w:h="1531" w:vSpace="278" w:wrap="none" w:vAnchor="text" w:hAnchor="page" w:x="1772" w:y="1126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23,195,829.52</w:t>
            </w:r>
          </w:p>
        </w:tc>
        <w:tc>
          <w:tcPr>
            <w:tcBorders>
              <w:top w:val="single" w:sz="4"/>
              <w:left w:val="single" w:sz="4"/>
              <w:right w:val="single" w:sz="4"/>
            </w:tcBorders>
            <w:shd w:val="clear" w:color="auto" w:fill="FFFFFF"/>
            <w:vAlign w:val="center"/>
          </w:tcPr>
          <w:p>
            <w:pPr>
              <w:pStyle w:val="Style21"/>
              <w:keepNext w:val="0"/>
              <w:keepLines w:val="0"/>
              <w:framePr w:w="8664" w:h="1531" w:vSpace="278" w:wrap="none" w:vAnchor="text" w:hAnchor="page" w:x="1772" w:y="11261"/>
              <w:widowControl w:val="0"/>
              <w:shd w:val="clear" w:color="auto" w:fill="auto"/>
              <w:bidi w:val="0"/>
              <w:spacing w:before="0" w:after="0" w:line="240" w:lineRule="auto"/>
              <w:ind w:left="0" w:right="0" w:firstLine="0"/>
              <w:jc w:val="left"/>
            </w:pPr>
            <w:r>
              <w:rPr>
                <w:color w:val="000000"/>
                <w:spacing w:val="0"/>
                <w:w w:val="100"/>
                <w:position w:val="0"/>
              </w:rPr>
              <w:t>暂借款及利息</w:t>
            </w:r>
          </w:p>
        </w:tc>
      </w:tr>
      <w:tr>
        <w:trPr>
          <w:trHeight w:val="302" w:hRule="exact"/>
        </w:trPr>
        <w:tc>
          <w:tcPr>
            <w:tcBorders>
              <w:top w:val="single" w:sz="4"/>
              <w:left w:val="single" w:sz="4"/>
            </w:tcBorders>
            <w:shd w:val="clear" w:color="auto" w:fill="FFFFFF"/>
            <w:vAlign w:val="center"/>
          </w:tcPr>
          <w:p>
            <w:pPr>
              <w:pStyle w:val="Style21"/>
              <w:keepNext w:val="0"/>
              <w:keepLines w:val="0"/>
              <w:framePr w:w="8664" w:h="1531" w:vSpace="278" w:wrap="none" w:vAnchor="text" w:hAnchor="page" w:x="1772" w:y="11261"/>
              <w:widowControl w:val="0"/>
              <w:shd w:val="clear" w:color="auto" w:fill="auto"/>
              <w:bidi w:val="0"/>
              <w:spacing w:before="0" w:after="0" w:line="240" w:lineRule="auto"/>
              <w:ind w:left="0" w:right="0" w:firstLine="0"/>
              <w:jc w:val="left"/>
            </w:pPr>
            <w:r>
              <w:rPr>
                <w:color w:val="000000"/>
                <w:spacing w:val="0"/>
                <w:w w:val="100"/>
                <w:position w:val="0"/>
              </w:rPr>
              <w:t>诸暨市富裕金属材料有限公司</w:t>
            </w:r>
          </w:p>
        </w:tc>
        <w:tc>
          <w:tcPr>
            <w:tcBorders>
              <w:top w:val="single" w:sz="4"/>
              <w:left w:val="single" w:sz="4"/>
            </w:tcBorders>
            <w:shd w:val="clear" w:color="auto" w:fill="FFFFFF"/>
            <w:vAlign w:val="center"/>
          </w:tcPr>
          <w:p>
            <w:pPr>
              <w:pStyle w:val="Style21"/>
              <w:keepNext w:val="0"/>
              <w:keepLines w:val="0"/>
              <w:framePr w:w="8664" w:h="1531" w:vSpace="278" w:wrap="none" w:vAnchor="text" w:hAnchor="page" w:x="1772" w:y="1126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8,461,848.35</w:t>
            </w:r>
          </w:p>
        </w:tc>
        <w:tc>
          <w:tcPr>
            <w:tcBorders>
              <w:top w:val="single" w:sz="4"/>
              <w:left w:val="single" w:sz="4"/>
              <w:right w:val="single" w:sz="4"/>
            </w:tcBorders>
            <w:shd w:val="clear" w:color="auto" w:fill="FFFFFF"/>
            <w:vAlign w:val="center"/>
          </w:tcPr>
          <w:p>
            <w:pPr>
              <w:pStyle w:val="Style21"/>
              <w:keepNext w:val="0"/>
              <w:keepLines w:val="0"/>
              <w:framePr w:w="8664" w:h="1531" w:vSpace="278" w:wrap="none" w:vAnchor="text" w:hAnchor="page" w:x="1772" w:y="11261"/>
              <w:widowControl w:val="0"/>
              <w:shd w:val="clear" w:color="auto" w:fill="auto"/>
              <w:bidi w:val="0"/>
              <w:spacing w:before="0" w:after="0" w:line="240" w:lineRule="auto"/>
              <w:ind w:left="0" w:right="0" w:firstLine="0"/>
              <w:jc w:val="left"/>
            </w:pPr>
            <w:r>
              <w:rPr>
                <w:color w:val="000000"/>
                <w:spacing w:val="0"/>
                <w:w w:val="100"/>
                <w:position w:val="0"/>
              </w:rPr>
              <w:t>暂借款及利息</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framePr w:w="8664" w:h="1531" w:vSpace="278" w:wrap="none" w:vAnchor="text" w:hAnchor="page" w:x="1772" w:y="11261"/>
              <w:widowControl w:val="0"/>
              <w:shd w:val="clear" w:color="auto" w:fill="auto"/>
              <w:bidi w:val="0"/>
              <w:spacing w:before="0" w:after="0" w:line="240" w:lineRule="auto"/>
              <w:ind w:left="0" w:right="0" w:firstLine="0"/>
              <w:jc w:val="left"/>
            </w:pPr>
            <w:r>
              <w:rPr>
                <w:color w:val="000000"/>
                <w:spacing w:val="0"/>
                <w:w w:val="100"/>
                <w:position w:val="0"/>
              </w:rPr>
              <w:t>印染公司职工</w:t>
            </w:r>
          </w:p>
        </w:tc>
        <w:tc>
          <w:tcPr>
            <w:tcBorders>
              <w:top w:val="single" w:sz="4"/>
              <w:left w:val="single" w:sz="4"/>
              <w:bottom w:val="single" w:sz="4"/>
            </w:tcBorders>
            <w:shd w:val="clear" w:color="auto" w:fill="FFFFFF"/>
            <w:vAlign w:val="center"/>
          </w:tcPr>
          <w:p>
            <w:pPr>
              <w:pStyle w:val="Style21"/>
              <w:keepNext w:val="0"/>
              <w:keepLines w:val="0"/>
              <w:framePr w:w="8664" w:h="1531" w:vSpace="278" w:wrap="none" w:vAnchor="text" w:hAnchor="page" w:x="1772" w:y="1126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8,330,000.00</w:t>
            </w:r>
          </w:p>
        </w:tc>
        <w:tc>
          <w:tcPr>
            <w:tcBorders>
              <w:top w:val="single" w:sz="4"/>
              <w:left w:val="single" w:sz="4"/>
              <w:bottom w:val="single" w:sz="4"/>
              <w:right w:val="single" w:sz="4"/>
            </w:tcBorders>
            <w:shd w:val="clear" w:color="auto" w:fill="FFFFFF"/>
            <w:vAlign w:val="center"/>
          </w:tcPr>
          <w:p>
            <w:pPr>
              <w:pStyle w:val="Style21"/>
              <w:keepNext w:val="0"/>
              <w:keepLines w:val="0"/>
              <w:framePr w:w="8664" w:h="1531" w:vSpace="278" w:wrap="none" w:vAnchor="text" w:hAnchor="page" w:x="1772" w:y="11261"/>
              <w:widowControl w:val="0"/>
              <w:shd w:val="clear" w:color="auto" w:fill="auto"/>
              <w:bidi w:val="0"/>
              <w:spacing w:before="0" w:after="0" w:line="240" w:lineRule="auto"/>
              <w:ind w:left="0" w:right="0" w:firstLine="0"/>
              <w:jc w:val="left"/>
            </w:pPr>
            <w:r>
              <w:rPr>
                <w:color w:val="000000"/>
                <w:spacing w:val="0"/>
                <w:w w:val="100"/>
                <w:position w:val="0"/>
              </w:rPr>
              <w:t>暂借款</w:t>
            </w:r>
          </w:p>
        </w:tc>
      </w:tr>
    </w:tbl>
    <w:p>
      <w:pPr>
        <w:framePr w:w="8664" w:h="1531" w:vSpace="278" w:wrap="none" w:vAnchor="text" w:hAnchor="page" w:x="1772" w:y="11261"/>
        <w:widowControl w:val="0"/>
        <w:spacing w:line="1" w:lineRule="exact"/>
      </w:pPr>
    </w:p>
    <w:p>
      <w:pPr>
        <w:pStyle w:val="Style19"/>
        <w:keepNext w:val="0"/>
        <w:keepLines w:val="0"/>
        <w:framePr w:w="4354" w:h="269" w:wrap="none" w:vAnchor="text" w:hAnchor="page" w:x="1772" w:y="1098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 对于金额较大的其他应付款，应说明内容</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type w:val="continuous"/>
          <w:pgSz w:w="12240" w:h="15840"/>
          <w:pgMar w:top="1022" w:right="1142" w:bottom="988" w:left="1771" w:header="0" w:footer="3" w:gutter="0"/>
          <w:cols w:space="720"/>
          <w:noEndnote/>
          <w:rtlGutter w:val="0"/>
          <w:docGrid w:linePitch="360"/>
        </w:sectPr>
      </w:pPr>
    </w:p>
    <w:tbl>
      <w:tblPr>
        <w:tblOverlap w:val="never"/>
        <w:jc w:val="left"/>
        <w:tblLayout w:type="fixed"/>
      </w:tblPr>
      <w:tblGrid>
        <w:gridCol w:w="3240"/>
        <w:gridCol w:w="2702"/>
        <w:gridCol w:w="2702"/>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浙江展诚建设集团股份有限公司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建设保证金</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76,305,046.91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年内到期的非流动负债：</w:t>
      </w:r>
    </w:p>
    <w:p>
      <w:pPr>
        <w:pStyle w:val="Style13"/>
        <w:keepNext w:val="0"/>
        <w:keepLines w:val="0"/>
        <w:widowControl w:val="0"/>
        <w:shd w:val="clear" w:color="auto" w:fill="auto"/>
        <w:tabs>
          <w:tab w:pos="523" w:val="left"/>
        </w:tabs>
        <w:bidi w:val="0"/>
        <w:spacing w:before="0" w:after="0" w:line="240" w:lineRule="auto"/>
        <w:ind w:left="0" w:right="0" w:firstLine="0"/>
        <w:jc w:val="left"/>
      </w:pPr>
      <w:bookmarkStart w:id="219" w:name="bookmark219"/>
      <w:r>
        <w:rPr>
          <w:rFonts w:ascii="Times New Roman" w:eastAsia="Times New Roman" w:hAnsi="Times New Roman" w:cs="Times New Roman"/>
          <w:color w:val="000000"/>
          <w:spacing w:val="0"/>
          <w:w w:val="100"/>
          <w:position w:val="0"/>
        </w:rPr>
        <w:t>1</w:t>
      </w:r>
      <w:bookmarkEnd w:id="219"/>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年内到期的非流动负债情况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tabs>
          <w:tab w:pos="54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年内到期的应付债券</w:t>
      </w:r>
    </w:p>
    <w:tbl>
      <w:tblPr>
        <w:tblOverlap w:val="never"/>
        <w:jc w:val="center"/>
        <w:tblLayout w:type="fixed"/>
      </w:tblPr>
      <w:tblGrid>
        <w:gridCol w:w="437"/>
        <w:gridCol w:w="792"/>
        <w:gridCol w:w="638"/>
        <w:gridCol w:w="422"/>
        <w:gridCol w:w="1426"/>
        <w:gridCol w:w="1162"/>
        <w:gridCol w:w="1320"/>
        <w:gridCol w:w="1315"/>
        <w:gridCol w:w="1162"/>
        <w:gridCol w:w="1435"/>
      </w:tblGrid>
      <w:tr>
        <w:trPr>
          <w:trHeight w:val="274" w:hRule="exact"/>
        </w:trPr>
        <w:tc>
          <w:tcPr>
            <w:gridSpan w:val="8"/>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w:t>
            </w:r>
          </w:p>
        </w:tc>
        <w:tc>
          <w:tcPr>
            <w:gridSpan w:val="2"/>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讶中：人民币</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债 券 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left"/>
            </w:pPr>
            <w:r>
              <w:rPr>
                <w:color w:val="000000"/>
                <w:spacing w:val="0"/>
                <w:w w:val="100"/>
                <w:position w:val="0"/>
              </w:rPr>
              <w:t>债 券 期 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期初应付 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本期应计利 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本期已付利 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期末应付 利息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1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中 小 企 业 集 </w:t>
            </w:r>
            <w:r>
              <w:rPr>
                <w:rFonts w:ascii="SimHei" w:eastAsia="SimHei" w:hAnsi="SimHei" w:cs="SimHei"/>
                <w:color w:val="000000"/>
                <w:spacing w:val="0"/>
                <w:w w:val="100"/>
                <w:position w:val="0"/>
                <w:sz w:val="19"/>
                <w:szCs w:val="19"/>
                <w:vertAlign w:val="subscript"/>
              </w:rPr>
              <w:t xml:space="preserve">合 </w:t>
            </w:r>
            <w:r>
              <w:rPr>
                <w:color w:val="000000"/>
                <w:spacing w:val="0"/>
                <w:w w:val="100"/>
                <w:position w:val="0"/>
              </w:rPr>
              <w:t>票 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60,000,000.00</w:t>
            </w: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3,480,000.00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3,480,000.00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60,000,000.00</w:t>
            </w:r>
          </w:p>
        </w:tc>
      </w:tr>
      <w:tr>
        <w:trPr>
          <w:trHeight w:val="269"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gridSpan w:val="6"/>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日，印染公司向中国银行间债券市场的机构投资者发行中小企业集</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合票据，票</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据期限为</w:t>
      </w:r>
      <w:r>
        <w:rPr>
          <w:rFonts w:ascii="Times New Roman" w:eastAsia="Times New Roman" w:hAnsi="Times New Roman" w:cs="Times New Roman"/>
          <w:color w:val="000000"/>
          <w:spacing w:val="0"/>
          <w:w w:val="100"/>
          <w:position w:val="0"/>
        </w:rPr>
        <w:t>2</w:t>
      </w:r>
      <w:r>
        <w:rPr>
          <w:color w:val="000000"/>
          <w:spacing w:val="0"/>
          <w:w w:val="100"/>
          <w:position w:val="0"/>
        </w:rPr>
        <w:t>年，年利率为</w:t>
      </w:r>
      <w:r>
        <w:rPr>
          <w:rFonts w:ascii="Times New Roman" w:eastAsia="Times New Roman" w:hAnsi="Times New Roman" w:cs="Times New Roman"/>
          <w:color w:val="000000"/>
          <w:spacing w:val="0"/>
          <w:w w:val="100"/>
          <w:position w:val="0"/>
        </w:rPr>
        <w:t>5.80%,</w:t>
      </w:r>
      <w:r>
        <w:rPr>
          <w:color w:val="000000"/>
          <w:spacing w:val="0"/>
          <w:w w:val="100"/>
          <w:position w:val="0"/>
        </w:rPr>
        <w:t>上述集合票据由浙江菲达环保科技股份有限公司提供保证担保。</w:t>
      </w:r>
    </w:p>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三^一</w:t>
      </w:r>
      <w:r>
        <w:rPr>
          <w:rFonts w:ascii="Times New Roman" w:eastAsia="Times New Roman" w:hAnsi="Times New Roman" w:cs="Times New Roman"/>
          <w:color w:val="000000"/>
          <w:spacing w:val="0"/>
          <w:w w:val="100"/>
          <w:position w:val="0"/>
        </w:rPr>
        <w:t>）</w:t>
      </w:r>
      <w:r>
        <w:rPr>
          <w:color w:val="000000"/>
          <w:spacing w:val="0"/>
          <w:w w:val="100"/>
          <w:position w:val="0"/>
        </w:rPr>
        <w:t>专项应付款:</w:t>
      </w:r>
    </w:p>
    <w:tbl>
      <w:tblPr>
        <w:tblOverlap w:val="never"/>
        <w:jc w:val="left"/>
        <w:tblLayout w:type="fixed"/>
      </w:tblPr>
      <w:tblGrid>
        <w:gridCol w:w="1642"/>
        <w:gridCol w:w="1627"/>
        <w:gridCol w:w="1440"/>
        <w:gridCol w:w="1344"/>
        <w:gridCol w:w="1622"/>
        <w:gridCol w:w="1642"/>
      </w:tblGrid>
      <w:tr>
        <w:trPr>
          <w:trHeight w:val="274" w:hRule="exact"/>
        </w:trPr>
        <w:tc>
          <w:tcPr>
            <w:gridSpan w:val="5"/>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单位：元币中</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:中：人民币</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涤纶及涤棉废 旧纺织品再生 利用关键技术 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三十二</w:t>
      </w:r>
      <w:r>
        <w:rPr>
          <w:color w:val="000000"/>
          <w:spacing w:val="0"/>
          <w:w w:val="100"/>
          <w:position w:val="0"/>
        </w:rPr>
        <w:t>）</w:t>
      </w:r>
      <w:r>
        <w:rPr>
          <w:color w:val="000000"/>
          <w:spacing w:val="0"/>
          <w:w w:val="100"/>
          <w:position w:val="0"/>
        </w:rPr>
        <w:t>其他非流动负债：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3485"/>
        <w:gridCol w:w="2914"/>
        <w:gridCol w:w="2918"/>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21,480,216.53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22,989,363.62</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21,480,216.53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22,989,363.62</w:t>
            </w:r>
          </w:p>
        </w:tc>
      </w:tr>
    </w:tbl>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其他非流动负债</w:t>
      </w:r>
      <w:r>
        <w:rPr>
          <w:rFonts w:ascii="Times New Roman" w:eastAsia="Times New Roman" w:hAnsi="Times New Roman" w:cs="Times New Roman"/>
          <w:color w:val="000000"/>
          <w:spacing w:val="0"/>
          <w:w w:val="100"/>
          <w:position w:val="0"/>
        </w:rPr>
        <w:t>-</w:t>
      </w:r>
      <w:r>
        <w:rPr>
          <w:color w:val="000000"/>
          <w:spacing w:val="0"/>
          <w:w w:val="100"/>
          <w:position w:val="0"/>
        </w:rPr>
        <w:t>递延收益</w:t>
      </w:r>
    </w:p>
    <w:tbl>
      <w:tblPr>
        <w:tblOverlap w:val="never"/>
        <w:jc w:val="left"/>
        <w:tblLayout w:type="fixed"/>
      </w:tblPr>
      <w:tblGrid>
        <w:gridCol w:w="3077"/>
        <w:gridCol w:w="2712"/>
        <w:gridCol w:w="2554"/>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21,480,216.53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22,989,363.62</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21,480,216.53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22,989,363.62</w:t>
            </w:r>
          </w:p>
        </w:tc>
      </w:tr>
    </w:tbl>
    <w:p>
      <w:pPr>
        <w:widowControl w:val="0"/>
        <w:spacing w:line="1" w:lineRule="exact"/>
      </w:pPr>
      <w:r>
        <w:br w:type="page"/>
      </w:r>
    </w:p>
    <w:p>
      <w:pPr>
        <w:pStyle w:val="Style19"/>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7"/>
          <w:szCs w:val="17"/>
        </w:rPr>
        <w:t>2）</w:t>
      </w:r>
      <w:r>
        <w:rPr>
          <w:color w:val="000000"/>
          <w:spacing w:val="0"/>
          <w:w w:val="100"/>
          <w:position w:val="0"/>
        </w:rPr>
        <w:t>递延收益-政府补助说明</w:t>
      </w:r>
    </w:p>
    <w:tbl>
      <w:tblPr>
        <w:tblOverlap w:val="never"/>
        <w:jc w:val="left"/>
        <w:tblLayout w:type="fixed"/>
      </w:tblPr>
      <w:tblGrid>
        <w:gridCol w:w="2438"/>
        <w:gridCol w:w="1517"/>
        <w:gridCol w:w="994"/>
        <w:gridCol w:w="1349"/>
        <w:gridCol w:w="979"/>
        <w:gridCol w:w="1402"/>
      </w:tblGrid>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tabs>
                <w:tab w:pos="667" w:val="left"/>
              </w:tabs>
              <w:bidi w:val="0"/>
              <w:spacing w:before="0" w:after="0" w:line="240" w:lineRule="auto"/>
              <w:ind w:left="0" w:right="0" w:firstLine="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本期新增 补助金额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本期计入营业 外收入金额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8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1</w:t>
            </w:r>
            <w:r>
              <w:rPr>
                <w:color w:val="000000"/>
                <w:spacing w:val="0"/>
                <w:w w:val="100"/>
                <w:position w:val="0"/>
              </w:rPr>
              <w:t xml:space="preserve">万吨再生涤纶长丝、 </w:t>
            </w:r>
            <w:r>
              <w:rPr>
                <w:rFonts w:ascii="Times New Roman" w:eastAsia="Times New Roman" w:hAnsi="Times New Roman" w:cs="Times New Roman"/>
                <w:color w:val="000000"/>
                <w:spacing w:val="0"/>
                <w:w w:val="100"/>
                <w:position w:val="0"/>
              </w:rPr>
              <w:t>1</w:t>
            </w:r>
            <w:r>
              <w:rPr>
                <w:color w:val="000000"/>
                <w:spacing w:val="0"/>
                <w:w w:val="100"/>
                <w:position w:val="0"/>
              </w:rPr>
              <w:t>万吨再生涤纶短纤维生 产线项目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8,216,375.65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235,359.12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7,981,016.53</w:t>
            </w:r>
          </w:p>
        </w:tc>
      </w:tr>
      <w:tr>
        <w:trPr>
          <w:trHeight w:val="57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废旧纺织品再生利用技术 的研究和产业化项目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1,900,000.00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废旧纺织品再生利用项目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废旧军服回收利用项目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1,702,380.96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142,857.16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1,559,523.80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节能技术改造项目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6,646,723.72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741,638.39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5,905,085.33</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企业污染源在线监测系统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43,333.36</w:t>
            </w:r>
          </w:p>
        </w:tc>
      </w:tr>
      <w:tr>
        <w:trPr>
          <w:trHeight w:val="57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丝绸多彩镂空特种印花新 技术及其产业化项目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544,166.71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464,166.71</w:t>
            </w:r>
          </w:p>
        </w:tc>
      </w:tr>
      <w:tr>
        <w:trPr>
          <w:trHeight w:val="57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新型高档真丝面料</w:t>
            </w:r>
            <w:r>
              <w:rPr>
                <w:rFonts w:ascii="Times New Roman" w:eastAsia="Times New Roman" w:hAnsi="Times New Roman" w:cs="Times New Roman"/>
                <w:color w:val="000000"/>
                <w:spacing w:val="0"/>
                <w:w w:val="100"/>
                <w:position w:val="0"/>
              </w:rPr>
              <w:t>-</w:t>
            </w:r>
            <w:r>
              <w:rPr>
                <w:color w:val="000000"/>
                <w:spacing w:val="0"/>
                <w:w w:val="100"/>
                <w:position w:val="0"/>
              </w:rPr>
              <w:t>七彩镂 空珠光绸项目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316,666.63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266,666.63</w:t>
            </w:r>
          </w:p>
        </w:tc>
      </w:tr>
      <w:tr>
        <w:trPr>
          <w:trHeight w:val="57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400</w:t>
            </w:r>
            <w:r>
              <w:rPr>
                <w:color w:val="000000"/>
                <w:spacing w:val="0"/>
                <w:w w:val="100"/>
                <w:position w:val="0"/>
              </w:rPr>
              <w:t>万米高档丝麻混 纺服装面料项目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481,550.08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59,573.20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421,976.88</w:t>
            </w:r>
          </w:p>
        </w:tc>
      </w:tr>
      <w:tr>
        <w:trPr>
          <w:trHeight w:val="57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羊毛</w:t>
            </w:r>
            <w:r>
              <w:rPr>
                <w:rFonts w:ascii="Times New Roman" w:eastAsia="Times New Roman" w:hAnsi="Times New Roman" w:cs="Times New Roman"/>
                <w:color w:val="000000"/>
                <w:spacing w:val="0"/>
                <w:w w:val="100"/>
                <w:position w:val="0"/>
              </w:rPr>
              <w:t>/PPT/</w:t>
            </w:r>
            <w:r>
              <w:rPr>
                <w:color w:val="000000"/>
                <w:spacing w:val="0"/>
                <w:w w:val="100"/>
                <w:position w:val="0"/>
              </w:rPr>
              <w:t>牛奶纤维混纺技 术的开发利用项目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297,222.24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263,888.90</w:t>
            </w:r>
          </w:p>
        </w:tc>
      </w:tr>
      <w:tr>
        <w:trPr>
          <w:trHeight w:val="8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极性双层休闲布面料及系 列产品生产技术的研发及 产业化项目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47,658.57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41,701.25</w:t>
            </w:r>
          </w:p>
        </w:tc>
      </w:tr>
      <w:tr>
        <w:trPr>
          <w:trHeight w:val="57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防紫外凉爽毛织物生产技 术产业化项目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386,904.75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35,714.28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351,190.47</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1,196,380.95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114,714.28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1,081,666.67</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22,989,363.62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1,509,147.09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21,480,216.53</w:t>
            </w:r>
          </w:p>
        </w:tc>
      </w:tr>
    </w:tbl>
    <w:p>
      <w:pPr>
        <w:widowControl w:val="0"/>
        <w:spacing w:after="10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三十三</w:t>
      </w:r>
      <w:r>
        <w:rPr>
          <w:color w:val="000000"/>
          <w:spacing w:val="0"/>
          <w:w w:val="100"/>
          <w:position w:val="0"/>
        </w:rPr>
        <w:t>）</w:t>
      </w:r>
      <w:r>
        <w:rPr>
          <w:color w:val="000000"/>
          <w:spacing w:val="0"/>
          <w:w w:val="100"/>
          <w:position w:val="0"/>
        </w:rPr>
        <w:t>股本:</w:t>
      </w:r>
    </w:p>
    <w:tbl>
      <w:tblPr>
        <w:tblOverlap w:val="never"/>
        <w:jc w:val="left"/>
        <w:tblLayout w:type="fixed"/>
      </w:tblPr>
      <w:tblGrid>
        <w:gridCol w:w="922"/>
        <w:gridCol w:w="1531"/>
        <w:gridCol w:w="1008"/>
        <w:gridCol w:w="1008"/>
        <w:gridCol w:w="1008"/>
        <w:gridCol w:w="1008"/>
        <w:gridCol w:w="1286"/>
        <w:gridCol w:w="1546"/>
      </w:tblGrid>
      <w:tr>
        <w:trPr>
          <w:trHeight w:val="269" w:hRule="exact"/>
        </w:trPr>
        <w:tc>
          <w:tcPr>
            <w:gridSpan w:val="7"/>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7"/>
                <w:szCs w:val="17"/>
              </w:rPr>
              <w:t>1:</w:t>
            </w:r>
            <w:r>
              <w:rPr>
                <w:color w:val="000000"/>
                <w:spacing w:val="0"/>
                <w:w w:val="100"/>
                <w:position w:val="0"/>
              </w:rPr>
              <w:t>人民币</w:t>
            </w:r>
          </w:p>
        </w:tc>
      </w:tr>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6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发行新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股份总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182,878,488.00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182,878,488.00</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三十四</w:t>
      </w:r>
      <w:r>
        <w:rPr>
          <w:color w:val="000000"/>
          <w:spacing w:val="0"/>
          <w:w w:val="100"/>
          <w:position w:val="0"/>
        </w:rPr>
        <w:t>）</w:t>
      </w:r>
      <w:r>
        <w:rPr>
          <w:color w:val="000000"/>
          <w:spacing w:val="0"/>
          <w:w w:val="100"/>
          <w:position w:val="0"/>
        </w:rPr>
        <w:t>资本公积</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2333"/>
        <w:gridCol w:w="1742"/>
        <w:gridCol w:w="1747"/>
        <w:gridCol w:w="1742"/>
        <w:gridCol w:w="1752"/>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141,568,580.42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141,568,580.42</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17,162,341.54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226,459,893.77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6,994,664.02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236,627,571.29</w:t>
            </w:r>
          </w:p>
        </w:tc>
      </w:tr>
    </w:tbl>
    <w:p>
      <w:pPr>
        <w:widowControl w:val="0"/>
        <w:spacing w:line="1" w:lineRule="exact"/>
      </w:pPr>
      <w:r>
        <w:br w:type="page"/>
      </w:r>
    </w:p>
    <w:tbl>
      <w:tblPr>
        <w:tblOverlap w:val="never"/>
        <w:jc w:val="left"/>
        <w:tblLayout w:type="fixed"/>
      </w:tblPr>
      <w:tblGrid>
        <w:gridCol w:w="2333"/>
        <w:gridCol w:w="1742"/>
        <w:gridCol w:w="1747"/>
        <w:gridCol w:w="1742"/>
        <w:gridCol w:w="175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158,730,921.96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226,459,893.77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6,994,664.02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378,196,151.71</w:t>
            </w:r>
          </w:p>
        </w:tc>
      </w:tr>
      <w:tr>
        <w:trPr>
          <w:trHeight w:val="274" w:hRule="exact"/>
        </w:trPr>
        <w:tc>
          <w:tcPr>
            <w:gridSpan w:val="3"/>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其他资本公积增加数系公司持有甘肃上峰水泥股份有限公司期末</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r>
              <w:rPr>
                <w:color w:val="000000"/>
                <w:spacing w:val="0"/>
                <w:w w:val="100"/>
                <w:position w:val="0"/>
              </w:rPr>
              <w:t>市价与持有成本的差额（扣减</w:t>
            </w:r>
          </w:p>
        </w:tc>
      </w:tr>
    </w:tbl>
    <w:p>
      <w:pPr>
        <w:pStyle w:val="Style13"/>
        <w:keepNext w:val="0"/>
        <w:keepLines w:val="0"/>
        <w:widowControl w:val="0"/>
        <w:shd w:val="clear" w:color="auto" w:fill="auto"/>
        <w:bidi w:val="0"/>
        <w:spacing w:before="0" w:after="240" w:line="274" w:lineRule="exact"/>
        <w:ind w:left="0" w:right="0" w:firstLine="0"/>
        <w:jc w:val="left"/>
      </w:pPr>
      <w:r>
        <w:rPr>
          <w:color w:val="000000"/>
          <w:spacing w:val="0"/>
          <w:w w:val="100"/>
          <w:position w:val="0"/>
        </w:rPr>
        <w:t>确认相应的递延所得税负债后的净额）</w:t>
      </w:r>
      <w:r>
        <w:rPr>
          <w:rFonts w:ascii="Times New Roman" w:eastAsia="Times New Roman" w:hAnsi="Times New Roman" w:cs="Times New Roman"/>
          <w:color w:val="000000"/>
          <w:spacing w:val="0"/>
          <w:w w:val="100"/>
          <w:position w:val="0"/>
        </w:rPr>
        <w:t>226,407,831.27</w:t>
      </w:r>
      <w:r>
        <w:rPr>
          <w:color w:val="000000"/>
          <w:spacing w:val="0"/>
          <w:w w:val="100"/>
          <w:position w:val="0"/>
        </w:rPr>
        <w:t>元列入资本公积，以及联营企业杭州航民 上峰水泥有限公司本期资本公积增加</w:t>
      </w:r>
      <w:r>
        <w:rPr>
          <w:rFonts w:ascii="Times New Roman" w:eastAsia="Times New Roman" w:hAnsi="Times New Roman" w:cs="Times New Roman"/>
          <w:color w:val="000000"/>
          <w:spacing w:val="0"/>
          <w:w w:val="100"/>
          <w:position w:val="0"/>
        </w:rPr>
        <w:t>208,250.00</w:t>
      </w:r>
      <w:r>
        <w:rPr>
          <w:color w:val="000000"/>
          <w:spacing w:val="0"/>
          <w:w w:val="100"/>
          <w:position w:val="0"/>
        </w:rPr>
        <w:t>元，公司按持股比例计算应享有</w:t>
      </w:r>
      <w:r>
        <w:rPr>
          <w:rFonts w:ascii="Times New Roman" w:eastAsia="Times New Roman" w:hAnsi="Times New Roman" w:cs="Times New Roman"/>
          <w:color w:val="000000"/>
          <w:spacing w:val="0"/>
          <w:w w:val="100"/>
          <w:position w:val="0"/>
        </w:rPr>
        <w:t>52,062.50</w:t>
      </w:r>
      <w:r>
        <w:rPr>
          <w:color w:val="000000"/>
          <w:spacing w:val="0"/>
          <w:w w:val="100"/>
          <w:position w:val="0"/>
        </w:rPr>
        <w:t>元; 减少数系公司出售宏磊股份的股票而转出原计入本项目的公允价值变动（扣减确认相应的递延 所得税负债后的净额）</w:t>
      </w:r>
      <w:r>
        <w:rPr>
          <w:rFonts w:ascii="Times New Roman" w:eastAsia="Times New Roman" w:hAnsi="Times New Roman" w:cs="Times New Roman"/>
          <w:color w:val="000000"/>
          <w:spacing w:val="0"/>
          <w:w w:val="100"/>
          <w:position w:val="0"/>
        </w:rPr>
        <w:t>6,994,664.02</w:t>
      </w:r>
      <w:r>
        <w:rPr>
          <w:color w:val="000000"/>
          <w:spacing w:val="0"/>
          <w:w w:val="100"/>
          <w:position w:val="0"/>
        </w:rPr>
        <w:t>元相应转出。</w:t>
      </w:r>
    </w:p>
    <w:p>
      <w:pPr>
        <w:pStyle w:val="Style1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三十五</w:t>
      </w:r>
      <w:r>
        <w:rPr>
          <w:color w:val="000000"/>
          <w:spacing w:val="0"/>
          <w:w w:val="100"/>
          <w:position w:val="0"/>
        </w:rPr>
        <w:t>）</w:t>
      </w:r>
      <w:r>
        <w:rPr>
          <w:color w:val="000000"/>
          <w:spacing w:val="0"/>
          <w:w w:val="100"/>
          <w:position w:val="0"/>
        </w:rPr>
        <w:t>盈余公积：</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50,538,757.49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7,626,086.98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58,164,844.47</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50,538,757.49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7,626,086.98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58,164,844.47</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5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三十六</w:t>
      </w:r>
      <w:r>
        <w:rPr>
          <w:color w:val="000000"/>
          <w:spacing w:val="0"/>
          <w:w w:val="100"/>
          <w:position w:val="0"/>
        </w:rPr>
        <w:t>）</w:t>
      </w:r>
      <w:r>
        <w:rPr>
          <w:color w:val="000000"/>
          <w:spacing w:val="0"/>
          <w:w w:val="100"/>
          <w:position w:val="0"/>
        </w:rPr>
        <w:t>未分配利润： 单位：元 币种：人民币</w:t>
      </w:r>
    </w:p>
    <w:tbl>
      <w:tblPr>
        <w:tblOverlap w:val="never"/>
        <w:jc w:val="left"/>
        <w:tblLayout w:type="fixed"/>
      </w:tblPr>
      <w:tblGrid>
        <w:gridCol w:w="3110"/>
        <w:gridCol w:w="3101"/>
        <w:gridCol w:w="3106"/>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197,521,745.93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197,521,745.93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加：本期归属于母公司所有者的 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122,469,826.80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7,626,086.98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10.00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54,863,546.40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30.00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12,524,936.08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244,977,003.27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三十七</w:t>
      </w:r>
      <w:r>
        <w:rPr>
          <w:color w:val="000000"/>
          <w:spacing w:val="0"/>
          <w:w w:val="100"/>
          <w:position w:val="0"/>
        </w:rPr>
        <w:t>）</w:t>
      </w:r>
      <w:r>
        <w:rPr>
          <w:color w:val="000000"/>
          <w:spacing w:val="0"/>
          <w:w w:val="100"/>
          <w:position w:val="0"/>
        </w:rPr>
        <w:t>营业收入和营业成本：</w:t>
      </w:r>
    </w:p>
    <w:p>
      <w:pPr>
        <w:pStyle w:val="Style13"/>
        <w:keepNext w:val="0"/>
        <w:keepLines w:val="0"/>
        <w:widowControl w:val="0"/>
        <w:shd w:val="clear" w:color="auto" w:fill="auto"/>
        <w:tabs>
          <w:tab w:pos="520" w:val="left"/>
        </w:tabs>
        <w:bidi w:val="0"/>
        <w:spacing w:before="0" w:after="40" w:line="240" w:lineRule="auto"/>
        <w:ind w:left="0" w:right="0" w:firstLine="0"/>
        <w:jc w:val="left"/>
      </w:pPr>
      <w:bookmarkStart w:id="220" w:name="bookmark220"/>
      <w:r>
        <w:rPr>
          <w:rFonts w:ascii="Times New Roman" w:eastAsia="Times New Roman" w:hAnsi="Times New Roman" w:cs="Times New Roman"/>
          <w:color w:val="000000"/>
          <w:spacing w:val="0"/>
          <w:w w:val="100"/>
          <w:position w:val="0"/>
          <w:shd w:val="clear" w:color="auto" w:fill="FFFFFF"/>
        </w:rPr>
        <w:t>1</w:t>
      </w:r>
      <w:bookmarkEnd w:id="220"/>
      <w:r>
        <w:rPr>
          <w:color w:val="000000"/>
          <w:spacing w:val="0"/>
          <w:w w:val="100"/>
          <w:position w:val="0"/>
          <w:shd w:val="clear" w:color="auto" w:fill="FFFFFF"/>
        </w:rPr>
        <w:t>、</w:t>
      </w:r>
      <w:r>
        <w:rPr>
          <w:color w:val="000000"/>
          <w:spacing w:val="0"/>
          <w:w w:val="100"/>
          <w:position w:val="0"/>
        </w:rPr>
        <w:tab/>
        <w:t>营业收入、营业成本</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1,052,371,620.05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1,032,996,832.24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20,001,537.42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23,709,522.38</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923,761,593.80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901,872,308.98</w:t>
            </w:r>
          </w:p>
        </w:tc>
      </w:tr>
    </w:tbl>
    <w:p>
      <w:pPr>
        <w:widowControl w:val="0"/>
        <w:spacing w:after="239" w:line="1" w:lineRule="exact"/>
      </w:pPr>
    </w:p>
    <w:p>
      <w:pPr>
        <w:pStyle w:val="Style13"/>
        <w:keepNext w:val="0"/>
        <w:keepLines w:val="0"/>
        <w:widowControl w:val="0"/>
        <w:shd w:val="clear" w:color="auto" w:fill="auto"/>
        <w:tabs>
          <w:tab w:pos="520" w:val="left"/>
        </w:tabs>
        <w:bidi w:val="0"/>
        <w:spacing w:before="0" w:after="40" w:line="240" w:lineRule="auto"/>
        <w:ind w:left="0" w:right="0" w:firstLine="0"/>
        <w:jc w:val="left"/>
      </w:pPr>
      <w:bookmarkStart w:id="221" w:name="bookmark221"/>
      <w:r>
        <w:rPr>
          <w:rFonts w:ascii="Times New Roman" w:eastAsia="Times New Roman" w:hAnsi="Times New Roman" w:cs="Times New Roman"/>
          <w:color w:val="000000"/>
          <w:spacing w:val="0"/>
          <w:w w:val="100"/>
          <w:position w:val="0"/>
        </w:rPr>
        <w:t>2</w:t>
      </w:r>
      <w:bookmarkEnd w:id="221"/>
      <w:r>
        <w:rPr>
          <w:color w:val="000000"/>
          <w:spacing w:val="0"/>
          <w:w w:val="100"/>
          <w:position w:val="0"/>
        </w:rPr>
        <w:t>、</w:t>
        <w:tab/>
        <w:t>主营业务（分行业）</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1867"/>
        <w:gridCol w:w="1862"/>
        <w:gridCol w:w="1858"/>
        <w:gridCol w:w="1862"/>
        <w:gridCol w:w="1867"/>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行业名称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1,052,124,536.61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906,610,171.92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1,032,120,805.17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882,195,036.90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247,083.44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229,496.47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876,027.07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770,111.91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1,052,371,620.05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906,839,668.39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1,032,996,832.24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882,965,148.81</w:t>
            </w:r>
          </w:p>
        </w:tc>
      </w:tr>
    </w:tbl>
    <w:p>
      <w:pPr>
        <w:widowControl w:val="0"/>
        <w:spacing w:after="239" w:line="1" w:lineRule="exact"/>
      </w:pPr>
    </w:p>
    <w:p>
      <w:pPr>
        <w:pStyle w:val="Style13"/>
        <w:keepNext w:val="0"/>
        <w:keepLines w:val="0"/>
        <w:widowControl w:val="0"/>
        <w:shd w:val="clear" w:color="auto" w:fill="auto"/>
        <w:tabs>
          <w:tab w:pos="520" w:val="left"/>
        </w:tabs>
        <w:bidi w:val="0"/>
        <w:spacing w:before="0" w:after="40" w:line="240" w:lineRule="auto"/>
        <w:ind w:left="0" w:right="0" w:firstLine="0"/>
        <w:jc w:val="left"/>
      </w:pPr>
      <w:bookmarkStart w:id="222" w:name="bookmark222"/>
      <w:r>
        <w:rPr>
          <w:rFonts w:ascii="Times New Roman" w:eastAsia="Times New Roman" w:hAnsi="Times New Roman" w:cs="Times New Roman"/>
          <w:color w:val="000000"/>
          <w:spacing w:val="0"/>
          <w:w w:val="100"/>
          <w:position w:val="0"/>
        </w:rPr>
        <w:t>3</w:t>
      </w:r>
      <w:bookmarkEnd w:id="222"/>
      <w:r>
        <w:rPr>
          <w:color w:val="000000"/>
          <w:spacing w:val="0"/>
          <w:w w:val="100"/>
          <w:position w:val="0"/>
        </w:rPr>
        <w:t>、</w:t>
        <w:tab/>
        <w:t>主营业务（分产品）</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1795"/>
        <w:gridCol w:w="1877"/>
        <w:gridCol w:w="1882"/>
        <w:gridCol w:w="1877"/>
        <w:gridCol w:w="188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纺织品销售与加</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535,530,984.29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444,319,334.42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600,629,502.99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483,695,703.54</w:t>
            </w:r>
          </w:p>
        </w:tc>
      </w:tr>
    </w:tbl>
    <w:p>
      <w:pPr>
        <w:widowControl w:val="0"/>
        <w:spacing w:line="1" w:lineRule="exact"/>
      </w:pPr>
      <w:r>
        <w:br w:type="page"/>
      </w:r>
    </w:p>
    <w:tbl>
      <w:tblPr>
        <w:tblOverlap w:val="never"/>
        <w:jc w:val="left"/>
        <w:tblLayout w:type="fixed"/>
      </w:tblPr>
      <w:tblGrid>
        <w:gridCol w:w="1795"/>
        <w:gridCol w:w="1877"/>
        <w:gridCol w:w="1882"/>
        <w:gridCol w:w="1877"/>
        <w:gridCol w:w="1886"/>
      </w:tblGrid>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钢管销售及加工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516,840,635.76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462,520,333.97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432,367,329.25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399,269,445.27</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1,052,371,620.05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906,839,668.39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1,032,996,832.24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882,965,148.81</w:t>
            </w:r>
          </w:p>
        </w:tc>
      </w:tr>
    </w:tbl>
    <w:p>
      <w:pPr>
        <w:widowControl w:val="0"/>
        <w:spacing w:after="239" w:line="1" w:lineRule="exact"/>
      </w:pPr>
    </w:p>
    <w:p>
      <w:pPr>
        <w:pStyle w:val="Style13"/>
        <w:keepNext w:val="0"/>
        <w:keepLines w:val="0"/>
        <w:widowControl w:val="0"/>
        <w:shd w:val="clear" w:color="auto" w:fill="auto"/>
        <w:tabs>
          <w:tab w:pos="530" w:val="left"/>
        </w:tabs>
        <w:bidi w:val="0"/>
        <w:spacing w:before="0" w:after="40" w:line="240" w:lineRule="auto"/>
        <w:ind w:left="0" w:right="0" w:firstLine="0"/>
        <w:jc w:val="left"/>
      </w:pPr>
      <w:bookmarkStart w:id="223" w:name="bookmark223"/>
      <w:r>
        <w:rPr>
          <w:rFonts w:ascii="Times New Roman" w:eastAsia="Times New Roman" w:hAnsi="Times New Roman" w:cs="Times New Roman"/>
          <w:color w:val="000000"/>
          <w:spacing w:val="0"/>
          <w:w w:val="100"/>
          <w:position w:val="0"/>
        </w:rPr>
        <w:t>4</w:t>
      </w:r>
      <w:bookmarkEnd w:id="223"/>
      <w:r>
        <w:rPr>
          <w:color w:val="000000"/>
          <w:spacing w:val="0"/>
          <w:w w:val="100"/>
          <w:position w:val="0"/>
        </w:rPr>
        <w:t>、</w:t>
        <w:tab/>
        <w:t>主营业务（分地区）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1795"/>
        <w:gridCol w:w="1877"/>
        <w:gridCol w:w="1882"/>
        <w:gridCol w:w="1877"/>
        <w:gridCol w:w="188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861,984,484.03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744,539,920.89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878,957,180.19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756,800,139.73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190,387,136.02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162,299,747.50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154,039,652.05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126,165,009.08</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1,052,371,620.05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906,839,668.39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1,032,996,832.24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882,965,148.81</w:t>
            </w:r>
          </w:p>
        </w:tc>
      </w:tr>
    </w:tbl>
    <w:p>
      <w:pPr>
        <w:widowControl w:val="0"/>
        <w:spacing w:after="239" w:line="1" w:lineRule="exact"/>
      </w:pPr>
    </w:p>
    <w:p>
      <w:pPr>
        <w:pStyle w:val="Style13"/>
        <w:keepNext w:val="0"/>
        <w:keepLines w:val="0"/>
        <w:widowControl w:val="0"/>
        <w:shd w:val="clear" w:color="auto" w:fill="auto"/>
        <w:tabs>
          <w:tab w:pos="530" w:val="left"/>
        </w:tabs>
        <w:bidi w:val="0"/>
        <w:spacing w:before="0" w:after="40" w:line="240" w:lineRule="auto"/>
        <w:ind w:left="0" w:right="0" w:firstLine="0"/>
        <w:jc w:val="left"/>
      </w:pPr>
      <w:bookmarkStart w:id="224" w:name="bookmark224"/>
      <w:r>
        <w:rPr>
          <w:rFonts w:ascii="Times New Roman" w:eastAsia="Times New Roman" w:hAnsi="Times New Roman" w:cs="Times New Roman"/>
          <w:color w:val="000000"/>
          <w:spacing w:val="0"/>
          <w:w w:val="100"/>
          <w:position w:val="0"/>
          <w:shd w:val="clear" w:color="auto" w:fill="FFFFFF"/>
        </w:rPr>
        <w:t>5</w:t>
      </w:r>
      <w:bookmarkEnd w:id="224"/>
      <w:r>
        <w:rPr>
          <w:color w:val="000000"/>
          <w:spacing w:val="0"/>
          <w:w w:val="100"/>
          <w:position w:val="0"/>
          <w:shd w:val="clear" w:color="auto" w:fill="FFFFFF"/>
        </w:rPr>
        <w:t>、</w:t>
      </w:r>
      <w:r>
        <w:rPr>
          <w:color w:val="000000"/>
          <w:spacing w:val="0"/>
          <w:w w:val="100"/>
          <w:position w:val="0"/>
        </w:rPr>
        <w:tab/>
        <w:t>公司前五名客户的营业收入情况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3014"/>
        <w:gridCol w:w="3005"/>
        <w:gridCol w:w="329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占公司全部营业收入的比例（%）</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江苏曙光华阳钻具有限公司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35,821,704.10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3.34</w:t>
            </w:r>
          </w:p>
        </w:tc>
      </w:tr>
      <w:tr>
        <w:trPr>
          <w:trHeight w:val="4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rPr>
              <w:t>TAKISADA-NAGOYA CO.,LTD.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32,296,619.59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3.01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江阴界顺金属科技有限公司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28,228,624.84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2.63</w:t>
            </w:r>
          </w:p>
        </w:tc>
      </w:tr>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ILJIN STEEL CORPORATION </w:t>
            </w:r>
            <w:r>
              <w:rPr>
                <w:color w:val="000000"/>
                <w:spacing w:val="0"/>
                <w:w w:val="100"/>
                <w:position w:val="0"/>
              </w:rPr>
              <w:t>（韩国）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26,532,868.48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2.47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江阴市洪腾机械有限公司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26,107,940.58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2.43</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148,987,757.59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三十八</w:t>
      </w:r>
      <w:r>
        <w:rPr>
          <w:color w:val="000000"/>
          <w:spacing w:val="0"/>
          <w:w w:val="100"/>
          <w:position w:val="0"/>
        </w:rPr>
        <w:t>）</w:t>
      </w:r>
      <w:r>
        <w:rPr>
          <w:color w:val="000000"/>
          <w:spacing w:val="0"/>
          <w:w w:val="100"/>
          <w:position w:val="0"/>
        </w:rPr>
        <w:t>营业税金及附加：</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2333"/>
        <w:gridCol w:w="2328"/>
        <w:gridCol w:w="2323"/>
        <w:gridCol w:w="233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105,063.44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148,992.62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3,471,950.66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3,122,218.02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1,646,768.91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1,404,948.05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1,094,761.92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1,003,319.75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r>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52,771.71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234,388.70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从价计征的，按房产原 值一次减除</w:t>
            </w:r>
            <w:r>
              <w:rPr>
                <w:rFonts w:ascii="Times New Roman" w:eastAsia="Times New Roman" w:hAnsi="Times New Roman" w:cs="Times New Roman"/>
                <w:color w:val="000000"/>
                <w:spacing w:val="0"/>
                <w:w w:val="100"/>
                <w:position w:val="0"/>
              </w:rPr>
              <w:t>30%</w:t>
            </w:r>
            <w:r>
              <w:rPr>
                <w:color w:val="000000"/>
                <w:spacing w:val="0"/>
                <w:w w:val="100"/>
                <w:position w:val="0"/>
              </w:rPr>
              <w:t>后余值 的</w:t>
            </w:r>
            <w:r>
              <w:rPr>
                <w:rFonts w:ascii="Times New Roman" w:eastAsia="Times New Roman" w:hAnsi="Times New Roman" w:cs="Times New Roman"/>
                <w:color w:val="000000"/>
                <w:spacing w:val="0"/>
                <w:w w:val="100"/>
                <w:position w:val="0"/>
              </w:rPr>
              <w:t>1.2%</w:t>
            </w:r>
            <w:r>
              <w:rPr>
                <w:color w:val="000000"/>
                <w:spacing w:val="0"/>
                <w:w w:val="100"/>
                <w:position w:val="0"/>
              </w:rPr>
              <w:t>计缴；从租计征 的，按租金收入的</w:t>
            </w:r>
            <w:r>
              <w:rPr>
                <w:rFonts w:ascii="Times New Roman" w:eastAsia="Times New Roman" w:hAnsi="Times New Roman" w:cs="Times New Roman"/>
                <w:color w:val="000000"/>
                <w:spacing w:val="0"/>
                <w:w w:val="100"/>
                <w:position w:val="0"/>
              </w:rPr>
              <w:t xml:space="preserve">12% </w:t>
            </w:r>
            <w:r>
              <w:rPr>
                <w:color w:val="000000"/>
                <w:spacing w:val="0"/>
                <w:w w:val="100"/>
                <w:position w:val="0"/>
              </w:rPr>
              <w:t>计缴</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6,371,316.64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5,913,867.14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三十九</w:t>
      </w:r>
      <w:r>
        <w:rPr>
          <w:color w:val="000000"/>
          <w:spacing w:val="0"/>
          <w:w w:val="100"/>
          <w:position w:val="0"/>
        </w:rPr>
        <w:t>）</w:t>
      </w:r>
      <w:r>
        <w:rPr>
          <w:color w:val="000000"/>
          <w:spacing w:val="0"/>
          <w:w w:val="100"/>
          <w:position w:val="0"/>
        </w:rPr>
        <w:t>销售费用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3043"/>
        <w:gridCol w:w="3230"/>
        <w:gridCol w:w="304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运输装卸费及出口报关费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6,510,217.65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4,459,078.99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工资、奖金及业务费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3,567,389.89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3,736,481.58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展览费、经营费及佣金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978,308.48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1,370,468.22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937,055.89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1,025,777.82</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1,330,096.25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1,270,489.81</w:t>
            </w:r>
          </w:p>
        </w:tc>
      </w:tr>
    </w:tbl>
    <w:p>
      <w:pPr>
        <w:widowControl w:val="0"/>
        <w:spacing w:line="1" w:lineRule="exact"/>
      </w:pPr>
      <w:r>
        <w:br w:type="page"/>
      </w:r>
    </w:p>
    <w:tbl>
      <w:tblPr>
        <w:tblOverlap w:val="never"/>
        <w:jc w:val="left"/>
        <w:tblLayout w:type="fixed"/>
      </w:tblPr>
      <w:tblGrid>
        <w:gridCol w:w="3043"/>
        <w:gridCol w:w="3230"/>
        <w:gridCol w:w="3043"/>
      </w:tblGrid>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13,323,068.16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11,862,296.42</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w:t>
      </w:r>
      <w:r>
        <w:rPr>
          <w:color w:val="000000"/>
          <w:spacing w:val="0"/>
          <w:w w:val="100"/>
          <w:position w:val="0"/>
        </w:rPr>
        <w:t>）</w:t>
      </w:r>
      <w:r>
        <w:rPr>
          <w:color w:val="000000"/>
          <w:spacing w:val="0"/>
          <w:w w:val="100"/>
          <w:position w:val="0"/>
        </w:rPr>
        <w:t>管理费用</w:t>
      </w: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043"/>
        <w:gridCol w:w="3230"/>
        <w:gridCol w:w="304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18,509,302.66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24,192,358.91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办公费、租赁费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4,114,136.86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4,157,781.45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5,276,941.47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4,519,973.56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2,926,225.46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2,529,370.14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咨询及技术开发费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6,158,807.74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5,264,339.40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1,224,674.87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1,158,345.86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4,661,538.38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3,749,914.41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42,871,627.44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45,572,083.73</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四十一</w:t>
      </w:r>
      <w:r>
        <w:rPr>
          <w:color w:val="000000"/>
          <w:spacing w:val="0"/>
          <w:w w:val="100"/>
          <w:position w:val="0"/>
        </w:rPr>
        <w:t>）</w:t>
      </w:r>
      <w:r>
        <w:rPr>
          <w:color w:val="000000"/>
          <w:spacing w:val="0"/>
          <w:w w:val="100"/>
          <w:position w:val="0"/>
        </w:rPr>
        <w:t>财务费用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3110"/>
        <w:gridCol w:w="3192"/>
        <w:gridCol w:w="3014"/>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20,806,200.04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35,153,824.83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-5,070,462.89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-4,033,336.62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2,006,942.25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461,782.01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2,608,042.81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1,527,178.00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20,350,722.21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33,109,448.22</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5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四十二</w:t>
      </w:r>
      <w:r>
        <w:rPr>
          <w:color w:val="000000"/>
          <w:spacing w:val="0"/>
          <w:w w:val="100"/>
          <w:position w:val="0"/>
        </w:rPr>
        <w:t>）</w:t>
      </w:r>
      <w:r>
        <w:rPr>
          <w:color w:val="000000"/>
          <w:spacing w:val="0"/>
          <w:w w:val="100"/>
          <w:position w:val="0"/>
        </w:rPr>
        <w:t>公允价值变动收益： 单位：元 币种：人民币</w:t>
      </w:r>
    </w:p>
    <w:tbl>
      <w:tblPr>
        <w:tblOverlap w:val="never"/>
        <w:jc w:val="left"/>
        <w:tblLayout w:type="fixed"/>
      </w:tblPr>
      <w:tblGrid>
        <w:gridCol w:w="5458"/>
        <w:gridCol w:w="1877"/>
        <w:gridCol w:w="198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15,610.00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32,760.00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15,610.00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11,150.00</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四十三</w:t>
      </w:r>
      <w:r>
        <w:rPr>
          <w:color w:val="000000"/>
          <w:spacing w:val="0"/>
          <w:w w:val="100"/>
          <w:position w:val="0"/>
        </w:rPr>
        <w:t>）</w:t>
      </w:r>
      <w:r>
        <w:rPr>
          <w:color w:val="000000"/>
          <w:spacing w:val="0"/>
          <w:w w:val="100"/>
          <w:position w:val="0"/>
        </w:rPr>
        <w:t>投资收益：</w:t>
      </w:r>
    </w:p>
    <w:p>
      <w:pPr>
        <w:pStyle w:val="Style13"/>
        <w:keepNext w:val="0"/>
        <w:keepLines w:val="0"/>
        <w:widowControl w:val="0"/>
        <w:shd w:val="clear" w:color="auto" w:fill="auto"/>
        <w:tabs>
          <w:tab w:pos="526" w:val="left"/>
        </w:tabs>
        <w:bidi w:val="0"/>
        <w:spacing w:before="0" w:after="0" w:line="240" w:lineRule="auto"/>
        <w:ind w:left="0" w:right="0" w:firstLine="0"/>
        <w:jc w:val="left"/>
      </w:pPr>
      <w:bookmarkStart w:id="225" w:name="bookmark225"/>
      <w:r>
        <w:rPr>
          <w:rFonts w:ascii="Times New Roman" w:eastAsia="Times New Roman" w:hAnsi="Times New Roman" w:cs="Times New Roman"/>
          <w:color w:val="000000"/>
          <w:spacing w:val="0"/>
          <w:w w:val="100"/>
          <w:position w:val="0"/>
          <w:shd w:val="clear" w:color="auto" w:fill="FFFFFF"/>
        </w:rPr>
        <w:t>1</w:t>
      </w:r>
      <w:bookmarkEnd w:id="225"/>
      <w:r>
        <w:rPr>
          <w:color w:val="000000"/>
          <w:spacing w:val="0"/>
          <w:w w:val="100"/>
          <w:position w:val="0"/>
          <w:shd w:val="clear" w:color="auto" w:fill="FFFFFF"/>
        </w:rPr>
        <w:t>、</w:t>
      </w:r>
      <w:r>
        <w:rPr>
          <w:color w:val="000000"/>
          <w:spacing w:val="0"/>
          <w:w w:val="100"/>
          <w:position w:val="0"/>
        </w:rPr>
        <w:tab/>
        <w:t>投资收益明细情况：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5270"/>
        <w:gridCol w:w="2064"/>
        <w:gridCol w:w="198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12,541,040.59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27,959,140.22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-3,423,993.01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-2,783,759.17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6,042,000.00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-100,946.08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9,304,227.05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委托贷款取得的利息收益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6,926,245.38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11,662,500.00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31,392,870.01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36,997,434.97</w:t>
            </w:r>
          </w:p>
        </w:tc>
      </w:tr>
    </w:tbl>
    <w:p>
      <w:pPr>
        <w:widowControl w:val="0"/>
        <w:spacing w:after="239" w:line="1" w:lineRule="exact"/>
      </w:pPr>
    </w:p>
    <w:p>
      <w:pPr>
        <w:pStyle w:val="Style13"/>
        <w:keepNext w:val="0"/>
        <w:keepLines w:val="0"/>
        <w:widowControl w:val="0"/>
        <w:shd w:val="clear" w:color="auto" w:fill="auto"/>
        <w:tabs>
          <w:tab w:pos="526" w:val="left"/>
        </w:tabs>
        <w:bidi w:val="0"/>
        <w:spacing w:before="0" w:after="0" w:line="278" w:lineRule="exact"/>
        <w:ind w:left="6460" w:right="0" w:hanging="6460"/>
        <w:jc w:val="left"/>
      </w:pPr>
      <w:bookmarkStart w:id="226" w:name="bookmark226"/>
      <w:r>
        <w:rPr>
          <w:rFonts w:ascii="Times New Roman" w:eastAsia="Times New Roman" w:hAnsi="Times New Roman" w:cs="Times New Roman"/>
          <w:color w:val="000000"/>
          <w:spacing w:val="0"/>
          <w:w w:val="100"/>
          <w:position w:val="0"/>
          <w:shd w:val="clear" w:color="auto" w:fill="FFFFFF"/>
        </w:rPr>
        <w:t>2</w:t>
      </w:r>
      <w:bookmarkEnd w:id="226"/>
      <w:r>
        <w:rPr>
          <w:color w:val="000000"/>
          <w:spacing w:val="0"/>
          <w:w w:val="100"/>
          <w:position w:val="0"/>
          <w:shd w:val="clear" w:color="auto" w:fill="FFFFFF"/>
        </w:rPr>
        <w:t>、</w:t>
      </w:r>
      <w:r>
        <w:rPr>
          <w:color w:val="000000"/>
          <w:spacing w:val="0"/>
          <w:w w:val="100"/>
          <w:position w:val="0"/>
        </w:rPr>
        <w:tab/>
        <w:t xml:space="preserve">按成本法核算的长期股权投资收益： </w:t>
      </w:r>
      <w:r>
        <w:rPr>
          <w:color w:val="000000"/>
          <w:spacing w:val="0"/>
          <w:w w:val="100"/>
          <w:position w:val="0"/>
          <w:u w:val="single"/>
        </w:rPr>
        <w:t>单位:，元币种：人民币</w:t>
      </w:r>
    </w:p>
    <w:p>
      <w:pPr>
        <w:pStyle w:val="Style13"/>
        <w:keepNext w:val="0"/>
        <w:keepLines w:val="0"/>
        <w:widowControl w:val="0"/>
        <w:shd w:val="clear" w:color="auto" w:fill="auto"/>
        <w:tabs>
          <w:tab w:pos="2746" w:val="left"/>
        </w:tabs>
        <w:bidi w:val="0"/>
        <w:spacing w:before="0" w:after="240" w:line="278" w:lineRule="exact"/>
        <w:ind w:left="0" w:right="0" w:firstLine="0"/>
        <w:jc w:val="center"/>
      </w:pPr>
      <w:r>
        <mc:AlternateContent>
          <mc:Choice Requires="wps">
            <w:drawing>
              <wp:anchor distT="0" distB="0" distL="0" distR="0" simplePos="0" relativeHeight="125829462" behindDoc="0" locked="0" layoutInCell="1" allowOverlap="1">
                <wp:simplePos x="0" y="0"/>
                <wp:positionH relativeFrom="page">
                  <wp:posOffset>994410</wp:posOffset>
                </wp:positionH>
                <wp:positionV relativeFrom="paragraph">
                  <wp:posOffset>12700</wp:posOffset>
                </wp:positionV>
                <wp:extent cx="5916295" cy="194945"/>
                <wp:wrapTopAndBottom/>
                <wp:docPr id="163" name="Shape 163"/>
                <a:graphic xmlns:a="http://schemas.openxmlformats.org/drawingml/2006/main">
                  <a:graphicData uri="http://schemas.microsoft.com/office/word/2010/wordprocessingShape">
                    <wps:wsp>
                      <wps:cNvSpPr txBox="1"/>
                      <wps:spPr>
                        <a:xfrm>
                          <a:ext cx="5916295" cy="194945"/>
                        </a:xfrm>
                        <a:prstGeom prst="rect"/>
                        <a:noFill/>
                      </wps:spPr>
                      <wps:txbx>
                        <w:txbxContent>
                          <w:tbl>
                            <w:tblPr>
                              <w:tblOverlap w:val="never"/>
                              <w:jc w:val="left"/>
                              <w:tblLayout w:type="fixed"/>
                            </w:tblPr>
                            <w:tblGrid>
                              <w:gridCol w:w="4075"/>
                              <w:gridCol w:w="1430"/>
                              <w:gridCol w:w="1430"/>
                              <w:gridCol w:w="2381"/>
                            </w:tblGrid>
                            <w:tr>
                              <w:trPr>
                                <w:tblHeade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w:t>
                                  </w:r>
                                </w:p>
                              </w:tc>
                            </w:tr>
                          </w:tbl>
                          <w:p>
                            <w:pPr>
                              <w:widowControl w:val="0"/>
                              <w:spacing w:line="1" w:lineRule="exact"/>
                            </w:pPr>
                          </w:p>
                        </w:txbxContent>
                      </wps:txbx>
                      <wps:bodyPr lIns="0" tIns="0" rIns="0" bIns="0">
                        <a:noAutoFit/>
                      </wps:bodyPr>
                    </wps:wsp>
                  </a:graphicData>
                </a:graphic>
              </wp:anchor>
            </w:drawing>
          </mc:Choice>
          <mc:Fallback>
            <w:pict>
              <v:shape id="_x0000_s1189" type="#_x0000_t202" style="position:absolute;margin-left:78.299999999999997pt;margin-top:1.pt;width:465.85000000000002pt;height:15.35pt;z-index:-125829291;mso-wrap-distance-left:0;mso-wrap-distance-right:0;mso-position-horizontal-relative:page" filled="f" stroked="f">
                <v:textbox inset="0,0,0,0">
                  <w:txbxContent>
                    <w:tbl>
                      <w:tblPr>
                        <w:tblOverlap w:val="never"/>
                        <w:jc w:val="left"/>
                        <w:tblLayout w:type="fixed"/>
                      </w:tblPr>
                      <w:tblGrid>
                        <w:gridCol w:w="4075"/>
                        <w:gridCol w:w="1430"/>
                        <w:gridCol w:w="1430"/>
                        <w:gridCol w:w="2381"/>
                      </w:tblGrid>
                      <w:tr>
                        <w:trPr>
                          <w:tblHeade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w:t>
                            </w:r>
                          </w:p>
                        </w:tc>
                      </w:tr>
                    </w:tbl>
                    <w:p>
                      <w:pPr>
                        <w:widowControl w:val="0"/>
                        <w:spacing w:line="1" w:lineRule="exact"/>
                      </w:pPr>
                    </w:p>
                  </w:txbxContent>
                </v:textbox>
                <w10:wrap type="topAndBottom" anchorx="page"/>
              </v:shape>
            </w:pict>
          </mc:Fallback>
        </mc:AlternateContent>
      </w:r>
      <w:r>
        <w:rPr>
          <w:color w:val="000000"/>
          <w:spacing w:val="0"/>
          <w:w w:val="100"/>
          <w:position w:val="0"/>
        </w:rPr>
        <w:t>被投资单位</w:t>
        <w:tab/>
        <w:t>本期发生额 上期发生额本期比上期增减变动的</w:t>
      </w:r>
      <w:r>
        <w:br w:type="page"/>
      </w:r>
    </w:p>
    <w:tbl>
      <w:tblPr>
        <w:tblOverlap w:val="never"/>
        <w:jc w:val="left"/>
        <w:tblLayout w:type="fixed"/>
      </w:tblPr>
      <w:tblGrid>
        <w:gridCol w:w="4075"/>
        <w:gridCol w:w="1430"/>
        <w:gridCol w:w="1430"/>
        <w:gridCol w:w="2381"/>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浙江省诸暨市人民药店连锁有限公司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上期未分配股利</w:t>
            </w:r>
          </w:p>
        </w:tc>
      </w:tr>
      <w:tr>
        <w:trPr>
          <w:trHeight w:val="835" w:hRule="exact"/>
        </w:trPr>
        <w:tc>
          <w:tcPr>
            <w:tcBorders>
              <w:top w:val="single" w:sz="4"/>
              <w:left w:val="single" w:sz="4"/>
            </w:tcBorders>
            <w:shd w:val="clear" w:color="auto" w:fill="FFFFFF"/>
            <w:vAlign w:val="bottom"/>
          </w:tcPr>
          <w:p>
            <w:pPr>
              <w:pStyle w:val="Style21"/>
              <w:keepNext w:val="0"/>
              <w:keepLines w:val="0"/>
              <w:widowControl w:val="0"/>
              <w:shd w:val="clear" w:color="auto" w:fill="auto"/>
              <w:tabs>
                <w:tab w:pos="3542" w:val="left"/>
              </w:tabs>
              <w:bidi w:val="0"/>
              <w:spacing w:before="0" w:after="0" w:line="269" w:lineRule="exact"/>
              <w:ind w:left="0" w:right="0" w:firstLine="0"/>
              <w:jc w:val="left"/>
            </w:pPr>
            <w:r>
              <w:rPr>
                <w:color w:val="000000"/>
                <w:spacing w:val="0"/>
                <w:w w:val="100"/>
                <w:position w:val="0"/>
              </w:rPr>
              <w:t>甘肃上峰水泥股份有限公 司</w:t>
              <w:tab/>
            </w:r>
            <w:r>
              <w:rPr>
                <w:color w:val="000000"/>
                <w:spacing w:val="0"/>
                <w:w w:val="100"/>
                <w:position w:val="0"/>
              </w:rPr>
              <w:t>（</w:t>
            </w:r>
            <w:r>
              <w:rPr>
                <w:color w:val="000000"/>
                <w:spacing w:val="0"/>
                <w:w w:val="100"/>
                <w:position w:val="0"/>
              </w:rPr>
              <w:t>原</w:t>
            </w:r>
          </w:p>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安徽铜陵上峰水泥股份有限公司</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15,020,840.00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本期未分配股利</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诸暨市宏润小额贷款有限公司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浙江诸暨热电发展有限公司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1,295,740.59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1,732,000.22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被投资单位分配股利减 少</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诸暨南门市场有限公司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绍兴市商业银行股份有限公司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诸暨康达机械有限公司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906,300.00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906,300.00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12,541,040.59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27,959,140.22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tabs>
          <w:tab w:pos="538" w:val="left"/>
        </w:tabs>
        <w:bidi w:val="0"/>
        <w:spacing w:before="0" w:after="0" w:line="240" w:lineRule="auto"/>
        <w:ind w:left="0" w:right="0" w:firstLine="0"/>
        <w:jc w:val="left"/>
      </w:pPr>
      <w:bookmarkStart w:id="227" w:name="bookmark227"/>
      <w:r>
        <w:rPr>
          <w:rFonts w:ascii="Times New Roman" w:eastAsia="Times New Roman" w:hAnsi="Times New Roman" w:cs="Times New Roman"/>
          <w:color w:val="000000"/>
          <w:spacing w:val="0"/>
          <w:w w:val="100"/>
          <w:position w:val="0"/>
          <w:shd w:val="clear" w:color="auto" w:fill="FFFFFF"/>
        </w:rPr>
        <w:t>3</w:t>
      </w:r>
      <w:bookmarkEnd w:id="227"/>
      <w:r>
        <w:rPr>
          <w:color w:val="000000"/>
          <w:spacing w:val="0"/>
          <w:w w:val="100"/>
          <w:position w:val="0"/>
          <w:shd w:val="clear" w:color="auto" w:fill="FFFFFF"/>
        </w:rPr>
        <w:t>、</w:t>
      </w:r>
      <w:r>
        <w:rPr>
          <w:color w:val="000000"/>
          <w:spacing w:val="0"/>
          <w:w w:val="100"/>
          <w:position w:val="0"/>
        </w:rPr>
        <w:tab/>
        <w:t>按权益法核算的长期股权投资收益：</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2453"/>
        <w:gridCol w:w="1973"/>
        <w:gridCol w:w="1973"/>
        <w:gridCol w:w="2918"/>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本期比上期增减变动的原因</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诸暨市富润置业有限公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623,952.62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1,907,383.79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被投资单位实现利润变动</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568,234.04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455,272.89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被投资单位实现利润增加</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杭州航民上峰水泥有限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-4,616,179.67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-5,146,415.85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被投资单位本期亏损</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-3,423,993.01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-2,783,759.17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四十四</w:t>
      </w:r>
      <w:r>
        <w:rPr>
          <w:color w:val="000000"/>
          <w:spacing w:val="0"/>
          <w:w w:val="100"/>
          <w:position w:val="0"/>
        </w:rPr>
        <w:t>）</w:t>
      </w:r>
      <w:r>
        <w:rPr>
          <w:color w:val="000000"/>
          <w:spacing w:val="0"/>
          <w:w w:val="100"/>
          <w:position w:val="0"/>
        </w:rPr>
        <w:t>资产减值损失：</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3730"/>
        <w:gridCol w:w="2789"/>
        <w:gridCol w:w="279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-2,132,568.78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499,149.77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4,392,110.34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581,854.47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2,259,541.56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1,081,004.24</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四十五</w:t>
      </w:r>
      <w:r>
        <w:rPr>
          <w:color w:val="000000"/>
          <w:spacing w:val="0"/>
          <w:w w:val="100"/>
          <w:position w:val="0"/>
        </w:rPr>
        <w:t>）</w:t>
      </w:r>
      <w:r>
        <w:rPr>
          <w:color w:val="000000"/>
          <w:spacing w:val="0"/>
          <w:w w:val="100"/>
          <w:position w:val="0"/>
        </w:rPr>
        <w:t>营业外收入：</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营业外收入情况</w:t>
      </w:r>
    </w:p>
    <w:p>
      <w:pPr>
        <w:pStyle w:val="Style13"/>
        <w:keepNext w:val="0"/>
        <w:keepLines w:val="0"/>
        <w:widowControl w:val="0"/>
        <w:shd w:val="clear" w:color="auto" w:fill="auto"/>
        <w:bidi w:val="0"/>
        <w:spacing w:before="0" w:after="140" w:line="240" w:lineRule="auto"/>
        <w:ind w:left="6460" w:right="0" w:firstLine="0"/>
        <w:jc w:val="left"/>
      </w:pPr>
      <w:r>
        <w:rPr>
          <w:color w:val="000000"/>
          <w:spacing w:val="0"/>
          <w:w w:val="100"/>
          <w:position w:val="0"/>
        </w:rPr>
        <w:t>单位：元 币种：人民币</w:t>
      </w:r>
      <w:r>
        <w:br w:type="page"/>
      </w:r>
    </w:p>
    <w:tbl>
      <w:tblPr>
        <w:tblOverlap w:val="never"/>
        <w:jc w:val="left"/>
        <w:tblLayout w:type="fixed"/>
      </w:tblPr>
      <w:tblGrid>
        <w:gridCol w:w="2333"/>
        <w:gridCol w:w="2328"/>
        <w:gridCol w:w="2323"/>
        <w:gridCol w:w="2333"/>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非流动资产处置利得合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129,429,887.88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128,058,998.90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129,429,887.88</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其中：固定资产处置利 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129,429,887.88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128,058,998.90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129,429,887.88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4,858,972.69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5,454,103.78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4,858,972.69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1,257,637.23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382,255.89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1,257,637.23</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135,546,497.80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133,897,358.57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135,546,497.80</w:t>
            </w:r>
          </w:p>
        </w:tc>
      </w:tr>
    </w:tbl>
    <w:p>
      <w:pPr>
        <w:widowControl w:val="0"/>
        <w:spacing w:after="239" w:line="1" w:lineRule="exact"/>
      </w:pPr>
    </w:p>
    <w:p>
      <w:pPr>
        <w:pStyle w:val="Style13"/>
        <w:keepNext w:val="0"/>
        <w:keepLines w:val="0"/>
        <w:widowControl w:val="0"/>
        <w:shd w:val="clear" w:color="auto" w:fill="auto"/>
        <w:tabs>
          <w:tab w:pos="533" w:val="left"/>
        </w:tabs>
        <w:bidi w:val="0"/>
        <w:spacing w:before="0" w:after="40" w:line="240" w:lineRule="auto"/>
        <w:ind w:left="0" w:right="0" w:firstLine="0"/>
        <w:jc w:val="left"/>
      </w:pPr>
      <w:bookmarkStart w:id="228" w:name="bookmark228"/>
      <w:r>
        <w:rPr>
          <w:rFonts w:ascii="Times New Roman" w:eastAsia="Times New Roman" w:hAnsi="Times New Roman" w:cs="Times New Roman"/>
          <w:color w:val="000000"/>
          <w:spacing w:val="0"/>
          <w:w w:val="100"/>
          <w:position w:val="0"/>
          <w:shd w:val="clear" w:color="auto" w:fill="FFFFFF"/>
        </w:rPr>
        <w:t>2</w:t>
      </w:r>
      <w:bookmarkEnd w:id="228"/>
      <w:r>
        <w:rPr>
          <w:color w:val="000000"/>
          <w:spacing w:val="0"/>
          <w:w w:val="100"/>
          <w:position w:val="0"/>
          <w:shd w:val="clear" w:color="auto" w:fill="FFFFFF"/>
        </w:rPr>
        <w:t>、</w:t>
      </w:r>
      <w:r>
        <w:rPr>
          <w:color w:val="000000"/>
          <w:spacing w:val="0"/>
          <w:w w:val="100"/>
          <w:position w:val="0"/>
        </w:rPr>
        <w:tab/>
        <w:t>政府补助明细</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2381"/>
        <w:gridCol w:w="2088"/>
        <w:gridCol w:w="2184"/>
        <w:gridCol w:w="2664"/>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1,720,645.00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1,509,147.09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2,195,564.78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科技奖励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1,091,180.60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1,437,539.00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4,858,972.69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5,454,103.78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240" w:line="278" w:lineRule="exact"/>
        <w:ind w:left="0" w:right="0" w:firstLine="0"/>
        <w:jc w:val="left"/>
      </w:pPr>
      <w:r>
        <w:rPr>
          <w:color w:val="000000"/>
          <w:spacing w:val="0"/>
          <w:w w:val="100"/>
          <w:position w:val="0"/>
        </w:rPr>
        <w:t>非流动资产处置利得中有</w:t>
      </w:r>
      <w:r>
        <w:rPr>
          <w:rFonts w:ascii="Times New Roman" w:eastAsia="Times New Roman" w:hAnsi="Times New Roman" w:cs="Times New Roman"/>
          <w:color w:val="000000"/>
          <w:spacing w:val="0"/>
          <w:w w:val="100"/>
          <w:position w:val="0"/>
        </w:rPr>
        <w:t>129,351,978.90</w:t>
      </w:r>
      <w:r>
        <w:rPr>
          <w:color w:val="000000"/>
          <w:spacing w:val="0"/>
          <w:w w:val="100"/>
          <w:position w:val="0"/>
        </w:rPr>
        <w:t>元系搬迁补偿净收益，详见本报告第十节其他重要事 项（七）之说明。</w:t>
      </w:r>
    </w:p>
    <w:tbl>
      <w:tblPr>
        <w:tblOverlap w:val="never"/>
        <w:jc w:val="left"/>
        <w:tblLayout w:type="fixed"/>
      </w:tblPr>
      <w:tblGrid>
        <w:gridCol w:w="3173"/>
        <w:gridCol w:w="2045"/>
        <w:gridCol w:w="2045"/>
        <w:gridCol w:w="2054"/>
      </w:tblGrid>
      <w:tr>
        <w:trPr>
          <w:trHeight w:val="566" w:hRule="exact"/>
        </w:trPr>
        <w:tc>
          <w:tcPr>
            <w:tcBorders>
              <w:top w:val="single" w:sz="4"/>
              <w:left w:val="single" w:sz="4"/>
            </w:tcBorders>
            <w:shd w:val="clear" w:color="auto" w:fill="FFFFFF"/>
            <w:vAlign w:val="center"/>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74" w:lineRule="exact"/>
              <w:ind w:left="0" w:right="0" w:firstLine="0"/>
              <w:jc w:val="center"/>
            </w:pPr>
            <w:r>
              <w:rPr>
                <w:color w:val="000000"/>
                <w:spacing w:val="0"/>
                <w:w w:val="100"/>
                <w:position w:val="0"/>
              </w:rPr>
              <w:t>计入当期非经常性 损益的金额</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180,126.55</w:t>
            </w:r>
          </w:p>
        </w:tc>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1,317,319.76</w:t>
            </w:r>
          </w:p>
        </w:tc>
        <w:tc>
          <w:tcPr>
            <w:tcBorders>
              <w:top w:val="single" w:sz="4"/>
              <w:left w:val="single" w:sz="4"/>
              <w:righ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180,126.55</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180,126.55</w:t>
            </w:r>
          </w:p>
        </w:tc>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1,317,319.76</w:t>
            </w:r>
          </w:p>
        </w:tc>
        <w:tc>
          <w:tcPr>
            <w:tcBorders>
              <w:top w:val="single" w:sz="4"/>
              <w:left w:val="single" w:sz="4"/>
              <w:righ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180,126.55</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left"/>
            </w:pPr>
            <w:r>
              <w:rPr>
                <w:color w:val="000000"/>
                <w:spacing w:val="0"/>
                <w:w w:val="100"/>
                <w:position w:val="0"/>
              </w:rPr>
              <w:t>水利建设专项资金</w:t>
            </w:r>
          </w:p>
        </w:tc>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1,072,092.18</w:t>
            </w:r>
          </w:p>
        </w:tc>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996,192.07</w:t>
            </w:r>
          </w:p>
        </w:tc>
        <w:tc>
          <w:tcPr>
            <w:tcBorders>
              <w:top w:val="single" w:sz="4"/>
              <w:left w:val="single" w:sz="4"/>
              <w:right w:val="single" w:sz="4"/>
            </w:tcBorders>
            <w:shd w:val="clear" w:color="auto" w:fill="FFFFFF"/>
            <w:vAlign w:val="top"/>
          </w:tcPr>
          <w:p>
            <w:pPr>
              <w:framePr w:w="9317" w:h="2587" w:hSpace="5" w:vSpace="538" w:wrap="notBeside" w:vAnchor="text" w:hAnchor="text" w:x="6"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top"/>
          </w:tcPr>
          <w:p>
            <w:pPr>
              <w:framePr w:w="9317" w:h="2587" w:hSpace="5" w:vSpace="538" w:wrap="notBeside" w:vAnchor="text" w:hAnchor="text" w:x="6" w:y="539"/>
              <w:widowControl w:val="0"/>
              <w:rPr>
                <w:sz w:val="10"/>
                <w:szCs w:val="10"/>
              </w:rPr>
            </w:pPr>
          </w:p>
        </w:tc>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67,251.19</w:t>
            </w:r>
          </w:p>
        </w:tc>
        <w:tc>
          <w:tcPr>
            <w:tcBorders>
              <w:top w:val="single" w:sz="4"/>
              <w:left w:val="single" w:sz="4"/>
              <w:right w:val="single" w:sz="4"/>
            </w:tcBorders>
            <w:shd w:val="clear" w:color="auto" w:fill="FFFFFF"/>
            <w:vAlign w:val="top"/>
          </w:tcPr>
          <w:p>
            <w:pPr>
              <w:framePr w:w="9317" w:h="2587" w:hSpace="5" w:vSpace="538" w:wrap="notBeside" w:vAnchor="text" w:hAnchor="text" w:x="6"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left"/>
            </w:pPr>
            <w:r>
              <w:rPr>
                <w:color w:val="000000"/>
                <w:spacing w:val="0"/>
                <w:w w:val="100"/>
                <w:position w:val="0"/>
              </w:rPr>
              <w:t>罚（赔）款支出</w:t>
            </w:r>
          </w:p>
        </w:tc>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3,826.22</w:t>
            </w:r>
          </w:p>
        </w:tc>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15,864.91</w:t>
            </w:r>
          </w:p>
        </w:tc>
        <w:tc>
          <w:tcPr>
            <w:tcBorders>
              <w:top w:val="single" w:sz="4"/>
              <w:left w:val="single" w:sz="4"/>
              <w:righ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3,826.22</w:t>
            </w:r>
          </w:p>
        </w:tc>
      </w:tr>
      <w:tr>
        <w:trPr>
          <w:trHeight w:val="283" w:hRule="exact"/>
        </w:trPr>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82,900.70</w:t>
            </w:r>
          </w:p>
        </w:tc>
        <w:tc>
          <w:tcPr>
            <w:tcBorders>
              <w:top w:val="single" w:sz="4"/>
              <w:lef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15,285.86</w:t>
            </w:r>
          </w:p>
        </w:tc>
        <w:tc>
          <w:tcPr>
            <w:tcBorders>
              <w:top w:val="single" w:sz="4"/>
              <w:left w:val="single" w:sz="4"/>
              <w:righ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82,900.70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1,338,945.65</w:t>
            </w:r>
          </w:p>
        </w:tc>
        <w:tc>
          <w:tcPr>
            <w:tcBorders>
              <w:top w:val="single" w:sz="4"/>
              <w:left w:val="single" w:sz="4"/>
              <w:bottom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2,411,913.79</w:t>
            </w:r>
          </w:p>
        </w:tc>
        <w:tc>
          <w:tcPr>
            <w:tcBorders>
              <w:top w:val="single" w:sz="4"/>
              <w:left w:val="single" w:sz="4"/>
              <w:bottom w:val="single" w:sz="4"/>
              <w:right w:val="single" w:sz="4"/>
            </w:tcBorders>
            <w:shd w:val="clear" w:color="auto" w:fill="FFFFFF"/>
            <w:vAlign w:val="bottom"/>
          </w:tcPr>
          <w:p>
            <w:pPr>
              <w:pStyle w:val="Style21"/>
              <w:keepNext w:val="0"/>
              <w:keepLines w:val="0"/>
              <w:framePr w:w="9317" w:h="2587" w:hSpace="5" w:vSpace="538" w:wrap="notBeside" w:vAnchor="text" w:hAnchor="text" w:x="6" w:y="539"/>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266,853.47</w:t>
            </w:r>
          </w:p>
        </w:tc>
      </w:tr>
    </w:tbl>
    <w:p>
      <w:pPr>
        <w:pStyle w:val="Style19"/>
        <w:keepNext w:val="0"/>
        <w:keepLines w:val="0"/>
        <w:framePr w:w="2280" w:h="274" w:hSpace="8160"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四十六</w:t>
      </w:r>
      <w:r>
        <w:rPr>
          <w:color w:val="000000"/>
          <w:spacing w:val="0"/>
          <w:w w:val="100"/>
          <w:position w:val="0"/>
        </w:rPr>
        <w:t>）</w:t>
      </w:r>
      <w:r>
        <w:rPr>
          <w:color w:val="000000"/>
          <w:spacing w:val="0"/>
          <w:w w:val="100"/>
          <w:position w:val="0"/>
        </w:rPr>
        <w:t>营业外支出:</w:t>
      </w:r>
    </w:p>
    <w:p>
      <w:pPr>
        <w:pStyle w:val="Style19"/>
        <w:keepNext w:val="0"/>
        <w:keepLines w:val="0"/>
        <w:framePr w:w="2237" w:h="254" w:hSpace="8203" w:wrap="notBeside" w:vAnchor="text" w:hAnchor="text" w:x="6452" w:y="275"/>
        <w:widowControl w:val="0"/>
        <w:shd w:val="clear" w:color="auto" w:fill="auto"/>
        <w:bidi w:val="0"/>
        <w:spacing w:before="0" w:after="0" w:line="240" w:lineRule="auto"/>
        <w:ind w:left="0" w:right="0" w:firstLine="0"/>
        <w:jc w:val="left"/>
      </w:pPr>
      <w:r>
        <w:rPr>
          <w:color w:val="000000"/>
          <w:spacing w:val="0"/>
          <w:w w:val="100"/>
          <w:position w:val="0"/>
        </w:rPr>
        <w:t>单位：元 币种：人民币</w:t>
      </w:r>
    </w:p>
    <w:p>
      <w:pPr>
        <w:widowControl w:val="0"/>
        <w:spacing w:line="1" w:lineRule="exact"/>
      </w:pPr>
    </w:p>
    <w:p>
      <w:pPr>
        <w:pStyle w:val="Style19"/>
        <w:keepNext w:val="0"/>
        <w:keepLines w:val="0"/>
        <w:widowControl w:val="0"/>
        <w:shd w:val="clear" w:color="auto" w:fill="auto"/>
        <w:bidi w:val="0"/>
        <w:spacing w:before="0" w:after="0" w:line="25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四十七</w:t>
      </w:r>
      <w:r>
        <w:rPr>
          <w:color w:val="000000"/>
          <w:spacing w:val="0"/>
          <w:w w:val="100"/>
          <w:position w:val="0"/>
        </w:rPr>
        <w:t>）</w:t>
      </w:r>
      <w:r>
        <w:rPr>
          <w:color w:val="000000"/>
          <w:spacing w:val="0"/>
          <w:w w:val="100"/>
          <w:position w:val="0"/>
        </w:rPr>
        <w:t>所得税费用： 单位：元 币种：人民币</w:t>
      </w:r>
    </w:p>
    <w:tbl>
      <w:tblPr>
        <w:tblOverlap w:val="never"/>
        <w:jc w:val="left"/>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按税法及相关规定计算的当期 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12,008,896.30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13,214,318.57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27,663,736.57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29,026,779.46</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39,672,632.87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42,241,098.03</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四十八</w:t>
      </w:r>
      <w:r>
        <w:rPr>
          <w:color w:val="000000"/>
          <w:spacing w:val="0"/>
          <w:w w:val="100"/>
          <w:position w:val="0"/>
        </w:rPr>
        <w:t>）</w:t>
      </w:r>
      <w:r>
        <w:rPr>
          <w:color w:val="000000"/>
          <w:spacing w:val="0"/>
          <w:w w:val="100"/>
          <w:position w:val="0"/>
        </w:rPr>
        <w:t>基本每股收益和稀释每股收益的计算过程：</w:t>
      </w: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基本每股收益的计算过程</w:t>
      </w:r>
    </w:p>
    <w:p>
      <w:pPr>
        <w:pStyle w:val="Style13"/>
        <w:keepNext w:val="0"/>
        <w:keepLines w:val="0"/>
        <w:widowControl w:val="0"/>
        <w:shd w:val="clear" w:color="auto" w:fill="auto"/>
        <w:tabs>
          <w:tab w:pos="4320" w:val="left"/>
          <w:tab w:pos="5755" w:val="left"/>
        </w:tabs>
        <w:bidi w:val="0"/>
        <w:spacing w:before="0" w:after="240" w:line="240" w:lineRule="auto"/>
        <w:ind w:left="0" w:right="0" w:firstLine="0"/>
        <w:jc w:val="left"/>
      </w:pPr>
      <w:r>
        <mc:AlternateContent>
          <mc:Choice Requires="wps">
            <w:drawing>
              <wp:anchor distT="0" distB="0" distL="0" distR="0" simplePos="0" relativeHeight="125829464" behindDoc="0" locked="0" layoutInCell="1" allowOverlap="1">
                <wp:simplePos x="0" y="0"/>
                <wp:positionH relativeFrom="page">
                  <wp:posOffset>1000760</wp:posOffset>
                </wp:positionH>
                <wp:positionV relativeFrom="paragraph">
                  <wp:posOffset>12700</wp:posOffset>
                </wp:positionV>
                <wp:extent cx="5489575" cy="204470"/>
                <wp:wrapTopAndBottom/>
                <wp:docPr id="165" name="Shape 165"/>
                <a:graphic xmlns:a="http://schemas.openxmlformats.org/drawingml/2006/main">
                  <a:graphicData uri="http://schemas.microsoft.com/office/word/2010/wordprocessingShape">
                    <wps:wsp>
                      <wps:cNvSpPr txBox="1"/>
                      <wps:spPr>
                        <a:xfrm>
                          <a:ext cx="5489575" cy="204470"/>
                        </a:xfrm>
                        <a:prstGeom prst="rect"/>
                        <a:noFill/>
                      </wps:spPr>
                      <wps:txbx>
                        <w:txbxContent>
                          <w:tbl>
                            <w:tblPr>
                              <w:tblOverlap w:val="never"/>
                              <w:jc w:val="left"/>
                              <w:tblLayout w:type="fixed"/>
                            </w:tblPr>
                            <w:tblGrid>
                              <w:gridCol w:w="4320"/>
                              <w:gridCol w:w="1440"/>
                              <w:gridCol w:w="2885"/>
                            </w:tblGrid>
                            <w:tr>
                              <w:trPr>
                                <w:tblHeader/>
                                <w:trHeight w:val="3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r>
                          </w:tbl>
                          <w:p>
                            <w:pPr>
                              <w:widowControl w:val="0"/>
                              <w:spacing w:line="1" w:lineRule="exact"/>
                            </w:pPr>
                          </w:p>
                        </w:txbxContent>
                      </wps:txbx>
                      <wps:bodyPr lIns="0" tIns="0" rIns="0" bIns="0">
                        <a:noAutoFit/>
                      </wps:bodyPr>
                    </wps:wsp>
                  </a:graphicData>
                </a:graphic>
              </wp:anchor>
            </w:drawing>
          </mc:Choice>
          <mc:Fallback>
            <w:pict>
              <v:shape id="_x0000_s1191" type="#_x0000_t202" style="position:absolute;margin-left:78.799999999999997pt;margin-top:1.pt;width:432.25pt;height:16.100000000000001pt;z-index:-125829289;mso-wrap-distance-left:0;mso-wrap-distance-right:0;mso-position-horizontal-relative:page" filled="f" stroked="f">
                <v:textbox inset="0,0,0,0">
                  <w:txbxContent>
                    <w:tbl>
                      <w:tblPr>
                        <w:tblOverlap w:val="never"/>
                        <w:jc w:val="left"/>
                        <w:tblLayout w:type="fixed"/>
                      </w:tblPr>
                      <w:tblGrid>
                        <w:gridCol w:w="4320"/>
                        <w:gridCol w:w="1440"/>
                        <w:gridCol w:w="2885"/>
                      </w:tblGrid>
                      <w:tr>
                        <w:trPr>
                          <w:tblHeader/>
                          <w:trHeight w:val="3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r>
                    </w:tbl>
                    <w:p>
                      <w:pPr>
                        <w:widowControl w:val="0"/>
                        <w:spacing w:line="1" w:lineRule="exact"/>
                      </w:pPr>
                    </w:p>
                  </w:txbxContent>
                </v:textbox>
                <w10:wrap type="topAndBottom" anchorx="page"/>
              </v:shape>
            </w:pict>
          </mc:Fallback>
        </mc:AlternateContent>
      </w:r>
      <w:r>
        <w:rPr>
          <w:color w:val="000000"/>
          <w:spacing w:val="0"/>
          <w:w w:val="100"/>
          <w:position w:val="0"/>
        </w:rPr>
        <w:t>项目</w:t>
        <w:tab/>
        <w:t>序号</w:t>
        <w:tab/>
      </w:r>
      <w:r>
        <w:rPr>
          <w:rFonts w:ascii="Times New Roman" w:eastAsia="Times New Roman" w:hAnsi="Times New Roman" w:cs="Times New Roman"/>
          <w:color w:val="000000"/>
          <w:spacing w:val="0"/>
          <w:w w:val="100"/>
          <w:position w:val="0"/>
        </w:rPr>
        <w:t>2013</w:t>
      </w:r>
      <w:r>
        <w:rPr>
          <w:color w:val="000000"/>
          <w:spacing w:val="0"/>
          <w:w w:val="100"/>
          <w:position w:val="0"/>
        </w:rPr>
        <w:t>年度</w:t>
      </w:r>
      <w:r>
        <w:br w:type="page"/>
      </w:r>
    </w:p>
    <w:tbl>
      <w:tblPr>
        <w:tblOverlap w:val="never"/>
        <w:jc w:val="left"/>
        <w:tblLayout w:type="fixed"/>
      </w:tblPr>
      <w:tblGrid>
        <w:gridCol w:w="4320"/>
        <w:gridCol w:w="1440"/>
        <w:gridCol w:w="2885"/>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122,469,826.80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93,387,144.86</w:t>
            </w:r>
          </w:p>
        </w:tc>
      </w:tr>
      <w:tr>
        <w:trPr>
          <w:trHeight w:val="57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扣除非经常性损益后的归属于公司普通股股东 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C=A-B</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29,082,681.94</w:t>
            </w:r>
          </w:p>
        </w:tc>
      </w:tr>
      <w:tr>
        <w:trPr>
          <w:trHeight w:val="30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182,878,488.00</w:t>
            </w:r>
          </w:p>
        </w:tc>
      </w:tr>
      <w:tr>
        <w:trPr>
          <w:trHeight w:val="57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因公积金转增股本或股票股利分配等增加股份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发行新股或债转股等增加股份数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因回购等减少股份数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w:t>
            </w: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122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L=D+E+F</w:t>
              <w:tab/>
            </w:r>
            <w:r>
              <w:rPr>
                <w:rFonts w:ascii="Arial Unicode MS" w:eastAsia="Arial Unicode MS" w:hAnsi="Arial Unicode MS" w:cs="Arial Unicode MS"/>
                <w:color w:val="000000"/>
                <w:spacing w:val="0"/>
                <w:w w:val="100"/>
                <w:position w:val="0"/>
                <w:sz w:val="17"/>
                <w:szCs w:val="17"/>
              </w:rPr>
              <w:t>X</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G/K-H</w:t>
            </w:r>
            <w:r>
              <w:rPr>
                <w:rFonts w:ascii="Arial Unicode MS" w:eastAsia="Arial Unicode MS" w:hAnsi="Arial Unicode MS" w:cs="Arial Unicode MS"/>
                <w:color w:val="000000"/>
                <w:spacing w:val="0"/>
                <w:w w:val="100"/>
                <w:position w:val="0"/>
                <w:sz w:val="17"/>
                <w:szCs w:val="17"/>
              </w:rPr>
              <w:t>X</w:t>
            </w:r>
            <w:r>
              <w:rPr>
                <w:rFonts w:ascii="Times New Roman" w:eastAsia="Times New Roman" w:hAnsi="Times New Roman" w:cs="Times New Roman"/>
                <w:color w:val="000000"/>
                <w:spacing w:val="0"/>
                <w:w w:val="100"/>
                <w:position w:val="0"/>
              </w:rPr>
              <w:t>I/K-J</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182,878,488.00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M=A/L</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0.67</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扣除非经常损益基本每股收益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N=C/L</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0.16</w:t>
            </w:r>
          </w:p>
        </w:tc>
      </w:tr>
    </w:tbl>
    <w:p>
      <w:pPr>
        <w:pStyle w:val="Style19"/>
        <w:keepNext w:val="0"/>
        <w:keepLines w:val="0"/>
        <w:widowControl w:val="0"/>
        <w:shd w:val="clear" w:color="auto" w:fill="auto"/>
        <w:bidi w:val="0"/>
        <w:spacing w:before="0" w:after="0" w:line="240" w:lineRule="auto"/>
        <w:ind w:left="10" w:right="0" w:firstLine="0"/>
        <w:jc w:val="left"/>
      </w:pPr>
      <w:r>
        <w:rPr>
          <w:rFonts w:ascii="Arial Unicode MS" w:eastAsia="Arial Unicode MS" w:hAnsi="Arial Unicode MS" w:cs="Arial Unicode MS"/>
          <w:color w:val="000000"/>
          <w:spacing w:val="0"/>
          <w:w w:val="100"/>
          <w:position w:val="0"/>
          <w:sz w:val="17"/>
          <w:szCs w:val="17"/>
        </w:rPr>
        <w:t>（2）</w:t>
      </w:r>
      <w:r>
        <w:rPr>
          <w:color w:val="000000"/>
          <w:spacing w:val="0"/>
          <w:w w:val="100"/>
          <w:position w:val="0"/>
        </w:rPr>
        <w:t>稀释每股收益的计算过程与基本每股收益的计算过程相同。</w:t>
      </w:r>
    </w:p>
    <w:p>
      <w:pPr>
        <w:widowControl w:val="0"/>
        <w:spacing w:after="519" w:line="1" w:lineRule="exact"/>
      </w:pPr>
    </w:p>
    <w:p>
      <w:pPr>
        <w:widowControl w:val="0"/>
        <w:spacing w:line="1" w:lineRule="exact"/>
      </w:pPr>
    </w:p>
    <w:tbl>
      <w:tblPr>
        <w:tblOverlap w:val="never"/>
        <w:jc w:val="left"/>
        <w:tblLayout w:type="fixed"/>
      </w:tblPr>
      <w:tblGrid>
        <w:gridCol w:w="5362"/>
        <w:gridCol w:w="1973"/>
        <w:gridCol w:w="1982"/>
      </w:tblGrid>
      <w:tr>
        <w:trPr>
          <w:trHeight w:val="298" w:hRule="exact"/>
        </w:trPr>
        <w:tc>
          <w:tcPr>
            <w:tcBorders>
              <w:top w:val="single" w:sz="4"/>
              <w:left w:val="single" w:sz="4"/>
            </w:tcBorders>
            <w:shd w:val="clear" w:color="auto" w:fill="FFFFFF"/>
            <w:vAlign w:val="center"/>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54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.可供出售金融资产产生的利得（损失）金额</w:t>
            </w:r>
          </w:p>
        </w:tc>
        <w:tc>
          <w:tcPr>
            <w:tcBorders>
              <w:top w:val="single" w:sz="4"/>
              <w:lef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301,877,108.36</w:t>
            </w:r>
          </w:p>
        </w:tc>
        <w:tc>
          <w:tcPr>
            <w:tcBorders>
              <w:top w:val="single" w:sz="4"/>
              <w:left w:val="single" w:sz="4"/>
              <w:righ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-7,091,200.00</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0"/>
              <w:jc w:val="left"/>
            </w:pPr>
            <w:r>
              <w:rPr>
                <w:color w:val="000000"/>
                <w:spacing w:val="0"/>
                <w:w w:val="100"/>
                <w:position w:val="0"/>
              </w:rPr>
              <w:t>减：可供出售金融资产产生的所得税影响</w:t>
            </w:r>
          </w:p>
        </w:tc>
        <w:tc>
          <w:tcPr>
            <w:tcBorders>
              <w:top w:val="single" w:sz="4"/>
              <w:lef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75,469,277.09</w:t>
            </w:r>
          </w:p>
        </w:tc>
        <w:tc>
          <w:tcPr>
            <w:tcBorders>
              <w:top w:val="single" w:sz="4"/>
              <w:left w:val="single" w:sz="4"/>
              <w:righ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-1,772,800.00</w:t>
            </w:r>
          </w:p>
        </w:tc>
      </w:tr>
      <w:tr>
        <w:trPr>
          <w:trHeight w:val="288" w:hRule="exact"/>
        </w:trPr>
        <w:tc>
          <w:tcPr>
            <w:tcBorders>
              <w:top w:val="single" w:sz="4"/>
              <w:lef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32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6,994,664.02</w:t>
            </w:r>
          </w:p>
        </w:tc>
        <w:tc>
          <w:tcPr>
            <w:tcBorders>
              <w:top w:val="single" w:sz="4"/>
              <w:left w:val="single" w:sz="4"/>
              <w:right w:val="single" w:sz="4"/>
            </w:tcBorders>
            <w:shd w:val="clear" w:color="auto" w:fill="FFFFFF"/>
            <w:vAlign w:val="top"/>
          </w:tcPr>
          <w:p>
            <w:pPr>
              <w:framePr w:w="9317" w:h="6024" w:hSpace="5" w:vSpace="533" w:wrap="notBeside" w:vAnchor="text" w:hAnchor="text" w:x="6" w:y="53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219,413,167.25</w:t>
            </w:r>
          </w:p>
        </w:tc>
        <w:tc>
          <w:tcPr>
            <w:tcBorders>
              <w:top w:val="single" w:sz="4"/>
              <w:left w:val="single" w:sz="4"/>
              <w:righ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-5,318,400.00</w:t>
            </w:r>
          </w:p>
        </w:tc>
      </w:tr>
      <w:tr>
        <w:trPr>
          <w:trHeight w:val="562" w:hRule="exact"/>
        </w:trPr>
        <w:tc>
          <w:tcPr>
            <w:tcBorders>
              <w:top w:val="single" w:sz="4"/>
              <w:left w:val="single" w:sz="4"/>
            </w:tcBorders>
            <w:shd w:val="clear" w:color="auto" w:fill="FFFFFF"/>
            <w:vAlign w:val="top"/>
          </w:tcPr>
          <w:p>
            <w:pPr>
              <w:pStyle w:val="Style21"/>
              <w:keepNext w:val="0"/>
              <w:keepLines w:val="0"/>
              <w:framePr w:w="9317" w:h="6024" w:hSpace="5" w:vSpace="533" w:wrap="notBeside" w:vAnchor="text" w:hAnchor="text" w:x="6" w:y="534"/>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按照权益法核算的在被投资单位其他综合收益中所享 有的份额</w:t>
            </w:r>
          </w:p>
        </w:tc>
        <w:tc>
          <w:tcPr>
            <w:tcBorders>
              <w:top w:val="single" w:sz="4"/>
              <w:left w:val="single" w:sz="4"/>
            </w:tcBorders>
            <w:shd w:val="clear" w:color="auto" w:fill="FFFFFF"/>
            <w:vAlign w:val="top"/>
          </w:tcPr>
          <w:p>
            <w:pPr>
              <w:framePr w:w="9317" w:h="6024" w:hSpace="5" w:vSpace="533" w:wrap="notBeside" w:vAnchor="text" w:hAnchor="text" w:x="6" w:y="534"/>
              <w:widowControl w:val="0"/>
              <w:rPr>
                <w:sz w:val="10"/>
                <w:szCs w:val="10"/>
              </w:rPr>
            </w:pPr>
          </w:p>
        </w:tc>
        <w:tc>
          <w:tcPr>
            <w:tcBorders>
              <w:top w:val="single" w:sz="4"/>
              <w:left w:val="single" w:sz="4"/>
              <w:right w:val="single" w:sz="4"/>
            </w:tcBorders>
            <w:shd w:val="clear" w:color="auto" w:fill="FFFFFF"/>
            <w:vAlign w:val="top"/>
          </w:tcPr>
          <w:p>
            <w:pPr>
              <w:framePr w:w="9317" w:h="6024" w:hSpace="5" w:vSpace="533" w:wrap="notBeside" w:vAnchor="text" w:hAnchor="text" w:x="6" w:y="534"/>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framePr w:w="9317" w:h="6024" w:hSpace="5" w:vSpace="533" w:wrap="notBeside" w:vAnchor="text" w:hAnchor="text" w:x="6" w:y="534"/>
              <w:widowControl w:val="0"/>
              <w:shd w:val="clear" w:color="auto" w:fill="auto"/>
              <w:bidi w:val="0"/>
              <w:spacing w:before="0" w:after="0" w:line="278" w:lineRule="exact"/>
              <w:ind w:left="0" w:right="0" w:firstLine="0"/>
              <w:jc w:val="left"/>
            </w:pPr>
            <w:r>
              <w:rPr>
                <w:color w:val="000000"/>
                <w:spacing w:val="0"/>
                <w:w w:val="100"/>
                <w:position w:val="0"/>
              </w:rPr>
              <w:t>减：按照权益法核算的在被投资单位其他综合收益中所 享有的份额产生的所得税影响</w:t>
            </w:r>
          </w:p>
        </w:tc>
        <w:tc>
          <w:tcPr>
            <w:tcBorders>
              <w:top w:val="single" w:sz="4"/>
              <w:left w:val="single" w:sz="4"/>
            </w:tcBorders>
            <w:shd w:val="clear" w:color="auto" w:fill="FFFFFF"/>
            <w:vAlign w:val="top"/>
          </w:tcPr>
          <w:p>
            <w:pPr>
              <w:framePr w:w="9317" w:h="6024" w:hSpace="5" w:vSpace="533" w:wrap="notBeside" w:vAnchor="text" w:hAnchor="text" w:x="6" w:y="534"/>
              <w:widowControl w:val="0"/>
              <w:rPr>
                <w:sz w:val="10"/>
                <w:szCs w:val="10"/>
              </w:rPr>
            </w:pPr>
          </w:p>
        </w:tc>
        <w:tc>
          <w:tcPr>
            <w:tcBorders>
              <w:top w:val="single" w:sz="4"/>
              <w:left w:val="single" w:sz="4"/>
              <w:right w:val="single" w:sz="4"/>
            </w:tcBorders>
            <w:shd w:val="clear" w:color="auto" w:fill="FFFFFF"/>
            <w:vAlign w:val="top"/>
          </w:tcPr>
          <w:p>
            <w:pPr>
              <w:framePr w:w="9317" w:h="6024" w:hSpace="5" w:vSpace="533" w:wrap="notBeside" w:vAnchor="text" w:hAnchor="text" w:x="6" w:y="534"/>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32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framePr w:w="9317" w:h="6024" w:hSpace="5" w:vSpace="533" w:wrap="notBeside" w:vAnchor="text" w:hAnchor="text" w:x="6" w:y="534"/>
              <w:widowControl w:val="0"/>
              <w:rPr>
                <w:sz w:val="10"/>
                <w:szCs w:val="10"/>
              </w:rPr>
            </w:pPr>
          </w:p>
        </w:tc>
        <w:tc>
          <w:tcPr>
            <w:tcBorders>
              <w:top w:val="single" w:sz="4"/>
              <w:left w:val="single" w:sz="4"/>
              <w:right w:val="single" w:sz="4"/>
            </w:tcBorders>
            <w:shd w:val="clear" w:color="auto" w:fill="FFFFFF"/>
            <w:vAlign w:val="top"/>
          </w:tcPr>
          <w:p>
            <w:pPr>
              <w:framePr w:w="9317" w:h="6024" w:hSpace="5" w:vSpace="533" w:wrap="notBeside" w:vAnchor="text" w:hAnchor="text" w:x="6"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framePr w:w="9317" w:h="6024" w:hSpace="5" w:vSpace="533" w:wrap="notBeside" w:vAnchor="text" w:hAnchor="text" w:x="6" w:y="534"/>
              <w:widowControl w:val="0"/>
              <w:rPr>
                <w:sz w:val="10"/>
                <w:szCs w:val="10"/>
              </w:rPr>
            </w:pPr>
          </w:p>
        </w:tc>
        <w:tc>
          <w:tcPr>
            <w:tcBorders>
              <w:top w:val="single" w:sz="4"/>
              <w:left w:val="single" w:sz="4"/>
              <w:right w:val="single" w:sz="4"/>
            </w:tcBorders>
            <w:shd w:val="clear" w:color="auto" w:fill="FFFFFF"/>
            <w:vAlign w:val="top"/>
          </w:tcPr>
          <w:p>
            <w:pPr>
              <w:framePr w:w="9317" w:h="6024" w:hSpace="5" w:vSpace="533" w:wrap="notBeside" w:vAnchor="text" w:hAnchor="text" w:x="6"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.现金流量套期工具产生的利得（或损失）金额</w:t>
            </w:r>
          </w:p>
        </w:tc>
        <w:tc>
          <w:tcPr>
            <w:tcBorders>
              <w:top w:val="single" w:sz="4"/>
              <w:left w:val="single" w:sz="4"/>
            </w:tcBorders>
            <w:shd w:val="clear" w:color="auto" w:fill="FFFFFF"/>
            <w:vAlign w:val="top"/>
          </w:tcPr>
          <w:p>
            <w:pPr>
              <w:framePr w:w="9317" w:h="6024" w:hSpace="5" w:vSpace="533" w:wrap="notBeside" w:vAnchor="text" w:hAnchor="text" w:x="6" w:y="534"/>
              <w:widowControl w:val="0"/>
              <w:rPr>
                <w:sz w:val="10"/>
                <w:szCs w:val="10"/>
              </w:rPr>
            </w:pPr>
          </w:p>
        </w:tc>
        <w:tc>
          <w:tcPr>
            <w:tcBorders>
              <w:top w:val="single" w:sz="4"/>
              <w:left w:val="single" w:sz="4"/>
              <w:right w:val="single" w:sz="4"/>
            </w:tcBorders>
            <w:shd w:val="clear" w:color="auto" w:fill="FFFFFF"/>
            <w:vAlign w:val="top"/>
          </w:tcPr>
          <w:p>
            <w:pPr>
              <w:framePr w:w="9317" w:h="6024" w:hSpace="5" w:vSpace="533" w:wrap="notBeside" w:vAnchor="text" w:hAnchor="text" w:x="6"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0"/>
              <w:jc w:val="left"/>
            </w:pPr>
            <w:r>
              <w:rPr>
                <w:color w:val="000000"/>
                <w:spacing w:val="0"/>
                <w:w w:val="100"/>
                <w:position w:val="0"/>
              </w:rPr>
              <w:t>减：现金流量套期工具产生的所得税影响</w:t>
            </w:r>
          </w:p>
        </w:tc>
        <w:tc>
          <w:tcPr>
            <w:tcBorders>
              <w:top w:val="single" w:sz="4"/>
              <w:left w:val="single" w:sz="4"/>
            </w:tcBorders>
            <w:shd w:val="clear" w:color="auto" w:fill="FFFFFF"/>
            <w:vAlign w:val="top"/>
          </w:tcPr>
          <w:p>
            <w:pPr>
              <w:framePr w:w="9317" w:h="6024" w:hSpace="5" w:vSpace="533" w:wrap="notBeside" w:vAnchor="text" w:hAnchor="text" w:x="6" w:y="534"/>
              <w:widowControl w:val="0"/>
              <w:rPr>
                <w:sz w:val="10"/>
                <w:szCs w:val="10"/>
              </w:rPr>
            </w:pPr>
          </w:p>
        </w:tc>
        <w:tc>
          <w:tcPr>
            <w:tcBorders>
              <w:top w:val="single" w:sz="4"/>
              <w:left w:val="single" w:sz="4"/>
              <w:right w:val="single" w:sz="4"/>
            </w:tcBorders>
            <w:shd w:val="clear" w:color="auto" w:fill="FFFFFF"/>
            <w:vAlign w:val="top"/>
          </w:tcPr>
          <w:p>
            <w:pPr>
              <w:framePr w:w="9317" w:h="6024" w:hSpace="5" w:vSpace="533" w:wrap="notBeside" w:vAnchor="text" w:hAnchor="text" w:x="6"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32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framePr w:w="9317" w:h="6024" w:hSpace="5" w:vSpace="533" w:wrap="notBeside" w:vAnchor="text" w:hAnchor="text" w:x="6" w:y="534"/>
              <w:widowControl w:val="0"/>
              <w:rPr>
                <w:sz w:val="10"/>
                <w:szCs w:val="10"/>
              </w:rPr>
            </w:pPr>
          </w:p>
        </w:tc>
        <w:tc>
          <w:tcPr>
            <w:tcBorders>
              <w:top w:val="single" w:sz="4"/>
              <w:left w:val="single" w:sz="4"/>
              <w:right w:val="single" w:sz="4"/>
            </w:tcBorders>
            <w:shd w:val="clear" w:color="auto" w:fill="FFFFFF"/>
            <w:vAlign w:val="top"/>
          </w:tcPr>
          <w:p>
            <w:pPr>
              <w:framePr w:w="9317" w:h="6024" w:hSpace="5" w:vSpace="533" w:wrap="notBeside" w:vAnchor="text" w:hAnchor="text" w:x="6"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320"/>
              <w:jc w:val="left"/>
            </w:pPr>
            <w:r>
              <w:rPr>
                <w:color w:val="000000"/>
                <w:spacing w:val="0"/>
                <w:w w:val="100"/>
                <w:position w:val="0"/>
              </w:rPr>
              <w:t>转为被套期项目初始确认金额的调整额</w:t>
            </w:r>
          </w:p>
        </w:tc>
        <w:tc>
          <w:tcPr>
            <w:tcBorders>
              <w:top w:val="single" w:sz="4"/>
              <w:left w:val="single" w:sz="4"/>
            </w:tcBorders>
            <w:shd w:val="clear" w:color="auto" w:fill="FFFFFF"/>
            <w:vAlign w:val="top"/>
          </w:tcPr>
          <w:p>
            <w:pPr>
              <w:framePr w:w="9317" w:h="6024" w:hSpace="5" w:vSpace="533" w:wrap="notBeside" w:vAnchor="text" w:hAnchor="text" w:x="6" w:y="534"/>
              <w:widowControl w:val="0"/>
              <w:rPr>
                <w:sz w:val="10"/>
                <w:szCs w:val="10"/>
              </w:rPr>
            </w:pPr>
          </w:p>
        </w:tc>
        <w:tc>
          <w:tcPr>
            <w:tcBorders>
              <w:top w:val="single" w:sz="4"/>
              <w:left w:val="single" w:sz="4"/>
              <w:right w:val="single" w:sz="4"/>
            </w:tcBorders>
            <w:shd w:val="clear" w:color="auto" w:fill="FFFFFF"/>
            <w:vAlign w:val="top"/>
          </w:tcPr>
          <w:p>
            <w:pPr>
              <w:framePr w:w="9317" w:h="6024" w:hSpace="5" w:vSpace="533" w:wrap="notBeside" w:vAnchor="text" w:hAnchor="text" w:x="6"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framePr w:w="9317" w:h="6024" w:hSpace="5" w:vSpace="533" w:wrap="notBeside" w:vAnchor="text" w:hAnchor="text" w:x="6" w:y="534"/>
              <w:widowControl w:val="0"/>
              <w:rPr>
                <w:sz w:val="10"/>
                <w:szCs w:val="10"/>
              </w:rPr>
            </w:pPr>
          </w:p>
        </w:tc>
        <w:tc>
          <w:tcPr>
            <w:tcBorders>
              <w:top w:val="single" w:sz="4"/>
              <w:left w:val="single" w:sz="4"/>
              <w:right w:val="single" w:sz="4"/>
            </w:tcBorders>
            <w:shd w:val="clear" w:color="auto" w:fill="FFFFFF"/>
            <w:vAlign w:val="top"/>
          </w:tcPr>
          <w:p>
            <w:pPr>
              <w:framePr w:w="9317" w:h="6024" w:hSpace="5" w:vSpace="533" w:wrap="notBeside" w:vAnchor="text" w:hAnchor="text" w:x="6"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.外币财务报表折算差额</w:t>
            </w:r>
          </w:p>
        </w:tc>
        <w:tc>
          <w:tcPr>
            <w:tcBorders>
              <w:top w:val="single" w:sz="4"/>
              <w:left w:val="single" w:sz="4"/>
            </w:tcBorders>
            <w:shd w:val="clear" w:color="auto" w:fill="FFFFFF"/>
            <w:vAlign w:val="top"/>
          </w:tcPr>
          <w:p>
            <w:pPr>
              <w:framePr w:w="9317" w:h="6024" w:hSpace="5" w:vSpace="533" w:wrap="notBeside" w:vAnchor="text" w:hAnchor="text" w:x="6" w:y="534"/>
              <w:widowControl w:val="0"/>
              <w:rPr>
                <w:sz w:val="10"/>
                <w:szCs w:val="10"/>
              </w:rPr>
            </w:pPr>
          </w:p>
        </w:tc>
        <w:tc>
          <w:tcPr>
            <w:tcBorders>
              <w:top w:val="single" w:sz="4"/>
              <w:left w:val="single" w:sz="4"/>
              <w:right w:val="single" w:sz="4"/>
            </w:tcBorders>
            <w:shd w:val="clear" w:color="auto" w:fill="FFFFFF"/>
            <w:vAlign w:val="top"/>
          </w:tcPr>
          <w:p>
            <w:pPr>
              <w:framePr w:w="9317" w:h="6024" w:hSpace="5" w:vSpace="533" w:wrap="notBeside" w:vAnchor="text" w:hAnchor="text" w:x="6" w:y="534"/>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0"/>
              <w:jc w:val="left"/>
            </w:pPr>
            <w:r>
              <w:rPr>
                <w:color w:val="000000"/>
                <w:spacing w:val="0"/>
                <w:w w:val="100"/>
                <w:position w:val="0"/>
              </w:rPr>
              <w:t>减：处置境外经营当期转入损益的净额</w:t>
            </w:r>
          </w:p>
        </w:tc>
        <w:tc>
          <w:tcPr>
            <w:tcBorders>
              <w:top w:val="single" w:sz="4"/>
              <w:left w:val="single" w:sz="4"/>
            </w:tcBorders>
            <w:shd w:val="clear" w:color="auto" w:fill="FFFFFF"/>
            <w:vAlign w:val="top"/>
          </w:tcPr>
          <w:p>
            <w:pPr>
              <w:framePr w:w="9317" w:h="6024" w:hSpace="5" w:vSpace="533" w:wrap="notBeside" w:vAnchor="text" w:hAnchor="text" w:x="6" w:y="534"/>
              <w:widowControl w:val="0"/>
              <w:rPr>
                <w:sz w:val="10"/>
                <w:szCs w:val="10"/>
              </w:rPr>
            </w:pPr>
          </w:p>
        </w:tc>
        <w:tc>
          <w:tcPr>
            <w:tcBorders>
              <w:top w:val="single" w:sz="4"/>
              <w:left w:val="single" w:sz="4"/>
              <w:right w:val="single" w:sz="4"/>
            </w:tcBorders>
            <w:shd w:val="clear" w:color="auto" w:fill="FFFFFF"/>
            <w:vAlign w:val="top"/>
          </w:tcPr>
          <w:p>
            <w:pPr>
              <w:framePr w:w="9317" w:h="6024" w:hSpace="5" w:vSpace="533" w:wrap="notBeside" w:vAnchor="text" w:hAnchor="text" w:x="6"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framePr w:w="9317" w:h="6024" w:hSpace="5" w:vSpace="533" w:wrap="notBeside" w:vAnchor="text" w:hAnchor="text" w:x="6" w:y="534"/>
              <w:widowControl w:val="0"/>
              <w:rPr>
                <w:sz w:val="10"/>
                <w:szCs w:val="10"/>
              </w:rPr>
            </w:pPr>
          </w:p>
        </w:tc>
        <w:tc>
          <w:tcPr>
            <w:tcBorders>
              <w:top w:val="single" w:sz="4"/>
              <w:left w:val="single" w:sz="4"/>
              <w:right w:val="single" w:sz="4"/>
            </w:tcBorders>
            <w:shd w:val="clear" w:color="auto" w:fill="FFFFFF"/>
            <w:vAlign w:val="top"/>
          </w:tcPr>
          <w:p>
            <w:pPr>
              <w:framePr w:w="9317" w:h="6024" w:hSpace="5" w:vSpace="533" w:wrap="notBeside" w:vAnchor="text" w:hAnchor="text" w:x="6"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framePr w:w="9317" w:h="6024" w:hSpace="5" w:vSpace="533" w:wrap="notBeside" w:vAnchor="text" w:hAnchor="text" w:x="6" w:y="534"/>
              <w:widowControl w:val="0"/>
              <w:rPr>
                <w:sz w:val="10"/>
                <w:szCs w:val="10"/>
              </w:rPr>
            </w:pPr>
          </w:p>
        </w:tc>
        <w:tc>
          <w:tcPr>
            <w:tcBorders>
              <w:top w:val="single" w:sz="4"/>
              <w:left w:val="single" w:sz="4"/>
              <w:right w:val="single" w:sz="4"/>
            </w:tcBorders>
            <w:shd w:val="clear" w:color="auto" w:fill="FFFFFF"/>
            <w:vAlign w:val="top"/>
          </w:tcPr>
          <w:p>
            <w:pPr>
              <w:framePr w:w="9317" w:h="6024" w:hSpace="5" w:vSpace="533" w:wrap="notBeside" w:vAnchor="text" w:hAnchor="text" w:x="6" w:y="534"/>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framePr w:w="9317" w:h="6024" w:hSpace="5" w:vSpace="533" w:wrap="notBeside" w:vAnchor="text" w:hAnchor="text" w:x="6" w:y="534"/>
              <w:widowControl w:val="0"/>
              <w:shd w:val="clear" w:color="auto" w:fill="auto"/>
              <w:bidi w:val="0"/>
              <w:spacing w:before="0" w:after="0" w:line="240" w:lineRule="auto"/>
              <w:ind w:left="0" w:right="0" w:firstLine="0"/>
              <w:jc w:val="left"/>
            </w:pPr>
            <w:r>
              <w:rPr>
                <w:color w:val="000000"/>
                <w:spacing w:val="0"/>
                <w:w w:val="100"/>
                <w:position w:val="0"/>
              </w:rPr>
              <w:t>减：由其他计入其他综合收益产生的所得税影响</w:t>
            </w:r>
          </w:p>
        </w:tc>
        <w:tc>
          <w:tcPr>
            <w:tcBorders>
              <w:top w:val="single" w:sz="4"/>
              <w:left w:val="single" w:sz="4"/>
              <w:bottom w:val="single" w:sz="4"/>
            </w:tcBorders>
            <w:shd w:val="clear" w:color="auto" w:fill="FFFFFF"/>
            <w:vAlign w:val="top"/>
          </w:tcPr>
          <w:p>
            <w:pPr>
              <w:framePr w:w="9317" w:h="6024" w:hSpace="5" w:vSpace="533" w:wrap="notBeside" w:vAnchor="text" w:hAnchor="text" w:x="6" w:y="534"/>
              <w:widowControl w:val="0"/>
              <w:rPr>
                <w:sz w:val="10"/>
                <w:szCs w:val="10"/>
              </w:rPr>
            </w:pPr>
          </w:p>
        </w:tc>
        <w:tc>
          <w:tcPr>
            <w:tcBorders>
              <w:top w:val="single" w:sz="4"/>
              <w:left w:val="single" w:sz="4"/>
              <w:bottom w:val="single" w:sz="4"/>
              <w:right w:val="single" w:sz="4"/>
            </w:tcBorders>
            <w:shd w:val="clear" w:color="auto" w:fill="FFFFFF"/>
            <w:vAlign w:val="top"/>
          </w:tcPr>
          <w:p>
            <w:pPr>
              <w:framePr w:w="9317" w:h="6024" w:hSpace="5" w:vSpace="533" w:wrap="notBeside" w:vAnchor="text" w:hAnchor="text" w:x="6" w:y="534"/>
              <w:widowControl w:val="0"/>
              <w:rPr>
                <w:sz w:val="10"/>
                <w:szCs w:val="10"/>
              </w:rPr>
            </w:pPr>
          </w:p>
        </w:tc>
      </w:tr>
    </w:tbl>
    <w:p>
      <w:pPr>
        <w:pStyle w:val="Style19"/>
        <w:keepNext w:val="0"/>
        <w:keepLines w:val="0"/>
        <w:framePr w:w="2280" w:h="274" w:hSpace="8160"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四十九</w:t>
      </w:r>
      <w:r>
        <w:rPr>
          <w:color w:val="000000"/>
          <w:spacing w:val="0"/>
          <w:w w:val="100"/>
          <w:position w:val="0"/>
        </w:rPr>
        <w:t>）</w:t>
      </w:r>
      <w:r>
        <w:rPr>
          <w:color w:val="000000"/>
          <w:spacing w:val="0"/>
          <w:w w:val="100"/>
          <w:position w:val="0"/>
        </w:rPr>
        <w:t>其他综合收益</w:t>
      </w:r>
    </w:p>
    <w:p>
      <w:pPr>
        <w:pStyle w:val="Style19"/>
        <w:keepNext w:val="0"/>
        <w:keepLines w:val="0"/>
        <w:framePr w:w="2237" w:h="254" w:hSpace="8203" w:wrap="notBeside" w:vAnchor="text" w:hAnchor="text" w:x="6452" w:y="275"/>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r>
        <w:br w:type="page"/>
      </w:r>
    </w:p>
    <w:tbl>
      <w:tblPr>
        <w:tblOverlap w:val="never"/>
        <w:jc w:val="center"/>
        <w:tblLayout w:type="fixed"/>
      </w:tblPr>
      <w:tblGrid>
        <w:gridCol w:w="5362"/>
        <w:gridCol w:w="1973"/>
        <w:gridCol w:w="198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前期其他计入其他综合收益当期转入损益的净额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219,413,167.25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-5,318,400.00</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五十</w:t>
      </w:r>
      <w:r>
        <w:rPr>
          <w:color w:val="000000"/>
          <w:spacing w:val="0"/>
          <w:w w:val="100"/>
          <w:position w:val="0"/>
        </w:rPr>
        <w:t>）</w:t>
      </w:r>
      <w:r>
        <w:rPr>
          <w:color w:val="000000"/>
          <w:spacing w:val="0"/>
          <w:w w:val="100"/>
          <w:position w:val="0"/>
        </w:rPr>
        <w:t>现金流量表项目注释：</w:t>
      </w: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收到的其他与经营活动有关的现金：</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3,400,416.70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收到与收益相关的政府补助及奖励款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2,909,145.00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收回暂借款、押金及保证金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9,426,740.00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收到其他及往来净额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1,800,932.22</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17,537,233.92</w:t>
            </w:r>
          </w:p>
        </w:tc>
      </w:tr>
    </w:tbl>
    <w:p>
      <w:pPr>
        <w:widowControl w:val="0"/>
        <w:spacing w:after="239" w:line="1" w:lineRule="exact"/>
      </w:pPr>
    </w:p>
    <w:p>
      <w:pPr>
        <w:pStyle w:val="Style13"/>
        <w:keepNext w:val="0"/>
        <w:keepLines w:val="0"/>
        <w:widowControl w:val="0"/>
        <w:shd w:val="clear" w:color="auto" w:fill="auto"/>
        <w:tabs>
          <w:tab w:pos="526" w:val="left"/>
        </w:tabs>
        <w:bidi w:val="0"/>
        <w:spacing w:before="0" w:after="40" w:line="240" w:lineRule="auto"/>
        <w:ind w:left="0" w:right="0" w:firstLine="0"/>
        <w:jc w:val="left"/>
      </w:pPr>
      <w:bookmarkStart w:id="229" w:name="bookmark229"/>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支付的其他与经营活动有关的现金：</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办公、差旅、租赁、招待费等支出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8,057,283.23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运输费、展览费、保险费等支出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7,489,364.63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咨询费、技术开发费等支出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5,108,601.23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其他往来净额及支出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8,051,275.46</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28,706,524.55</w:t>
            </w:r>
          </w:p>
        </w:tc>
      </w:tr>
    </w:tbl>
    <w:p>
      <w:pPr>
        <w:widowControl w:val="0"/>
        <w:spacing w:after="239" w:line="1" w:lineRule="exact"/>
      </w:pPr>
    </w:p>
    <w:p>
      <w:pPr>
        <w:pStyle w:val="Style13"/>
        <w:keepNext w:val="0"/>
        <w:keepLines w:val="0"/>
        <w:widowControl w:val="0"/>
        <w:shd w:val="clear" w:color="auto" w:fill="auto"/>
        <w:tabs>
          <w:tab w:pos="526" w:val="left"/>
        </w:tabs>
        <w:bidi w:val="0"/>
        <w:spacing w:before="0" w:after="40" w:line="240" w:lineRule="auto"/>
        <w:ind w:left="0" w:right="0" w:firstLine="0"/>
        <w:jc w:val="left"/>
      </w:pPr>
      <w:bookmarkStart w:id="230" w:name="bookmark230"/>
      <w:r>
        <w:rPr>
          <w:rFonts w:ascii="Times New Roman" w:eastAsia="Times New Roman" w:hAnsi="Times New Roman" w:cs="Times New Roman"/>
          <w:color w:val="000000"/>
          <w:spacing w:val="0"/>
          <w:w w:val="100"/>
          <w:position w:val="0"/>
          <w:shd w:val="clear" w:color="auto" w:fill="FFFFFF"/>
        </w:rPr>
        <w:t>3</w:t>
      </w:r>
      <w:bookmarkEnd w:id="230"/>
      <w:r>
        <w:rPr>
          <w:color w:val="000000"/>
          <w:spacing w:val="0"/>
          <w:w w:val="100"/>
          <w:position w:val="0"/>
          <w:shd w:val="clear" w:color="auto" w:fill="FFFFFF"/>
        </w:rPr>
        <w:t>、</w:t>
      </w:r>
      <w:r>
        <w:rPr>
          <w:color w:val="000000"/>
          <w:spacing w:val="0"/>
          <w:w w:val="100"/>
          <w:position w:val="0"/>
        </w:rPr>
        <w:tab/>
        <w:t>收到的其他与投资活动有关的现金：</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收回委托贷款及利息</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157,932,993.02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收到取消</w:t>
            </w:r>
            <w:r>
              <w:rPr>
                <w:rFonts w:ascii="Times New Roman" w:eastAsia="Times New Roman" w:hAnsi="Times New Roman" w:cs="Times New Roman"/>
                <w:color w:val="000000"/>
                <w:spacing w:val="0"/>
                <w:w w:val="100"/>
                <w:position w:val="0"/>
              </w:rPr>
              <w:t>31</w:t>
            </w:r>
            <w:r>
              <w:rPr>
                <w:color w:val="000000"/>
                <w:spacing w:val="0"/>
                <w:w w:val="100"/>
                <w:position w:val="0"/>
              </w:rPr>
              <w:t>省道优先收益权的补偿款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12,870,000.00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收到的与资产相关的政府补助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580" w:right="0" w:firstLine="0"/>
              <w:jc w:val="both"/>
            </w:pPr>
            <w:r>
              <w:rPr>
                <w:rFonts w:ascii="Times New Roman" w:eastAsia="Times New Roman" w:hAnsi="Times New Roman" w:cs="Times New Roman"/>
                <w:color w:val="000000"/>
                <w:spacing w:val="0"/>
                <w:w w:val="100"/>
                <w:position w:val="0"/>
              </w:rPr>
              <w:t>150,000.00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收回购买设备的票据保证金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580" w:right="0" w:firstLine="0"/>
              <w:jc w:val="both"/>
            </w:pPr>
            <w:r>
              <w:rPr>
                <w:rFonts w:ascii="Times New Roman" w:eastAsia="Times New Roman" w:hAnsi="Times New Roman" w:cs="Times New Roman"/>
                <w:color w:val="000000"/>
                <w:spacing w:val="0"/>
                <w:w w:val="100"/>
                <w:position w:val="0"/>
              </w:rPr>
              <w:t>227,730.08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收到的企业资金拆借款及利息净额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20,953,988.76</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192,134,711.86</w:t>
            </w:r>
          </w:p>
        </w:tc>
      </w:tr>
    </w:tbl>
    <w:p>
      <w:pPr>
        <w:widowControl w:val="0"/>
        <w:spacing w:after="239" w:line="1" w:lineRule="exact"/>
      </w:pPr>
    </w:p>
    <w:p>
      <w:pPr>
        <w:pStyle w:val="Style13"/>
        <w:keepNext w:val="0"/>
        <w:keepLines w:val="0"/>
        <w:widowControl w:val="0"/>
        <w:shd w:val="clear" w:color="auto" w:fill="auto"/>
        <w:tabs>
          <w:tab w:pos="526" w:val="left"/>
        </w:tabs>
        <w:bidi w:val="0"/>
        <w:spacing w:before="0" w:after="40" w:line="240" w:lineRule="auto"/>
        <w:ind w:left="0" w:right="0" w:firstLine="0"/>
        <w:jc w:val="left"/>
      </w:pPr>
      <w:bookmarkStart w:id="231" w:name="bookmark231"/>
      <w:r>
        <w:rPr>
          <w:rFonts w:ascii="Times New Roman" w:eastAsia="Times New Roman" w:hAnsi="Times New Roman" w:cs="Times New Roman"/>
          <w:color w:val="000000"/>
          <w:spacing w:val="0"/>
          <w:w w:val="100"/>
          <w:position w:val="0"/>
          <w:shd w:val="clear" w:color="auto" w:fill="FFFFFF"/>
        </w:rPr>
        <w:t>4</w:t>
      </w:r>
      <w:bookmarkEnd w:id="231"/>
      <w:r>
        <w:rPr>
          <w:color w:val="000000"/>
          <w:spacing w:val="0"/>
          <w:w w:val="100"/>
          <w:position w:val="0"/>
          <w:shd w:val="clear" w:color="auto" w:fill="FFFFFF"/>
        </w:rPr>
        <w:t>、</w:t>
      </w:r>
      <w:r>
        <w:rPr>
          <w:color w:val="000000"/>
          <w:spacing w:val="0"/>
          <w:w w:val="100"/>
          <w:position w:val="0"/>
        </w:rPr>
        <w:tab/>
        <w:t>收到的其他与筹资活动有关的现金：</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收期末融资性票据贴现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14,200,000.00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收回期初融资性票据保证金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4,260,000.00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18,460,000.00</w:t>
            </w:r>
          </w:p>
        </w:tc>
      </w:tr>
    </w:tbl>
    <w:p>
      <w:pPr>
        <w:widowControl w:val="0"/>
        <w:spacing w:after="239" w:line="1" w:lineRule="exact"/>
      </w:pPr>
    </w:p>
    <w:p>
      <w:pPr>
        <w:pStyle w:val="Style13"/>
        <w:keepNext w:val="0"/>
        <w:keepLines w:val="0"/>
        <w:widowControl w:val="0"/>
        <w:shd w:val="clear" w:color="auto" w:fill="auto"/>
        <w:tabs>
          <w:tab w:pos="526" w:val="left"/>
        </w:tabs>
        <w:bidi w:val="0"/>
        <w:spacing w:before="0" w:after="40" w:line="240" w:lineRule="auto"/>
        <w:ind w:left="0" w:right="0" w:firstLine="0"/>
        <w:jc w:val="left"/>
      </w:pPr>
      <w:bookmarkStart w:id="232" w:name="bookmark232"/>
      <w:r>
        <w:rPr>
          <w:rFonts w:ascii="Times New Roman" w:eastAsia="Times New Roman" w:hAnsi="Times New Roman" w:cs="Times New Roman"/>
          <w:color w:val="000000"/>
          <w:spacing w:val="0"/>
          <w:w w:val="100"/>
          <w:position w:val="0"/>
          <w:shd w:val="clear" w:color="auto" w:fill="FFFFFF"/>
        </w:rPr>
        <w:t>5</w:t>
      </w:r>
      <w:bookmarkEnd w:id="232"/>
      <w:r>
        <w:rPr>
          <w:color w:val="000000"/>
          <w:spacing w:val="0"/>
          <w:w w:val="100"/>
          <w:position w:val="0"/>
          <w:shd w:val="clear" w:color="auto" w:fill="FFFFFF"/>
        </w:rPr>
        <w:t>、</w:t>
      </w:r>
      <w:r>
        <w:rPr>
          <w:color w:val="000000"/>
          <w:spacing w:val="0"/>
          <w:w w:val="100"/>
          <w:position w:val="0"/>
        </w:rPr>
        <w:tab/>
        <w:t>支付的其他与筹资活动有关的现金：</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归还期初融资性票据借款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14,200,000.00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支付企业拆借款及利息净额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580" w:right="0" w:firstLine="0"/>
              <w:jc w:val="both"/>
            </w:pPr>
            <w:r>
              <w:rPr>
                <w:rFonts w:ascii="Times New Roman" w:eastAsia="Times New Roman" w:hAnsi="Times New Roman" w:cs="Times New Roman"/>
                <w:color w:val="000000"/>
                <w:spacing w:val="0"/>
                <w:w w:val="100"/>
                <w:position w:val="0"/>
              </w:rPr>
              <w:t>725,159.51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支付本期融资性票据保证金</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4,260,000.00</w:t>
            </w:r>
          </w:p>
        </w:tc>
      </w:tr>
    </w:tbl>
    <w:p>
      <w:pPr>
        <w:widowControl w:val="0"/>
        <w:spacing w:line="1" w:lineRule="exact"/>
      </w:pPr>
      <w:r>
        <w:br w:type="page"/>
      </w:r>
    </w:p>
    <w:tbl>
      <w:tblPr>
        <w:tblOverlap w:val="never"/>
        <w:jc w:val="center"/>
        <w:tblLayout w:type="fixed"/>
      </w:tblPr>
      <w:tblGrid>
        <w:gridCol w:w="4661"/>
        <w:gridCol w:w="4656"/>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支付融资性票据贴现利息</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1,797,496.14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支付债券发行费用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1,051,000.00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22,033,655.65</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五^一</w:t>
      </w:r>
      <w:r>
        <w:rPr>
          <w:rFonts w:ascii="Times New Roman" w:eastAsia="Times New Roman" w:hAnsi="Times New Roman" w:cs="Times New Roman"/>
          <w:color w:val="000000"/>
          <w:spacing w:val="0"/>
          <w:w w:val="100"/>
          <w:position w:val="0"/>
        </w:rPr>
        <w:t>）</w:t>
      </w:r>
      <w:r>
        <w:rPr>
          <w:color w:val="000000"/>
          <w:spacing w:val="0"/>
          <w:w w:val="100"/>
          <w:position w:val="0"/>
        </w:rPr>
        <w:t>现金流量表补充资料：</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现金流量表补充资料：</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565"/>
        <w:gridCol w:w="2371"/>
        <w:gridCol w:w="2381"/>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189,378,686.95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183,548,277.61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-839,752.44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-138,149.31</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35,975,934.51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36,301,887.16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1,414,479.76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1,310,746.73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66,366.00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66,366.00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-129,249,761.33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-126,741,679.14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22,469,474.11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36,344,366.38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-31,392,870.01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-36,997,434.97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144,204.21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-504,265.00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27,519,532.36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31,303,844.46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-72,642,799.55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-19,941,901.28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60,812,198.50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27,926,077.49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-33,354,360.68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1,228,791.87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70,285,722.39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133,695,778.00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280,833,547.91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232,786,370.14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232,786,370.14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231,104,456.87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48,047,177.77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1,681,913.27</w:t>
            </w:r>
          </w:p>
        </w:tc>
      </w:tr>
    </w:tbl>
    <w:p>
      <w:pPr>
        <w:widowControl w:val="0"/>
        <w:spacing w:after="4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 现金和现金等价物的构成</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69"/>
        <w:gridCol w:w="2467"/>
        <w:gridCol w:w="238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280,833,547.91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232,786,370.14</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66,700.18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110,696.80</w:t>
            </w:r>
          </w:p>
        </w:tc>
      </w:tr>
    </w:tbl>
    <w:p>
      <w:pPr>
        <w:widowControl w:val="0"/>
        <w:spacing w:line="1" w:lineRule="exact"/>
      </w:pPr>
      <w:r>
        <w:br w:type="page"/>
      </w:r>
    </w:p>
    <w:tbl>
      <w:tblPr>
        <w:tblOverlap w:val="never"/>
        <w:jc w:val="center"/>
        <w:tblLayout w:type="fixed"/>
      </w:tblPr>
      <w:tblGrid>
        <w:gridCol w:w="4469"/>
        <w:gridCol w:w="2467"/>
        <w:gridCol w:w="238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279,759,822.70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232,130,722.95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1,007,025.03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544,950.39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280,833,547.91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232,786,370.14</w:t>
            </w:r>
          </w:p>
        </w:tc>
      </w:tr>
    </w:tbl>
    <w:p>
      <w:pPr>
        <w:widowControl w:val="0"/>
        <w:spacing w:after="219" w:line="1" w:lineRule="exact"/>
      </w:pPr>
    </w:p>
    <w:p>
      <w:pPr>
        <w:pStyle w:val="Style13"/>
        <w:keepNext w:val="0"/>
        <w:keepLines w:val="0"/>
        <w:widowControl w:val="0"/>
        <w:shd w:val="clear" w:color="auto" w:fill="auto"/>
        <w:tabs>
          <w:tab w:pos="494" w:val="left"/>
        </w:tabs>
        <w:bidi w:val="0"/>
        <w:spacing w:before="0" w:after="0" w:line="271" w:lineRule="exact"/>
        <w:ind w:left="0" w:right="0" w:firstLine="0"/>
        <w:jc w:val="left"/>
      </w:pPr>
      <w:bookmarkStart w:id="233" w:name="bookmark233"/>
      <w:r>
        <w:rPr>
          <w:rFonts w:ascii="Times New Roman" w:eastAsia="Times New Roman" w:hAnsi="Times New Roman" w:cs="Times New Roman"/>
          <w:color w:val="000000"/>
          <w:spacing w:val="0"/>
          <w:w w:val="100"/>
          <w:position w:val="0"/>
        </w:rPr>
        <w:t>3</w:t>
      </w:r>
      <w:bookmarkEnd w:id="233"/>
      <w:r>
        <w:rPr>
          <w:color w:val="000000"/>
          <w:spacing w:val="0"/>
          <w:w w:val="100"/>
          <w:position w:val="0"/>
        </w:rPr>
        <w:t>、</w:t>
        <w:tab/>
        <w:t>现金流量表补充资料的说明</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公司货币资金期末余额为</w:t>
      </w:r>
      <w:r>
        <w:rPr>
          <w:rFonts w:ascii="Times New Roman" w:eastAsia="Times New Roman" w:hAnsi="Times New Roman" w:cs="Times New Roman"/>
          <w:color w:val="000000"/>
          <w:spacing w:val="0"/>
          <w:w w:val="100"/>
          <w:position w:val="0"/>
        </w:rPr>
        <w:t>293,113,547.91</w:t>
      </w:r>
      <w:r>
        <w:rPr>
          <w:color w:val="000000"/>
          <w:spacing w:val="0"/>
          <w:w w:val="100"/>
          <w:position w:val="0"/>
        </w:rPr>
        <w:t>元，其中银行承兑汇票保证金</w:t>
      </w:r>
      <w:r>
        <w:rPr>
          <w:rFonts w:ascii="Times New Roman" w:eastAsia="Times New Roman" w:hAnsi="Times New Roman" w:cs="Times New Roman"/>
          <w:color w:val="000000"/>
          <w:spacing w:val="0"/>
          <w:w w:val="100"/>
          <w:position w:val="0"/>
        </w:rPr>
        <w:t>11,700,000.00</w:t>
      </w:r>
      <w:r>
        <w:rPr>
          <w:color w:val="000000"/>
          <w:spacing w:val="0"/>
          <w:w w:val="100"/>
          <w:position w:val="0"/>
        </w:rPr>
        <w:t>元和信用 证保证金</w:t>
      </w:r>
      <w:r>
        <w:rPr>
          <w:rFonts w:ascii="Times New Roman" w:eastAsia="Times New Roman" w:hAnsi="Times New Roman" w:cs="Times New Roman"/>
          <w:color w:val="000000"/>
          <w:spacing w:val="0"/>
          <w:w w:val="100"/>
          <w:position w:val="0"/>
        </w:rPr>
        <w:t>580,000.00</w:t>
      </w:r>
      <w:r>
        <w:rPr>
          <w:color w:val="000000"/>
          <w:spacing w:val="0"/>
          <w:w w:val="100"/>
          <w:position w:val="0"/>
        </w:rPr>
        <w:t>元不属于现金等价物。</w:t>
      </w:r>
    </w:p>
    <w:p>
      <w:pPr>
        <w:pStyle w:val="Style13"/>
        <w:keepNext w:val="0"/>
        <w:keepLines w:val="0"/>
        <w:widowControl w:val="0"/>
        <w:shd w:val="clear" w:color="auto" w:fill="auto"/>
        <w:bidi w:val="0"/>
        <w:spacing w:before="0" w:after="280" w:line="271" w:lineRule="exact"/>
        <w:ind w:left="0" w:right="0" w:firstLine="0"/>
        <w:jc w:val="left"/>
      </w:pPr>
      <w:r>
        <w:rPr>
          <w:color w:val="000000"/>
          <w:spacing w:val="0"/>
          <w:w w:val="100"/>
          <w:position w:val="0"/>
        </w:rPr>
        <w:t>公司货币资金期初余额为</w:t>
      </w:r>
      <w:r>
        <w:rPr>
          <w:rFonts w:ascii="Times New Roman" w:eastAsia="Times New Roman" w:hAnsi="Times New Roman" w:cs="Times New Roman"/>
          <w:color w:val="000000"/>
          <w:spacing w:val="0"/>
          <w:w w:val="100"/>
          <w:position w:val="0"/>
        </w:rPr>
        <w:t>262,214,100.22</w:t>
      </w:r>
      <w:r>
        <w:rPr>
          <w:color w:val="000000"/>
          <w:spacing w:val="0"/>
          <w:w w:val="100"/>
          <w:position w:val="0"/>
        </w:rPr>
        <w:t>元，其中已质押的定期存款</w:t>
      </w:r>
      <w:r>
        <w:rPr>
          <w:rFonts w:ascii="Times New Roman" w:eastAsia="Times New Roman" w:hAnsi="Times New Roman" w:cs="Times New Roman"/>
          <w:color w:val="000000"/>
          <w:spacing w:val="0"/>
          <w:w w:val="100"/>
          <w:position w:val="0"/>
        </w:rPr>
        <w:t>7,000,000.00</w:t>
      </w:r>
      <w:r>
        <w:rPr>
          <w:color w:val="000000"/>
          <w:spacing w:val="0"/>
          <w:w w:val="100"/>
          <w:position w:val="0"/>
        </w:rPr>
        <w:t>元，银行承兑 汇票保证金</w:t>
      </w:r>
      <w:r>
        <w:rPr>
          <w:rFonts w:ascii="Times New Roman" w:eastAsia="Times New Roman" w:hAnsi="Times New Roman" w:cs="Times New Roman"/>
          <w:color w:val="000000"/>
          <w:spacing w:val="0"/>
          <w:w w:val="100"/>
          <w:position w:val="0"/>
        </w:rPr>
        <w:t>22,200,000.00</w:t>
      </w:r>
      <w:r>
        <w:rPr>
          <w:color w:val="000000"/>
          <w:spacing w:val="0"/>
          <w:w w:val="100"/>
          <w:position w:val="0"/>
        </w:rPr>
        <w:t>元和信用证保证金</w:t>
      </w:r>
      <w:r>
        <w:rPr>
          <w:rFonts w:ascii="Times New Roman" w:eastAsia="Times New Roman" w:hAnsi="Times New Roman" w:cs="Times New Roman"/>
          <w:color w:val="000000"/>
          <w:spacing w:val="0"/>
          <w:w w:val="100"/>
          <w:position w:val="0"/>
        </w:rPr>
        <w:t>227,730.08</w:t>
      </w:r>
      <w:r>
        <w:rPr>
          <w:color w:val="000000"/>
          <w:spacing w:val="0"/>
          <w:w w:val="100"/>
          <w:position w:val="0"/>
        </w:rPr>
        <w:t>元不属于现金等价物。</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八、关联方及关联交易</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本企业的母公司情况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30"/>
        <w:gridCol w:w="821"/>
        <w:gridCol w:w="730"/>
        <w:gridCol w:w="821"/>
        <w:gridCol w:w="821"/>
        <w:gridCol w:w="821"/>
        <w:gridCol w:w="1205"/>
        <w:gridCol w:w="1210"/>
        <w:gridCol w:w="821"/>
        <w:gridCol w:w="1238"/>
      </w:tblGrid>
      <w:tr>
        <w:trPr>
          <w:trHeight w:val="11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母公 司名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企业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法人 代表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业务 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200" w:firstLine="0"/>
              <w:jc w:val="right"/>
            </w:pPr>
            <w:r>
              <w:rPr>
                <w:color w:val="000000"/>
                <w:spacing w:val="0"/>
                <w:w w:val="100"/>
                <w:position w:val="0"/>
              </w:rPr>
              <w:t>注册 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71" w:lineRule="exact"/>
              <w:ind w:left="0" w:right="0" w:firstLine="0"/>
              <w:jc w:val="center"/>
            </w:pPr>
            <w:r>
              <w:rPr>
                <w:color w:val="000000"/>
                <w:spacing w:val="0"/>
                <w:w w:val="100"/>
                <w:position w:val="0"/>
              </w:rPr>
              <w:t>母公司对 本企业的 持股比例</w:t>
            </w:r>
          </w:p>
          <w:p>
            <w:pPr>
              <w:pStyle w:val="Style21"/>
              <w:keepNext w:val="0"/>
              <w:keepLines w:val="0"/>
              <w:widowControl w:val="0"/>
              <w:shd w:val="clear" w:color="auto" w:fill="auto"/>
              <w:bidi w:val="0"/>
              <w:spacing w:before="0" w:after="0" w:line="283"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母公司对 本企业的 表决权比</w:t>
            </w:r>
          </w:p>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本企 业最 终控 制方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组织机构 代码</w:t>
            </w:r>
          </w:p>
        </w:tc>
      </w:tr>
      <w:tr>
        <w:trPr>
          <w:trHeight w:val="193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富润 集团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有限 责任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 诸暨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赵林 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实业 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0" w:lineRule="exact"/>
              <w:ind w:left="0" w:right="0" w:firstLine="0"/>
              <w:jc w:val="left"/>
            </w:pPr>
            <w:r>
              <w:rPr>
                <w:color w:val="000000"/>
                <w:spacing w:val="0"/>
                <w:w w:val="100"/>
                <w:position w:val="0"/>
              </w:rPr>
              <w:t>浙江 诸暨 惠风 仓</w:t>
            </w:r>
            <w:r>
              <w:rPr>
                <w:rFonts w:ascii="Times New Roman" w:eastAsia="Times New Roman" w:hAnsi="Times New Roman" w:cs="Times New Roman"/>
                <w:color w:val="000000"/>
                <w:spacing w:val="0"/>
                <w:w w:val="100"/>
                <w:position w:val="0"/>
              </w:rPr>
              <w:t>U</w:t>
            </w:r>
            <w:r>
              <w:rPr>
                <w:color w:val="000000"/>
                <w:spacing w:val="0"/>
                <w:w w:val="100"/>
                <w:position w:val="0"/>
              </w:rPr>
              <w:t>业 投资 有限 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72721859-6</w:t>
            </w:r>
          </w:p>
        </w:tc>
      </w:tr>
    </w:tbl>
    <w:p>
      <w:pPr>
        <w:widowControl w:val="0"/>
        <w:spacing w:after="219" w:line="1" w:lineRule="exact"/>
      </w:pPr>
    </w:p>
    <w:p>
      <w:pPr>
        <w:widowControl w:val="0"/>
        <w:spacing w:line="1" w:lineRule="exact"/>
      </w:pPr>
    </w:p>
    <w:p>
      <w:pPr>
        <w:pStyle w:val="Style19"/>
        <w:keepNext w:val="0"/>
        <w:keepLines w:val="0"/>
        <w:widowControl w:val="0"/>
        <w:shd w:val="clear" w:color="auto" w:fill="auto"/>
        <w:bidi w:val="0"/>
        <w:spacing w:before="0" w:after="0" w:line="26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本企业的子公司情况 单位</w:t>
      </w:r>
      <w:r>
        <w:rPr>
          <w:rFonts w:ascii="Times New Roman" w:eastAsia="Times New Roman" w:hAnsi="Times New Roman" w:cs="Times New Roman"/>
          <w:color w:val="000000"/>
          <w:spacing w:val="0"/>
          <w:w w:val="100"/>
          <w:position w:val="0"/>
        </w:rPr>
        <w:t>:</w:t>
      </w:r>
      <w:r>
        <w:rPr>
          <w:color w:val="000000"/>
          <w:spacing w:val="0"/>
          <w:w w:val="100"/>
          <w:position w:val="0"/>
        </w:rPr>
        <w:t>万元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42"/>
        <w:gridCol w:w="1032"/>
        <w:gridCol w:w="936"/>
        <w:gridCol w:w="1032"/>
        <w:gridCol w:w="1037"/>
        <w:gridCol w:w="1032"/>
        <w:gridCol w:w="936"/>
        <w:gridCol w:w="1032"/>
        <w:gridCol w:w="1238"/>
      </w:tblGrid>
      <w:tr>
        <w:trPr>
          <w:trHeight w:val="57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全称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企业类 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法人代 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业务性 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注册资 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表决权 比例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组织机构 代码</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浙江富 润印染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中外合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浙江省 诸暨市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傅国柱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74901524-7</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浙江富 润海茂 纺织布 艺有限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中外合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浙江省 诸暨市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何四新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75708024-1</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浙江富 润纺织 有限公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中外合 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浙江省 诸暨市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应叶华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75706055-8</w:t>
            </w:r>
          </w:p>
        </w:tc>
      </w:tr>
    </w:tbl>
    <w:p>
      <w:pPr>
        <w:widowControl w:val="0"/>
        <w:spacing w:line="1" w:lineRule="exact"/>
      </w:pPr>
      <w:r>
        <w:br w:type="page"/>
      </w:r>
    </w:p>
    <w:tbl>
      <w:tblPr>
        <w:tblOverlap w:val="never"/>
        <w:jc w:val="center"/>
        <w:tblLayout w:type="fixed"/>
      </w:tblPr>
      <w:tblGrid>
        <w:gridCol w:w="1042"/>
        <w:gridCol w:w="1032"/>
        <w:gridCol w:w="936"/>
        <w:gridCol w:w="1032"/>
        <w:gridCol w:w="1037"/>
        <w:gridCol w:w="1032"/>
        <w:gridCol w:w="936"/>
        <w:gridCol w:w="1032"/>
        <w:gridCol w:w="1238"/>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浙江诸 暨富润 宏丰纺 织有限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中外合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浙江省 诸暨市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79339756-1</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浙江诸 暨富润 丝绸织 造有限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中外合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浙江省 诸暨市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79339753-7</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浙江富 源再生 资源有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浙江省 诸暨市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应叶华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68997566-7</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诸暨富 润屋城 东置业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浙江省 诸暨市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赵林中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56444049-0</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浙江富 润贸易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浙江省 诸暨市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俞振中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55618190-0</w:t>
            </w:r>
          </w:p>
        </w:tc>
      </w:tr>
      <w:tr>
        <w:trPr>
          <w:trHeight w:val="111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浙江明 贺钢管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中外合 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浙江省 德清县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傅国柱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79647458-5</w:t>
            </w:r>
          </w:p>
        </w:tc>
      </w:tr>
    </w:tbl>
    <w:p>
      <w:pPr>
        <w:widowControl w:val="0"/>
        <w:spacing w:after="199" w:line="1" w:lineRule="exact"/>
      </w:pPr>
    </w:p>
    <w:p>
      <w:pPr>
        <w:widowControl w:val="0"/>
        <w:spacing w:line="1" w:lineRule="exact"/>
      </w:pPr>
    </w:p>
    <w:p>
      <w:pPr>
        <w:pStyle w:val="Style19"/>
        <w:keepNext w:val="0"/>
        <w:keepLines w:val="0"/>
        <w:widowControl w:val="0"/>
        <w:shd w:val="clear" w:color="auto" w:fill="auto"/>
        <w:bidi w:val="0"/>
        <w:spacing w:before="0" w:after="0" w:line="283"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本企业的合营和联营企业的情况 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13"/>
        <w:gridCol w:w="998"/>
        <w:gridCol w:w="1003"/>
        <w:gridCol w:w="1003"/>
        <w:gridCol w:w="1003"/>
        <w:gridCol w:w="1003"/>
        <w:gridCol w:w="1003"/>
        <w:gridCol w:w="1003"/>
        <w:gridCol w:w="1286"/>
      </w:tblGrid>
      <w:tr>
        <w:trPr>
          <w:trHeight w:val="13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 单位名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企业类 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法人代 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业务性 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注册资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本企业 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本企业 在被投 资单位 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组织机构代 码</w:t>
            </w:r>
          </w:p>
        </w:tc>
      </w:tr>
      <w:tr>
        <w:trPr>
          <w:trHeight w:val="288" w:hRule="exact"/>
        </w:trPr>
        <w:tc>
          <w:tcPr>
            <w:gridSpan w:val="9"/>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诸暨市 富润置 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浙江诸 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傅国柱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75395595-2</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诸暨富 润服饰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外商投 资企业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浙江诸 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翁卫东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76640835-X</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杭州航</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朱重庆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14355528-1</w:t>
            </w:r>
          </w:p>
        </w:tc>
      </w:tr>
    </w:tbl>
    <w:p>
      <w:pPr>
        <w:widowControl w:val="0"/>
        <w:spacing w:line="1" w:lineRule="exact"/>
      </w:pPr>
      <w:r>
        <w:br w:type="page"/>
      </w:r>
    </w:p>
    <w:tbl>
      <w:tblPr>
        <w:tblOverlap w:val="never"/>
        <w:jc w:val="center"/>
        <w:tblLayout w:type="fixed"/>
      </w:tblPr>
      <w:tblGrid>
        <w:gridCol w:w="1013"/>
        <w:gridCol w:w="998"/>
        <w:gridCol w:w="1003"/>
        <w:gridCol w:w="1003"/>
        <w:gridCol w:w="1003"/>
        <w:gridCol w:w="1003"/>
        <w:gridCol w:w="1003"/>
        <w:gridCol w:w="1003"/>
        <w:gridCol w:w="1286"/>
      </w:tblGrid>
      <w:tr>
        <w:trPr>
          <w:trHeight w:val="8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民上峰 水泥有 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本企业的其他关联方情况</w:t>
      </w:r>
    </w:p>
    <w:tbl>
      <w:tblPr>
        <w:tblOverlap w:val="never"/>
        <w:jc w:val="center"/>
        <w:tblLayout w:type="fixed"/>
      </w:tblPr>
      <w:tblGrid>
        <w:gridCol w:w="3014"/>
        <w:gridCol w:w="3192"/>
        <w:gridCol w:w="311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其他关联方与本公司关系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浙江富润进出口有限公司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72361658-9</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诸暨富润染整有限公司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76640836-8</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诸暨富润宠物用品有限公司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75395367-4</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诸暨富润机械弹簧有限公司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77722150-7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诸暨富润化工助剂有限公司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76392769-9</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富润针织有限公司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60970006-6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富润永枰针织有限公司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76640837-6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诸暨市富润老年康乐中心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68313829-4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浙江诸暨一百购物中心有限公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66618325-3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浙江诸暨华泽纺织有限公司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66917067-7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诸暨长城国际影视网游动漫创 意园有限公司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56816960-X</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山东泰山宝盛大酒店有限公司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57049625-5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山东泰山宝盛置业有限公司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55994017-5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上峰建材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79762442-6</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诸暨富润供水有限公司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79762442-6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诸暨市富裕金属材料有限公司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67389572-6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浙江诸暨地润商贸有限公司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66619940-7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自然人应叶华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自然人何四新</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bookmarkStart w:id="234" w:name="bookmark234"/>
      <w:r>
        <w:rPr>
          <w:rFonts w:ascii="Times New Roman" w:eastAsia="Times New Roman" w:hAnsi="Times New Roman" w:cs="Times New Roman"/>
          <w:color w:val="000000"/>
          <w:spacing w:val="0"/>
          <w:w w:val="100"/>
          <w:position w:val="0"/>
        </w:rPr>
        <w:t>（</w:t>
      </w:r>
      <w:bookmarkEnd w:id="234"/>
      <w:r>
        <w:rPr>
          <w:color w:val="000000"/>
          <w:spacing w:val="0"/>
          <w:w w:val="100"/>
          <w:position w:val="0"/>
        </w:rPr>
        <w:t>五</w:t>
      </w:r>
      <w:r>
        <w:rPr>
          <w:color w:val="000000"/>
          <w:spacing w:val="0"/>
          <w:w w:val="100"/>
          <w:position w:val="0"/>
        </w:rPr>
        <w:t>）</w:t>
      </w:r>
      <w:r>
        <w:rPr>
          <w:color w:val="000000"/>
          <w:spacing w:val="0"/>
          <w:w w:val="100"/>
          <w:position w:val="0"/>
        </w:rPr>
        <w:t>关联交易情况</w:t>
      </w:r>
    </w:p>
    <w:p>
      <w:pPr>
        <w:pStyle w:val="Style13"/>
        <w:keepNext w:val="0"/>
        <w:keepLines w:val="0"/>
        <w:widowControl w:val="0"/>
        <w:shd w:val="clear" w:color="auto" w:fill="auto"/>
        <w:tabs>
          <w:tab w:pos="48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39"/>
        <w:gridCol w:w="1330"/>
        <w:gridCol w:w="1330"/>
        <w:gridCol w:w="1421"/>
        <w:gridCol w:w="1426"/>
        <w:gridCol w:w="1234"/>
        <w:gridCol w:w="1238"/>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关联交易内 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关联交易定 价方式及决 策程序</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占同类交易 金额的比例</w:t>
            </w:r>
          </w:p>
          <w:p>
            <w:pPr>
              <w:pStyle w:val="Style21"/>
              <w:keepNext w:val="0"/>
              <w:keepLines w:val="0"/>
              <w:widowControl w:val="0"/>
              <w:shd w:val="clear" w:color="auto" w:fill="auto"/>
              <w:bidi w:val="0"/>
              <w:spacing w:before="0" w:after="0" w:line="269" w:lineRule="exact"/>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浙江诸暨一 百购物中心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302,167.52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14,977.78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富润永枰针 织有限公司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原材料、加</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20,808.38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诸暨富润染 整有限公司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191,326.30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150,840.09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0.02</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诸暨富润化 工助剂有限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31,965.81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53,760.68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17,938.46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39"/>
        <w:gridCol w:w="1330"/>
        <w:gridCol w:w="1330"/>
        <w:gridCol w:w="1421"/>
        <w:gridCol w:w="1426"/>
        <w:gridCol w:w="1234"/>
        <w:gridCol w:w="1238"/>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械弹簧有限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564,206.47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219,578.55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tbl>
      <w:tblPr>
        <w:tblOverlap w:val="never"/>
        <w:jc w:val="center"/>
        <w:tblLayout w:type="fixed"/>
      </w:tblPr>
      <w:tblGrid>
        <w:gridCol w:w="1306"/>
        <w:gridCol w:w="1301"/>
        <w:gridCol w:w="1296"/>
        <w:gridCol w:w="1397"/>
        <w:gridCol w:w="1402"/>
        <w:gridCol w:w="1310"/>
        <w:gridCol w:w="1306"/>
      </w:tblGrid>
      <w:tr>
        <w:trPr>
          <w:trHeight w:val="269" w:hRule="exact"/>
        </w:trPr>
        <w:tc>
          <w:tcPr>
            <w:gridSpan w:val="5"/>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位：元币种：人民币</w:t>
            </w:r>
          </w:p>
        </w:tc>
      </w:tr>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关联交易</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关联交易定 价方式及决 策程序</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占同类交易 金额的比例</w:t>
            </w:r>
          </w:p>
          <w:p>
            <w:pPr>
              <w:pStyle w:val="Style21"/>
              <w:keepNext w:val="0"/>
              <w:keepLines w:val="0"/>
              <w:widowControl w:val="0"/>
              <w:shd w:val="clear" w:color="auto" w:fill="auto"/>
              <w:bidi w:val="0"/>
              <w:spacing w:before="0" w:after="0" w:line="269"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60" w:line="254" w:lineRule="exact"/>
              <w:ind w:left="0" w:right="0" w:firstLine="0"/>
              <w:jc w:val="center"/>
            </w:pPr>
            <w:r>
              <w:rPr>
                <w:color w:val="000000"/>
                <w:spacing w:val="0"/>
                <w:w w:val="100"/>
                <w:position w:val="0"/>
              </w:rPr>
              <w:t>占同类交易 金额的比例</w:t>
            </w:r>
          </w:p>
          <w:p>
            <w:pPr>
              <w:pStyle w:val="Style21"/>
              <w:keepNext w:val="0"/>
              <w:keepLines w:val="0"/>
              <w:widowControl w:val="0"/>
              <w:shd w:val="clear" w:color="auto" w:fill="auto"/>
              <w:bidi w:val="0"/>
              <w:spacing w:before="0" w:after="0" w:line="254" w:lineRule="exact"/>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富润集团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售、加工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1,709.40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104,247.86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0.01</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浙江富润进 出口有限公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诸暨富润机 械弹簧有限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29,134.40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诸暨富润供 水有限公司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241,431.21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0.02</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富润永枰针 织有限公司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纺织品销 售、加工、 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68,861.50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0.01</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诸暨富润染 整有限公司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11,773.50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诸暨富润宠 物用品有限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28,596.17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51,503.07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服饰公司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纺织品销 售、加工、 水电等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2,143,045.59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1,466,352.48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0.14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2,185,506.71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1,967,910.85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0.18</w:t>
            </w:r>
          </w:p>
        </w:tc>
      </w:tr>
    </w:tbl>
    <w:p>
      <w:pPr>
        <w:widowControl w:val="0"/>
        <w:spacing w:after="199" w:line="1" w:lineRule="exact"/>
      </w:pPr>
    </w:p>
    <w:p>
      <w:pPr>
        <w:widowControl w:val="0"/>
        <w:spacing w:line="1" w:lineRule="exact"/>
      </w:pPr>
    </w:p>
    <w:p>
      <w:pPr>
        <w:pStyle w:val="Style19"/>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关联租赁情况 公司出租情况表：</w:t>
      </w:r>
    </w:p>
    <w:tbl>
      <w:tblPr>
        <w:tblOverlap w:val="never"/>
        <w:jc w:val="center"/>
        <w:tblLayout w:type="fixed"/>
      </w:tblPr>
      <w:tblGrid>
        <w:gridCol w:w="1354"/>
        <w:gridCol w:w="1339"/>
        <w:gridCol w:w="1344"/>
        <w:gridCol w:w="1248"/>
        <w:gridCol w:w="1243"/>
        <w:gridCol w:w="1238"/>
        <w:gridCol w:w="1550"/>
      </w:tblGrid>
      <w:tr>
        <w:trPr>
          <w:trHeight w:val="269" w:hRule="exact"/>
        </w:trPr>
        <w:tc>
          <w:tcPr>
            <w:gridSpan w:val="6"/>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租赁资产种 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租赁起始 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租赁终止 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租赁收益 定价依据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年度确认的租 赁收益</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127,141.60</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浙江诸暨华 泽纺织有限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再生资源公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left"/>
            </w:pPr>
            <w:r>
              <w:rPr>
                <w:color w:val="000000"/>
                <w:spacing w:val="0"/>
                <w:w w:val="100"/>
                <w:position w:val="0"/>
              </w:rPr>
              <w:t>浙江诸暨华 泽纺织有限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600,000.00</w:t>
            </w:r>
          </w:p>
        </w:tc>
      </w:tr>
    </w:tbl>
    <w:p>
      <w:pPr>
        <w:widowControl w:val="0"/>
        <w:spacing w:line="1" w:lineRule="exact"/>
      </w:pPr>
    </w:p>
    <w:tbl>
      <w:tblPr>
        <w:tblOverlap w:val="never"/>
        <w:jc w:val="center"/>
        <w:tblLayout w:type="fixed"/>
      </w:tblPr>
      <w:tblGrid>
        <w:gridCol w:w="1354"/>
        <w:gridCol w:w="1339"/>
        <w:gridCol w:w="1344"/>
        <w:gridCol w:w="1248"/>
        <w:gridCol w:w="1243"/>
        <w:gridCol w:w="1248"/>
        <w:gridCol w:w="1541"/>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富润针织有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印染公司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58,103.30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1,985,244.90</w:t>
            </w:r>
          </w:p>
        </w:tc>
      </w:tr>
    </w:tbl>
    <w:p>
      <w:pPr>
        <w:widowControl w:val="0"/>
        <w:spacing w:after="4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关联担保情况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46"/>
        <w:gridCol w:w="1819"/>
        <w:gridCol w:w="1637"/>
        <w:gridCol w:w="2198"/>
        <w:gridCol w:w="2117"/>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是否履行完毕</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明贺公司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明贺公司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明贺公司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3"/>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r>
              <w:rPr>
                <w:color w:val="000000"/>
                <w:spacing w:val="0"/>
                <w:w w:val="100"/>
                <w:position w:val="0"/>
              </w:rPr>
              <w:t>万元项借款同时以明贺公司的机器设备提供抵押;</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阻保。</w:t>
            </w:r>
          </w:p>
        </w:tc>
      </w:tr>
    </w:tbl>
    <w:p>
      <w:pPr>
        <w:pStyle w:val="Style19"/>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担保起始日为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日的</w:t>
      </w:r>
      <w:r>
        <w:rPr>
          <w:rFonts w:ascii="Times New Roman" w:eastAsia="Times New Roman" w:hAnsi="Times New Roman" w:cs="Times New Roman"/>
          <w:color w:val="000000"/>
          <w:spacing w:val="0"/>
          <w:w w:val="100"/>
          <w:position w:val="0"/>
        </w:rPr>
        <w:t>1000</w:t>
      </w:r>
      <w:r>
        <w:rPr>
          <w:color w:val="000000"/>
          <w:spacing w:val="0"/>
          <w:w w:val="100"/>
          <w:position w:val="0"/>
        </w:rPr>
        <w:t>万元项借款同时以明贺公司的土地使用权提供抵押担 保。</w:t>
      </w:r>
    </w:p>
    <w:p>
      <w:pPr>
        <w:widowControl w:val="0"/>
        <w:spacing w:after="239" w:line="1" w:lineRule="exact"/>
      </w:pPr>
    </w:p>
    <w:p>
      <w:pPr>
        <w:pStyle w:val="Style13"/>
        <w:keepNext w:val="0"/>
        <w:keepLines w:val="0"/>
        <w:widowControl w:val="0"/>
        <w:shd w:val="clear" w:color="auto" w:fill="auto"/>
        <w:tabs>
          <w:tab w:pos="533" w:val="left"/>
        </w:tabs>
        <w:bidi w:val="0"/>
        <w:spacing w:before="0" w:after="0" w:line="278" w:lineRule="exact"/>
        <w:ind w:left="0" w:right="0" w:firstLine="0"/>
        <w:jc w:val="both"/>
      </w:pPr>
      <w:bookmarkStart w:id="235" w:name="bookmark235"/>
      <w:r>
        <w:rPr>
          <w:rFonts w:ascii="Times New Roman" w:eastAsia="Times New Roman" w:hAnsi="Times New Roman" w:cs="Times New Roman"/>
          <w:color w:val="000000"/>
          <w:spacing w:val="0"/>
          <w:w w:val="100"/>
          <w:position w:val="0"/>
        </w:rPr>
        <w:t>4</w:t>
      </w:r>
      <w:bookmarkEnd w:id="235"/>
      <w:r>
        <w:rPr>
          <w:color w:val="000000"/>
          <w:spacing w:val="0"/>
          <w:w w:val="100"/>
          <w:position w:val="0"/>
        </w:rPr>
        <w:t>、</w:t>
        <w:tab/>
        <w:t>其他关联交易</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⑴服务</w:t>
      </w:r>
    </w:p>
    <w:p>
      <w:pPr>
        <w:pStyle w:val="Style13"/>
        <w:keepNext w:val="0"/>
        <w:keepLines w:val="0"/>
        <w:widowControl w:val="0"/>
        <w:shd w:val="clear" w:color="auto" w:fill="auto"/>
        <w:bidi w:val="0"/>
        <w:spacing w:before="0" w:after="40" w:line="278" w:lineRule="exact"/>
        <w:ind w:left="0" w:right="0" w:firstLine="0"/>
        <w:jc w:val="both"/>
      </w:pPr>
      <w:r>
        <w:rPr>
          <w:color w:val="000000"/>
          <w:spacing w:val="0"/>
          <w:w w:val="100"/>
          <w:position w:val="0"/>
        </w:rPr>
        <w:t>公司使用富润集团的变电站等辅助设施，根据协议，</w:t>
      </w:r>
      <w:r>
        <w:rPr>
          <w:rFonts w:ascii="Times New Roman" w:eastAsia="Times New Roman" w:hAnsi="Times New Roman" w:cs="Times New Roman"/>
          <w:color w:val="000000"/>
          <w:spacing w:val="0"/>
          <w:w w:val="100"/>
          <w:position w:val="0"/>
        </w:rPr>
        <w:t>2013</w:t>
      </w:r>
      <w:r>
        <w:rPr>
          <w:color w:val="000000"/>
          <w:spacing w:val="0"/>
          <w:w w:val="100"/>
          <w:position w:val="0"/>
        </w:rPr>
        <w:t>年度支付使用费</w:t>
      </w:r>
      <w:r>
        <w:rPr>
          <w:rFonts w:ascii="Times New Roman" w:eastAsia="Times New Roman" w:hAnsi="Times New Roman" w:cs="Times New Roman"/>
          <w:color w:val="000000"/>
          <w:spacing w:val="0"/>
          <w:w w:val="100"/>
          <w:position w:val="0"/>
        </w:rPr>
        <w:t>20,000.00</w:t>
      </w:r>
      <w:r>
        <w:rPr>
          <w:color w:val="000000"/>
          <w:spacing w:val="0"/>
          <w:w w:val="100"/>
          <w:position w:val="0"/>
        </w:rPr>
        <w:t>元。</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rPr>
        <w:t>⑵其他</w:t>
      </w:r>
    </w:p>
    <w:p>
      <w:pPr>
        <w:pStyle w:val="Style13"/>
        <w:keepNext w:val="0"/>
        <w:keepLines w:val="0"/>
        <w:widowControl w:val="0"/>
        <w:numPr>
          <w:ilvl w:val="0"/>
          <w:numId w:val="37"/>
        </w:numPr>
        <w:shd w:val="clear" w:color="auto" w:fill="auto"/>
        <w:tabs>
          <w:tab w:pos="340" w:val="left"/>
        </w:tabs>
        <w:bidi w:val="0"/>
        <w:spacing w:before="0" w:after="0" w:line="288" w:lineRule="exact"/>
        <w:ind w:left="0" w:right="0" w:firstLine="0"/>
        <w:jc w:val="both"/>
      </w:pPr>
      <w:bookmarkStart w:id="236" w:name="bookmark236"/>
      <w:bookmarkEnd w:id="236"/>
      <w:r>
        <w:rPr>
          <w:rFonts w:ascii="Times New Roman" w:eastAsia="Times New Roman" w:hAnsi="Times New Roman" w:cs="Times New Roman"/>
          <w:color w:val="000000"/>
          <w:spacing w:val="0"/>
          <w:w w:val="100"/>
          <w:position w:val="0"/>
        </w:rPr>
        <w:t>2013</w:t>
      </w:r>
      <w:r>
        <w:rPr>
          <w:color w:val="000000"/>
          <w:spacing w:val="0"/>
          <w:w w:val="100"/>
          <w:position w:val="0"/>
        </w:rPr>
        <w:t>年度及</w:t>
      </w:r>
      <w:r>
        <w:rPr>
          <w:rFonts w:ascii="Times New Roman" w:eastAsia="Times New Roman" w:hAnsi="Times New Roman" w:cs="Times New Roman"/>
          <w:color w:val="000000"/>
          <w:spacing w:val="0"/>
          <w:w w:val="100"/>
          <w:position w:val="0"/>
        </w:rPr>
        <w:t>2012</w:t>
      </w:r>
      <w:r>
        <w:rPr>
          <w:color w:val="000000"/>
          <w:spacing w:val="0"/>
          <w:w w:val="100"/>
          <w:position w:val="0"/>
        </w:rPr>
        <w:t>年度，根据相关协议，本公司无偿使用诸暨市富润老年康乐中心办公用房。</w:t>
      </w:r>
    </w:p>
    <w:p>
      <w:pPr>
        <w:pStyle w:val="Style13"/>
        <w:keepNext w:val="0"/>
        <w:keepLines w:val="0"/>
        <w:widowControl w:val="0"/>
        <w:numPr>
          <w:ilvl w:val="0"/>
          <w:numId w:val="37"/>
        </w:numPr>
        <w:shd w:val="clear" w:color="auto" w:fill="auto"/>
        <w:tabs>
          <w:tab w:pos="359" w:val="left"/>
        </w:tabs>
        <w:bidi w:val="0"/>
        <w:spacing w:before="0" w:after="0" w:line="288" w:lineRule="exact"/>
        <w:ind w:left="0" w:right="0" w:firstLine="0"/>
        <w:jc w:val="both"/>
      </w:pPr>
      <w:bookmarkStart w:id="237" w:name="bookmark237"/>
      <w:bookmarkEnd w:id="237"/>
      <w:r>
        <w:rPr>
          <w:rFonts w:ascii="Times New Roman" w:eastAsia="Times New Roman" w:hAnsi="Times New Roman" w:cs="Times New Roman"/>
          <w:color w:val="000000"/>
          <w:spacing w:val="0"/>
          <w:w w:val="100"/>
          <w:position w:val="0"/>
        </w:rPr>
        <w:t>2013</w:t>
      </w:r>
      <w:r>
        <w:rPr>
          <w:color w:val="000000"/>
          <w:spacing w:val="0"/>
          <w:w w:val="100"/>
          <w:position w:val="0"/>
        </w:rPr>
        <w:t>年度及</w:t>
      </w:r>
      <w:r>
        <w:rPr>
          <w:rFonts w:ascii="Times New Roman" w:eastAsia="Times New Roman" w:hAnsi="Times New Roman" w:cs="Times New Roman"/>
          <w:color w:val="000000"/>
          <w:spacing w:val="0"/>
          <w:w w:val="100"/>
          <w:position w:val="0"/>
        </w:rPr>
        <w:t>2012</w:t>
      </w:r>
      <w:r>
        <w:rPr>
          <w:color w:val="000000"/>
          <w:spacing w:val="0"/>
          <w:w w:val="100"/>
          <w:position w:val="0"/>
        </w:rPr>
        <w:t>年度，根据相关约定，本公司账面原值为</w:t>
      </w:r>
      <w:r>
        <w:rPr>
          <w:rFonts w:ascii="Times New Roman" w:eastAsia="Times New Roman" w:hAnsi="Times New Roman" w:cs="Times New Roman"/>
          <w:color w:val="000000"/>
          <w:spacing w:val="0"/>
          <w:w w:val="100"/>
          <w:position w:val="0"/>
        </w:rPr>
        <w:t>1,229,454.90</w:t>
      </w:r>
      <w:r>
        <w:rPr>
          <w:color w:val="000000"/>
          <w:spacing w:val="0"/>
          <w:w w:val="100"/>
          <w:position w:val="0"/>
        </w:rPr>
        <w:t>元的环保部固定资产 由诸暨富润染整有限公司无偿使用。</w:t>
      </w:r>
    </w:p>
    <w:p>
      <w:pPr>
        <w:pStyle w:val="Style25"/>
        <w:keepNext w:val="0"/>
        <w:keepLines w:val="0"/>
        <w:widowControl w:val="0"/>
        <w:numPr>
          <w:ilvl w:val="0"/>
          <w:numId w:val="37"/>
        </w:numPr>
        <w:shd w:val="clear" w:color="auto" w:fill="auto"/>
        <w:tabs>
          <w:tab w:pos="359" w:val="left"/>
        </w:tabs>
        <w:bidi w:val="0"/>
        <w:spacing w:before="0" w:after="0" w:line="278" w:lineRule="exact"/>
        <w:ind w:left="0" w:right="0" w:firstLine="0"/>
        <w:jc w:val="both"/>
      </w:pPr>
      <w:bookmarkStart w:id="238" w:name="bookmark238"/>
      <w:bookmarkEnd w:id="238"/>
      <w:r>
        <w:rPr>
          <w:color w:val="000000"/>
          <w:spacing w:val="0"/>
          <w:w w:val="100"/>
          <w:position w:val="0"/>
        </w:rPr>
        <w:t>2013</w:t>
      </w:r>
      <w:r>
        <w:rPr>
          <w:rFonts w:ascii="SimSun" w:eastAsia="SimSun" w:hAnsi="SimSun" w:cs="SimSun"/>
          <w:color w:val="000000"/>
          <w:spacing w:val="0"/>
          <w:w w:val="100"/>
          <w:position w:val="0"/>
        </w:rPr>
        <w:t>年度及</w:t>
      </w:r>
      <w:r>
        <w:rPr>
          <w:color w:val="000000"/>
          <w:spacing w:val="0"/>
          <w:w w:val="100"/>
          <w:position w:val="0"/>
        </w:rPr>
        <w:t>2012</w:t>
      </w:r>
      <w:r>
        <w:rPr>
          <w:rFonts w:ascii="SimSun" w:eastAsia="SimSun" w:hAnsi="SimSun" w:cs="SimSun"/>
          <w:color w:val="000000"/>
          <w:spacing w:val="0"/>
          <w:w w:val="100"/>
          <w:position w:val="0"/>
        </w:rPr>
        <w:t>年度，公司及部分子公司通过富润集团发放职工福利</w:t>
      </w:r>
      <w:r>
        <w:rPr>
          <w:color w:val="000000"/>
          <w:spacing w:val="0"/>
          <w:w w:val="100"/>
          <w:position w:val="0"/>
        </w:rPr>
        <w:t>870,740.00</w:t>
      </w:r>
      <w:r>
        <w:rPr>
          <w:rFonts w:ascii="SimSun" w:eastAsia="SimSun" w:hAnsi="SimSun" w:cs="SimSun"/>
          <w:color w:val="000000"/>
          <w:spacing w:val="0"/>
          <w:w w:val="100"/>
          <w:position w:val="0"/>
        </w:rPr>
        <w:t xml:space="preserve">和 </w:t>
      </w:r>
      <w:r>
        <w:rPr>
          <w:color w:val="000000"/>
          <w:spacing w:val="0"/>
          <w:w w:val="100"/>
          <w:position w:val="0"/>
        </w:rPr>
        <w:t xml:space="preserve">955,320.00 </w:t>
      </w:r>
      <w:r>
        <w:rPr>
          <w:rFonts w:ascii="SimSun" w:eastAsia="SimSun" w:hAnsi="SimSun" w:cs="SimSun"/>
          <w:color w:val="000000"/>
          <w:spacing w:val="0"/>
          <w:w w:val="100"/>
          <w:position w:val="0"/>
        </w:rPr>
        <w:t>元。</w:t>
      </w:r>
    </w:p>
    <w:p>
      <w:pPr>
        <w:pStyle w:val="Style13"/>
        <w:keepNext w:val="0"/>
        <w:keepLines w:val="0"/>
        <w:widowControl w:val="0"/>
        <w:numPr>
          <w:ilvl w:val="0"/>
          <w:numId w:val="37"/>
        </w:numPr>
        <w:shd w:val="clear" w:color="auto" w:fill="auto"/>
        <w:tabs>
          <w:tab w:pos="359" w:val="left"/>
        </w:tabs>
        <w:bidi w:val="0"/>
        <w:spacing w:before="0" w:after="0" w:line="278" w:lineRule="exact"/>
        <w:ind w:left="0" w:right="0" w:firstLine="0"/>
        <w:jc w:val="both"/>
      </w:pPr>
      <w:bookmarkStart w:id="239" w:name="bookmark239"/>
      <w:bookmarkEnd w:id="239"/>
      <w:r>
        <w:rPr>
          <w:rFonts w:ascii="Times New Roman" w:eastAsia="Times New Roman" w:hAnsi="Times New Roman" w:cs="Times New Roman"/>
          <w:color w:val="000000"/>
          <w:spacing w:val="0"/>
          <w:w w:val="100"/>
          <w:position w:val="0"/>
        </w:rPr>
        <w:t>2013</w:t>
      </w:r>
      <w:r>
        <w:rPr>
          <w:color w:val="000000"/>
          <w:spacing w:val="0"/>
          <w:w w:val="100"/>
          <w:position w:val="0"/>
        </w:rPr>
        <w:t>年度及</w:t>
      </w:r>
      <w:r>
        <w:rPr>
          <w:rFonts w:ascii="Times New Roman" w:eastAsia="Times New Roman" w:hAnsi="Times New Roman" w:cs="Times New Roman"/>
          <w:color w:val="000000"/>
          <w:spacing w:val="0"/>
          <w:w w:val="100"/>
          <w:position w:val="0"/>
        </w:rPr>
        <w:t>2012</w:t>
      </w:r>
      <w:r>
        <w:rPr>
          <w:color w:val="000000"/>
          <w:spacing w:val="0"/>
          <w:w w:val="100"/>
          <w:position w:val="0"/>
        </w:rPr>
        <w:t>年度，子公司印染公司通过诸暨富润染整有限公司结算电费</w:t>
      </w:r>
      <w:r>
        <w:rPr>
          <w:rFonts w:ascii="Times New Roman" w:eastAsia="Times New Roman" w:hAnsi="Times New Roman" w:cs="Times New Roman"/>
          <w:color w:val="000000"/>
          <w:spacing w:val="0"/>
          <w:w w:val="100"/>
          <w:position w:val="0"/>
        </w:rPr>
        <w:t>325,534.10</w:t>
      </w:r>
      <w:r>
        <w:rPr>
          <w:color w:val="000000"/>
          <w:spacing w:val="0"/>
          <w:w w:val="100"/>
          <w:position w:val="0"/>
        </w:rPr>
        <w:t xml:space="preserve">元 和 </w:t>
      </w:r>
      <w:r>
        <w:rPr>
          <w:rFonts w:ascii="Times New Roman" w:eastAsia="Times New Roman" w:hAnsi="Times New Roman" w:cs="Times New Roman"/>
          <w:color w:val="000000"/>
          <w:spacing w:val="0"/>
          <w:w w:val="100"/>
          <w:position w:val="0"/>
        </w:rPr>
        <w:t xml:space="preserve">476,853.95 </w:t>
      </w:r>
      <w:r>
        <w:rPr>
          <w:color w:val="000000"/>
          <w:spacing w:val="0"/>
          <w:w w:val="100"/>
          <w:position w:val="0"/>
        </w:rPr>
        <w:t>元。</w:t>
      </w:r>
    </w:p>
    <w:p>
      <w:pPr>
        <w:pStyle w:val="Style13"/>
        <w:keepNext w:val="0"/>
        <w:keepLines w:val="0"/>
        <w:widowControl w:val="0"/>
        <w:numPr>
          <w:ilvl w:val="0"/>
          <w:numId w:val="37"/>
        </w:numPr>
        <w:shd w:val="clear" w:color="auto" w:fill="auto"/>
        <w:tabs>
          <w:tab w:pos="359" w:val="left"/>
        </w:tabs>
        <w:bidi w:val="0"/>
        <w:spacing w:before="0" w:after="0" w:line="278" w:lineRule="exact"/>
        <w:ind w:left="0" w:right="0" w:firstLine="0"/>
        <w:jc w:val="both"/>
      </w:pPr>
      <w:bookmarkStart w:id="240" w:name="bookmark240"/>
      <w:bookmarkEnd w:id="240"/>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月之前，纺织公司和海茂公司分别无偿使用富润集团</w:t>
      </w:r>
      <w:r>
        <w:rPr>
          <w:rFonts w:ascii="Times New Roman" w:eastAsia="Times New Roman" w:hAnsi="Times New Roman" w:cs="Times New Roman"/>
          <w:color w:val="000000"/>
          <w:spacing w:val="0"/>
          <w:w w:val="100"/>
          <w:position w:val="0"/>
        </w:rPr>
        <w:t>5,475.72</w:t>
      </w:r>
      <w:r>
        <w:rPr>
          <w:color w:val="000000"/>
          <w:spacing w:val="0"/>
          <w:w w:val="100"/>
          <w:position w:val="0"/>
        </w:rPr>
        <w:t>平方米和</w:t>
      </w:r>
      <w:r>
        <w:rPr>
          <w:rFonts w:ascii="Times New Roman" w:eastAsia="Times New Roman" w:hAnsi="Times New Roman" w:cs="Times New Roman"/>
          <w:color w:val="000000"/>
          <w:spacing w:val="0"/>
          <w:w w:val="100"/>
          <w:position w:val="0"/>
        </w:rPr>
        <w:t>3,038.14</w:t>
      </w:r>
      <w:r>
        <w:rPr>
          <w:color w:val="000000"/>
          <w:spacing w:val="0"/>
          <w:w w:val="100"/>
          <w:position w:val="0"/>
        </w:rPr>
        <w:t>平 方米的房屋建筑物。</w:t>
      </w:r>
    </w:p>
    <w:p>
      <w:pPr>
        <w:pStyle w:val="Style13"/>
        <w:keepNext w:val="0"/>
        <w:keepLines w:val="0"/>
        <w:widowControl w:val="0"/>
        <w:numPr>
          <w:ilvl w:val="0"/>
          <w:numId w:val="37"/>
        </w:numPr>
        <w:shd w:val="clear" w:color="auto" w:fill="auto"/>
        <w:tabs>
          <w:tab w:pos="355" w:val="left"/>
        </w:tabs>
        <w:bidi w:val="0"/>
        <w:spacing w:before="0" w:after="240" w:line="278" w:lineRule="exact"/>
        <w:ind w:left="0" w:right="0" w:firstLine="0"/>
        <w:jc w:val="both"/>
      </w:pPr>
      <w:bookmarkStart w:id="241" w:name="bookmark241"/>
      <w:bookmarkEnd w:id="241"/>
      <w:r>
        <w:rPr>
          <w:color w:val="000000"/>
          <w:spacing w:val="0"/>
          <w:w w:val="100"/>
          <w:position w:val="0"/>
        </w:rPr>
        <w:t>自然人何四新委托本公司全权(除红利分配权)管理其在海茂公司</w:t>
      </w:r>
      <w:r>
        <w:rPr>
          <w:rFonts w:ascii="Times New Roman" w:eastAsia="Times New Roman" w:hAnsi="Times New Roman" w:cs="Times New Roman"/>
          <w:color w:val="000000"/>
          <w:spacing w:val="0"/>
          <w:w w:val="100"/>
          <w:position w:val="0"/>
        </w:rPr>
        <w:t>11%</w:t>
      </w:r>
      <w:r>
        <w:rPr>
          <w:color w:val="000000"/>
          <w:spacing w:val="0"/>
          <w:w w:val="100"/>
          <w:position w:val="0"/>
        </w:rPr>
        <w:t>的股权，具体详见本 报告第十节其他重要事项(二)之说明。</w:t>
      </w:r>
    </w:p>
    <w:p>
      <w:pPr>
        <w:pStyle w:val="Style13"/>
        <w:keepNext w:val="0"/>
        <w:keepLines w:val="0"/>
        <w:widowControl w:val="0"/>
        <w:shd w:val="clear" w:color="auto" w:fill="auto"/>
        <w:tabs>
          <w:tab w:pos="374" w:val="left"/>
        </w:tabs>
        <w:bidi w:val="0"/>
        <w:spacing w:before="0" w:after="0" w:line="274" w:lineRule="exact"/>
        <w:ind w:left="0" w:right="0" w:firstLine="0"/>
        <w:jc w:val="both"/>
      </w:pPr>
      <w:bookmarkStart w:id="242" w:name="bookmark242"/>
      <w:r>
        <w:rPr>
          <w:rFonts w:ascii="Times New Roman" w:eastAsia="Times New Roman" w:hAnsi="Times New Roman" w:cs="Times New Roman"/>
          <w:color w:val="000000"/>
          <w:spacing w:val="0"/>
          <w:w w:val="100"/>
          <w:position w:val="0"/>
        </w:rPr>
        <w:t>5</w:t>
      </w:r>
      <w:bookmarkEnd w:id="242"/>
      <w:r>
        <w:rPr>
          <w:color w:val="000000"/>
          <w:spacing w:val="0"/>
          <w:w w:val="100"/>
          <w:position w:val="0"/>
        </w:rPr>
        <w:t>、</w:t>
        <w:tab/>
        <w:t>让渡资金</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⑴</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月因诸暨长城国际影视网游动漫创意园有限公司受让项目土地需要，向包括公司在 内的股东申请资金</w:t>
      </w:r>
      <w:r>
        <w:rPr>
          <w:rFonts w:ascii="Times New Roman" w:eastAsia="Times New Roman" w:hAnsi="Times New Roman" w:cs="Times New Roman"/>
          <w:color w:val="000000"/>
          <w:spacing w:val="0"/>
          <w:w w:val="100"/>
          <w:position w:val="0"/>
        </w:rPr>
        <w:t>5,000.00</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日，公司按持股比例支付诸暨长城国际影视 网游动漫创意园有限公司</w:t>
      </w:r>
      <w:r>
        <w:rPr>
          <w:rFonts w:ascii="Times New Roman" w:eastAsia="Times New Roman" w:hAnsi="Times New Roman" w:cs="Times New Roman"/>
          <w:color w:val="000000"/>
          <w:spacing w:val="0"/>
          <w:w w:val="100"/>
          <w:position w:val="0"/>
        </w:rPr>
        <w:t>950.00</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日，上述让渡资金已全额收回。</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年度与宝盛投资股份有限公司、浙江上峰控股集团有限公司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以下简称上峰控 股</w:t>
      </w:r>
      <w:r>
        <w:rPr>
          <w:rFonts w:ascii="Times New Roman" w:eastAsia="Times New Roman" w:hAnsi="Times New Roman" w:cs="Times New Roman"/>
          <w:color w:val="000000"/>
          <w:spacing w:val="0"/>
          <w:w w:val="100"/>
          <w:position w:val="0"/>
        </w:rPr>
        <w:t>)</w:t>
      </w:r>
      <w:r>
        <w:rPr>
          <w:color w:val="000000"/>
          <w:spacing w:val="0"/>
          <w:w w:val="100"/>
          <w:position w:val="0"/>
        </w:rPr>
        <w:t>、浙江航民房地产开发有限公司签订的《宝盛置业股权转让合同书》，公司受让宝盛投资股 份有限公司持有山东泰山宝盛置业有限公司</w:t>
      </w:r>
      <w:r>
        <w:rPr>
          <w:rFonts w:ascii="Times New Roman" w:eastAsia="Times New Roman" w:hAnsi="Times New Roman" w:cs="Times New Roman"/>
          <w:color w:val="000000"/>
          <w:spacing w:val="0"/>
          <w:w w:val="100"/>
          <w:position w:val="0"/>
        </w:rPr>
        <w:t>7%</w:t>
      </w:r>
      <w:r>
        <w:rPr>
          <w:color w:val="000000"/>
          <w:spacing w:val="0"/>
          <w:w w:val="100"/>
          <w:position w:val="0"/>
        </w:rPr>
        <w:t>的股权</w:t>
      </w:r>
      <w:r>
        <w:rPr>
          <w:color w:val="000000"/>
          <w:spacing w:val="0"/>
          <w:w w:val="100"/>
          <w:position w:val="0"/>
        </w:rPr>
        <w:t>，</w:t>
      </w:r>
      <w:r>
        <w:rPr>
          <w:color w:val="000000"/>
          <w:spacing w:val="0"/>
          <w:w w:val="100"/>
          <w:position w:val="0"/>
        </w:rPr>
        <w:t>并按受让股权比例承担山东泰山宝盛置 业有限公司原股东及关联方借款、资金利息、前期运作费用合计为</w:t>
      </w:r>
      <w:r>
        <w:rPr>
          <w:rFonts w:ascii="Times New Roman" w:eastAsia="Times New Roman" w:hAnsi="Times New Roman" w:cs="Times New Roman"/>
          <w:color w:val="000000"/>
          <w:spacing w:val="0"/>
          <w:w w:val="100"/>
          <w:position w:val="0"/>
        </w:rPr>
        <w:t>959.1945</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9</w:t>
      </w:r>
      <w:r>
        <w:rPr>
          <w:color w:val="000000"/>
          <w:spacing w:val="0"/>
          <w:w w:val="100"/>
          <w:position w:val="0"/>
        </w:rPr>
        <w:t>日公司支付上述需承担的山东泰山宝盛置业有限公司原股东及关联方借款、资金利息、前期 运作费用合计为</w:t>
      </w:r>
      <w:r>
        <w:rPr>
          <w:rFonts w:ascii="Times New Roman" w:eastAsia="Times New Roman" w:hAnsi="Times New Roman" w:cs="Times New Roman"/>
          <w:color w:val="000000"/>
          <w:spacing w:val="0"/>
          <w:w w:val="100"/>
          <w:position w:val="0"/>
        </w:rPr>
        <w:t>959.1945</w:t>
      </w:r>
      <w:r>
        <w:rPr>
          <w:color w:val="000000"/>
          <w:spacing w:val="0"/>
          <w:w w:val="100"/>
          <w:position w:val="0"/>
        </w:rPr>
        <w:t>万元。</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根据各方约定，各股东对宝盛置业的借款按年息</w:t>
      </w:r>
      <w:r>
        <w:rPr>
          <w:rFonts w:ascii="Times New Roman" w:eastAsia="Times New Roman" w:hAnsi="Times New Roman" w:cs="Times New Roman"/>
          <w:color w:val="000000"/>
          <w:spacing w:val="0"/>
          <w:w w:val="100"/>
          <w:position w:val="0"/>
        </w:rPr>
        <w:t>9%</w:t>
      </w:r>
      <w:r>
        <w:rPr>
          <w:color w:val="000000"/>
          <w:spacing w:val="0"/>
          <w:w w:val="100"/>
          <w:position w:val="0"/>
        </w:rPr>
        <w:t>进行计付利息，</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日，公司收 回上述借款</w:t>
      </w:r>
      <w:r>
        <w:rPr>
          <w:rFonts w:ascii="Times New Roman" w:eastAsia="Times New Roman" w:hAnsi="Times New Roman" w:cs="Times New Roman"/>
          <w:color w:val="000000"/>
          <w:spacing w:val="0"/>
          <w:w w:val="100"/>
          <w:position w:val="0"/>
        </w:rPr>
        <w:t>350</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年度公司合计收取上述资金占用费</w:t>
      </w:r>
      <w:r>
        <w:rPr>
          <w:rFonts w:ascii="Times New Roman" w:eastAsia="Times New Roman" w:hAnsi="Times New Roman" w:cs="Times New Roman"/>
          <w:color w:val="000000"/>
          <w:spacing w:val="0"/>
          <w:w w:val="100"/>
          <w:position w:val="0"/>
        </w:rPr>
        <w:t>449,549.76</w:t>
      </w:r>
      <w:r>
        <w:rPr>
          <w:color w:val="000000"/>
          <w:spacing w:val="0"/>
          <w:w w:val="100"/>
          <w:position w:val="0"/>
        </w:rPr>
        <w:t>元，截至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日，上述借款余额为</w:t>
      </w:r>
      <w:r>
        <w:rPr>
          <w:rFonts w:ascii="Times New Roman" w:eastAsia="Times New Roman" w:hAnsi="Times New Roman" w:cs="Times New Roman"/>
          <w:color w:val="000000"/>
          <w:spacing w:val="0"/>
          <w:w w:val="100"/>
          <w:position w:val="0"/>
        </w:rPr>
        <w:t>609.1945</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日，公司收回上述借款</w:t>
      </w:r>
      <w:r>
        <w:rPr>
          <w:rFonts w:ascii="Times New Roman" w:eastAsia="Times New Roman" w:hAnsi="Times New Roman" w:cs="Times New Roman"/>
          <w:color w:val="000000"/>
          <w:spacing w:val="0"/>
          <w:w w:val="100"/>
          <w:position w:val="0"/>
        </w:rPr>
        <w:t>609.1445</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2013</w:t>
      </w:r>
      <w:r>
        <w:rPr>
          <w:color w:val="000000"/>
          <w:spacing w:val="0"/>
          <w:w w:val="100"/>
          <w:position w:val="0"/>
        </w:rPr>
        <w:t>年度公司合计收取上述资金占用费</w:t>
      </w:r>
      <w:r>
        <w:rPr>
          <w:rFonts w:ascii="Times New Roman" w:eastAsia="Times New Roman" w:hAnsi="Times New Roman" w:cs="Times New Roman"/>
          <w:color w:val="000000"/>
          <w:spacing w:val="0"/>
          <w:w w:val="100"/>
          <w:position w:val="0"/>
        </w:rPr>
        <w:t>137,068.76</w:t>
      </w:r>
      <w:r>
        <w:rPr>
          <w:color w:val="000000"/>
          <w:spacing w:val="0"/>
          <w:w w:val="100"/>
          <w:position w:val="0"/>
        </w:rPr>
        <w:t>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日，上述借款已 全部结清。</w:t>
      </w:r>
    </w:p>
    <w:p>
      <w:pPr>
        <w:pStyle w:val="Style13"/>
        <w:keepNext w:val="0"/>
        <w:keepLines w:val="0"/>
        <w:widowControl w:val="0"/>
        <w:numPr>
          <w:ilvl w:val="0"/>
          <w:numId w:val="39"/>
        </w:numPr>
        <w:shd w:val="clear" w:color="auto" w:fill="auto"/>
        <w:tabs>
          <w:tab w:pos="372" w:val="left"/>
        </w:tabs>
        <w:bidi w:val="0"/>
        <w:spacing w:before="0" w:after="0" w:line="273" w:lineRule="exact"/>
        <w:ind w:left="0" w:right="0" w:firstLine="0"/>
        <w:jc w:val="both"/>
      </w:pPr>
      <w:bookmarkStart w:id="243" w:name="bookmark243"/>
      <w:bookmarkEnd w:id="243"/>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年度与浙江宝盛旅业投资有限公司、上峰控股、浙江航民实业集团有限公司 签订的《宝盛大酒店股权转让合同书》，公司受让浙江宝盛旅业投资有限公司持有山东泰山宝盛 大酒店有限公司</w:t>
      </w:r>
      <w:r>
        <w:rPr>
          <w:rFonts w:ascii="Times New Roman" w:eastAsia="Times New Roman" w:hAnsi="Times New Roman" w:cs="Times New Roman"/>
          <w:color w:val="000000"/>
          <w:spacing w:val="0"/>
          <w:w w:val="100"/>
          <w:position w:val="0"/>
        </w:rPr>
        <w:t>7%</w:t>
      </w:r>
      <w:r>
        <w:rPr>
          <w:color w:val="000000"/>
          <w:spacing w:val="0"/>
          <w:w w:val="100"/>
          <w:position w:val="0"/>
        </w:rPr>
        <w:t>的股权，并受让股权比例承担山东泰山宝盛大酒店有限公司原股东及关联方 借款</w:t>
      </w:r>
      <w:r>
        <w:rPr>
          <w:rFonts w:ascii="Times New Roman" w:eastAsia="Times New Roman" w:hAnsi="Times New Roman" w:cs="Times New Roman"/>
          <w:color w:val="000000"/>
          <w:spacing w:val="0"/>
          <w:w w:val="100"/>
          <w:position w:val="0"/>
        </w:rPr>
        <w:t>511.00</w:t>
      </w:r>
      <w:r>
        <w:rPr>
          <w:color w:val="000000"/>
          <w:spacing w:val="0"/>
          <w:w w:val="100"/>
          <w:position w:val="0"/>
        </w:rPr>
        <w:t>万元。公司于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日支付上述需承担的借款</w:t>
      </w:r>
      <w:r>
        <w:rPr>
          <w:rFonts w:ascii="Times New Roman" w:eastAsia="Times New Roman" w:hAnsi="Times New Roman" w:cs="Times New Roman"/>
          <w:color w:val="000000"/>
          <w:spacing w:val="0"/>
          <w:w w:val="100"/>
          <w:position w:val="0"/>
        </w:rPr>
        <w:t>511.00</w:t>
      </w:r>
      <w:r>
        <w:rPr>
          <w:color w:val="000000"/>
          <w:spacing w:val="0"/>
          <w:w w:val="100"/>
          <w:position w:val="0"/>
        </w:rPr>
        <w:t>万元。</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根据各方约定，各股东对宝盛大酒店的借款按年息</w:t>
      </w:r>
      <w:r>
        <w:rPr>
          <w:rFonts w:ascii="Times New Roman" w:eastAsia="Times New Roman" w:hAnsi="Times New Roman" w:cs="Times New Roman"/>
          <w:color w:val="000000"/>
          <w:spacing w:val="0"/>
          <w:w w:val="100"/>
          <w:position w:val="0"/>
        </w:rPr>
        <w:t>9%</w:t>
      </w:r>
      <w:r>
        <w:rPr>
          <w:color w:val="000000"/>
          <w:spacing w:val="0"/>
          <w:w w:val="100"/>
          <w:position w:val="0"/>
        </w:rPr>
        <w:t>进行计付利息，</w:t>
      </w:r>
      <w:r>
        <w:rPr>
          <w:rFonts w:ascii="Times New Roman" w:eastAsia="Times New Roman" w:hAnsi="Times New Roman" w:cs="Times New Roman"/>
          <w:color w:val="000000"/>
          <w:spacing w:val="0"/>
          <w:w w:val="100"/>
          <w:position w:val="0"/>
        </w:rPr>
        <w:t>2012</w:t>
      </w:r>
      <w:r>
        <w:rPr>
          <w:color w:val="000000"/>
          <w:spacing w:val="0"/>
          <w:w w:val="100"/>
          <w:position w:val="0"/>
        </w:rPr>
        <w:t>年度公司合计收取 上述资金占用费</w:t>
      </w:r>
      <w:r>
        <w:rPr>
          <w:rFonts w:ascii="Times New Roman" w:eastAsia="Times New Roman" w:hAnsi="Times New Roman" w:cs="Times New Roman"/>
          <w:color w:val="000000"/>
          <w:spacing w:val="0"/>
          <w:w w:val="100"/>
          <w:position w:val="0"/>
        </w:rPr>
        <w:t>301,490.00</w:t>
      </w:r>
      <w:r>
        <w:rPr>
          <w:color w:val="000000"/>
          <w:spacing w:val="0"/>
          <w:w w:val="100"/>
          <w:position w:val="0"/>
        </w:rPr>
        <w:t>元，截至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日，上述借款余额为</w:t>
      </w:r>
      <w:r>
        <w:rPr>
          <w:rFonts w:ascii="Times New Roman" w:eastAsia="Times New Roman" w:hAnsi="Times New Roman" w:cs="Times New Roman"/>
          <w:color w:val="000000"/>
          <w:spacing w:val="0"/>
          <w:w w:val="100"/>
          <w:position w:val="0"/>
        </w:rPr>
        <w:t>511.00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日，公司收回上述借款</w:t>
      </w:r>
      <w:r>
        <w:rPr>
          <w:rFonts w:ascii="Times New Roman" w:eastAsia="Times New Roman" w:hAnsi="Times New Roman" w:cs="Times New Roman"/>
          <w:color w:val="000000"/>
          <w:spacing w:val="0"/>
          <w:w w:val="100"/>
          <w:position w:val="0"/>
        </w:rPr>
        <w:t>511.00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年度合计收取上述资金资金占用费</w:t>
      </w:r>
      <w:r>
        <w:rPr>
          <w:rFonts w:ascii="Times New Roman" w:eastAsia="Times New Roman" w:hAnsi="Times New Roman" w:cs="Times New Roman"/>
          <w:color w:val="000000"/>
          <w:spacing w:val="0"/>
          <w:w w:val="100"/>
          <w:position w:val="0"/>
        </w:rPr>
        <w:t xml:space="preserve">14,975.00 </w:t>
      </w:r>
      <w:r>
        <w:rPr>
          <w:color w:val="000000"/>
          <w:spacing w:val="0"/>
          <w:w w:val="100"/>
          <w:position w:val="0"/>
        </w:rPr>
        <w:t>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日上述借款已全部结清。</w:t>
      </w:r>
    </w:p>
    <w:p>
      <w:pPr>
        <w:pStyle w:val="Style25"/>
        <w:keepNext w:val="0"/>
        <w:keepLines w:val="0"/>
        <w:widowControl w:val="0"/>
        <w:numPr>
          <w:ilvl w:val="0"/>
          <w:numId w:val="39"/>
        </w:numPr>
        <w:shd w:val="clear" w:color="auto" w:fill="auto"/>
        <w:tabs>
          <w:tab w:pos="377" w:val="left"/>
        </w:tabs>
        <w:bidi w:val="0"/>
        <w:spacing w:before="0" w:after="260" w:line="273" w:lineRule="exact"/>
        <w:ind w:left="0" w:right="0" w:firstLine="0"/>
        <w:jc w:val="both"/>
      </w:pPr>
      <w:bookmarkStart w:id="244" w:name="bookmark244"/>
      <w:bookmarkEnd w:id="244"/>
      <w:r>
        <w:rPr>
          <w:rFonts w:ascii="SimSun" w:eastAsia="SimSun" w:hAnsi="SimSun" w:cs="SimSun"/>
          <w:color w:val="000000"/>
          <w:spacing w:val="0"/>
          <w:w w:val="100"/>
          <w:position w:val="0"/>
        </w:rPr>
        <w:t>期初明贺公司向诸暨市富裕金属材料有限公司借入本金</w:t>
      </w:r>
      <w:r>
        <w:rPr>
          <w:color w:val="000000"/>
          <w:spacing w:val="0"/>
          <w:w w:val="100"/>
          <w:position w:val="0"/>
        </w:rPr>
        <w:t>6,556,111.93</w:t>
      </w:r>
      <w:r>
        <w:rPr>
          <w:rFonts w:ascii="SimSun" w:eastAsia="SimSun" w:hAnsi="SimSun" w:cs="SimSun"/>
          <w:color w:val="000000"/>
          <w:spacing w:val="0"/>
          <w:w w:val="100"/>
          <w:position w:val="0"/>
        </w:rPr>
        <w:t xml:space="preserve">元，应付利息 </w:t>
      </w:r>
      <w:r>
        <w:rPr>
          <w:color w:val="000000"/>
          <w:spacing w:val="0"/>
          <w:w w:val="100"/>
          <w:position w:val="0"/>
        </w:rPr>
        <w:t>1,532,779.66</w:t>
      </w:r>
      <w:r>
        <w:rPr>
          <w:rFonts w:ascii="SimSun" w:eastAsia="SimSun" w:hAnsi="SimSun" w:cs="SimSun"/>
          <w:color w:val="000000"/>
          <w:spacing w:val="0"/>
          <w:w w:val="100"/>
          <w:position w:val="0"/>
        </w:rPr>
        <w:t>元，按照协议本期需支付利息</w:t>
      </w:r>
      <w:r>
        <w:rPr>
          <w:color w:val="000000"/>
          <w:spacing w:val="0"/>
          <w:w w:val="100"/>
          <w:position w:val="0"/>
        </w:rPr>
        <w:t>398,830.14</w:t>
      </w:r>
      <w:r>
        <w:rPr>
          <w:rFonts w:ascii="SimSun" w:eastAsia="SimSun" w:hAnsi="SimSun" w:cs="SimSun"/>
          <w:color w:val="000000"/>
          <w:spacing w:val="0"/>
          <w:w w:val="100"/>
          <w:position w:val="0"/>
        </w:rPr>
        <w:t>元，本期已支付利息</w:t>
      </w:r>
      <w:r>
        <w:rPr>
          <w:color w:val="000000"/>
          <w:spacing w:val="0"/>
          <w:w w:val="100"/>
          <w:position w:val="0"/>
        </w:rPr>
        <w:t>25,873.38</w:t>
      </w:r>
      <w:r>
        <w:rPr>
          <w:rFonts w:ascii="SimSun" w:eastAsia="SimSun" w:hAnsi="SimSun" w:cs="SimSun"/>
          <w:color w:val="000000"/>
          <w:spacing w:val="0"/>
          <w:w w:val="100"/>
          <w:position w:val="0"/>
        </w:rPr>
        <w:t xml:space="preserve">元，截至 </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日，尚有本金</w:t>
      </w:r>
      <w:r>
        <w:rPr>
          <w:color w:val="000000"/>
          <w:spacing w:val="0"/>
          <w:w w:val="100"/>
          <w:position w:val="0"/>
        </w:rPr>
        <w:t>6,556,111.93</w:t>
      </w:r>
      <w:r>
        <w:rPr>
          <w:rFonts w:ascii="SimSun" w:eastAsia="SimSun" w:hAnsi="SimSun" w:cs="SimSun"/>
          <w:color w:val="000000"/>
          <w:spacing w:val="0"/>
          <w:w w:val="100"/>
          <w:position w:val="0"/>
        </w:rPr>
        <w:t>元和利息</w:t>
      </w:r>
      <w:r>
        <w:rPr>
          <w:color w:val="000000"/>
          <w:spacing w:val="0"/>
          <w:w w:val="100"/>
          <w:position w:val="0"/>
        </w:rPr>
        <w:t>1,905,736.42</w:t>
      </w:r>
      <w:r>
        <w:rPr>
          <w:rFonts w:ascii="SimSun" w:eastAsia="SimSun" w:hAnsi="SimSun" w:cs="SimSun"/>
          <w:color w:val="000000"/>
          <w:spacing w:val="0"/>
          <w:w w:val="100"/>
          <w:position w:val="0"/>
        </w:rPr>
        <w:t>元尚未结清。</w:t>
      </w:r>
    </w:p>
    <w:p>
      <w:pPr>
        <w:pStyle w:val="Style13"/>
        <w:keepNext w:val="0"/>
        <w:keepLines w:val="0"/>
        <w:widowControl w:val="0"/>
        <w:numPr>
          <w:ilvl w:val="0"/>
          <w:numId w:val="41"/>
        </w:numPr>
        <w:shd w:val="clear" w:color="auto" w:fill="auto"/>
        <w:bidi w:val="0"/>
        <w:spacing w:before="0" w:after="0" w:line="273" w:lineRule="exact"/>
        <w:ind w:left="0" w:right="0" w:firstLine="0"/>
        <w:jc w:val="both"/>
      </w:pPr>
      <w:bookmarkStart w:id="245" w:name="bookmark245"/>
      <w:bookmarkEnd w:id="245"/>
      <w:r>
        <w:rPr>
          <w:color w:val="000000"/>
          <w:spacing w:val="0"/>
          <w:w w:val="100"/>
          <w:position w:val="0"/>
        </w:rPr>
        <w:t>关联方应收应付款项</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上市公司应收关联方款项</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26"/>
        <w:gridCol w:w="1522"/>
        <w:gridCol w:w="1526"/>
        <w:gridCol w:w="1603"/>
        <w:gridCol w:w="1526"/>
        <w:gridCol w:w="1613"/>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服饰公司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231,303.24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11,565.16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463,332.27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23,166.61</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诸暨富润机械 弹簧有限公司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34,237.25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1,711.86</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诸暨富润供水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177,688.94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8,884.45</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富润永枰针织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136,632.13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9,626.19</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诸暨富润宠物 用品有限公司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1,321.22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富润集团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231,303.24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11,565.16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841,314.98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44,860.33</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浙江诸暨一百 购物中心有限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57,742.80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57,742.80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诸暨长城国际 影视网游动漫 创意园有限公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475,000.00</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山东泰山宝盛 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6,091,945.00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304,597.25</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山东泰山宝盛 大酒店有限公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255,500.00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20,701,945.00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1,035,097.25</w:t>
            </w:r>
          </w:p>
        </w:tc>
      </w:tr>
    </w:tbl>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上市公司应付关联方款项</w:t>
      </w:r>
      <w:r>
        <w:rPr>
          <w:rFonts w:ascii="Times New Roman" w:eastAsia="Times New Roman" w:hAnsi="Times New Roman" w:cs="Times New Roman"/>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333"/>
        <w:gridCol w:w="2328"/>
        <w:gridCol w:w="2323"/>
        <w:gridCol w:w="2333"/>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浙江诸暨一百购物中心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诸暨富润化工助剂有限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11,200.00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诸暨富润染整有限公司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4,867.14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106,549.47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16,067.14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130,699.47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271,043.70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141,940.00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诸暨市富润置业有限公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29,317,369.04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27,000,000.00</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诸暨市富裕金属材料有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8,461,848.35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8,088,891.59</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浙江诸暨地润商贸有限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1,474,419.24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1,412,259.62</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浙江诸暨华泽纺织有限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206,720.48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富润针织有限公司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58,103.30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40,139,504.11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38,343,091.21</w:t>
            </w:r>
          </w:p>
        </w:tc>
      </w:tr>
    </w:tbl>
    <w:p>
      <w:pPr>
        <w:widowControl w:val="0"/>
        <w:spacing w:after="239" w:line="1" w:lineRule="exact"/>
      </w:pPr>
    </w:p>
    <w:p>
      <w:pPr>
        <w:pStyle w:val="Style13"/>
        <w:keepNext w:val="0"/>
        <w:keepLines w:val="0"/>
        <w:widowControl w:val="0"/>
        <w:shd w:val="clear" w:color="auto" w:fill="auto"/>
        <w:bidi w:val="0"/>
        <w:spacing w:before="0" w:after="240" w:line="274" w:lineRule="exact"/>
        <w:ind w:left="240" w:right="0" w:hanging="240"/>
        <w:jc w:val="left"/>
      </w:pPr>
      <w:r>
        <w:rPr>
          <w:color w:val="000000"/>
          <w:spacing w:val="0"/>
          <w:w w:val="100"/>
          <w:position w:val="0"/>
        </w:rPr>
        <w:t>九、股份支付: 无</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十、或有事项：</w:t>
      </w:r>
    </w:p>
    <w:p>
      <w:pPr>
        <w:pStyle w:val="Style13"/>
        <w:keepNext w:val="0"/>
        <w:keepLines w:val="0"/>
        <w:widowControl w:val="0"/>
        <w:shd w:val="clear" w:color="auto" w:fill="auto"/>
        <w:tabs>
          <w:tab w:pos="536" w:val="left"/>
        </w:tabs>
        <w:bidi w:val="0"/>
        <w:spacing w:before="0" w:after="0" w:line="272" w:lineRule="exact"/>
        <w:ind w:left="0" w:right="0" w:firstLine="0"/>
        <w:jc w:val="both"/>
      </w:pPr>
      <w:bookmarkStart w:id="246" w:name="bookmark246"/>
      <w:r>
        <w:rPr>
          <w:rFonts w:ascii="Times New Roman" w:eastAsia="Times New Roman" w:hAnsi="Times New Roman" w:cs="Times New Roman"/>
          <w:color w:val="000000"/>
          <w:spacing w:val="0"/>
          <w:w w:val="100"/>
          <w:position w:val="0"/>
        </w:rPr>
        <w:t>（</w:t>
      </w:r>
      <w:bookmarkEnd w:id="246"/>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为其他单位提供债务担保形成的或有负债及其财务影响：</w:t>
      </w:r>
    </w:p>
    <w:p>
      <w:pPr>
        <w:pStyle w:val="Style13"/>
        <w:keepNext w:val="0"/>
        <w:keepLines w:val="0"/>
        <w:widowControl w:val="0"/>
        <w:numPr>
          <w:ilvl w:val="0"/>
          <w:numId w:val="43"/>
        </w:numPr>
        <w:shd w:val="clear" w:color="auto" w:fill="auto"/>
        <w:tabs>
          <w:tab w:pos="315" w:val="left"/>
        </w:tabs>
        <w:bidi w:val="0"/>
        <w:spacing w:before="0" w:after="0" w:line="272" w:lineRule="exact"/>
        <w:ind w:left="0" w:right="0" w:firstLine="0"/>
        <w:jc w:val="both"/>
      </w:pPr>
      <w:bookmarkStart w:id="247" w:name="bookmark247"/>
      <w:bookmarkEnd w:id="247"/>
      <w:r>
        <w:rPr>
          <w:color w:val="000000"/>
          <w:spacing w:val="0"/>
          <w:w w:val="100"/>
          <w:position w:val="0"/>
        </w:rPr>
        <w:t>为浙江菲达环保科技股份有限公司提供债务担保</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年第一次临时股东大会审议批准，同意公司与浙江菲达环保科技股份有限公司（以 下简称菲达环保公司）签订《互保协议》。菲达环保公司为公司（含合并范围子公司）或公司为 菲达环保公司（含其合并范围子公司）在最高人民币壹亿元的额度内进行互保，协议双方愿意 为对方因向银行融资所形成的债务提供连带责任保证（包括本息），互保有效期为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日签订的融资主合同。截至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印染公司为菲达环保公 司</w:t>
      </w:r>
      <w:r>
        <w:rPr>
          <w:rFonts w:ascii="Times New Roman" w:eastAsia="Times New Roman" w:hAnsi="Times New Roman" w:cs="Times New Roman"/>
          <w:color w:val="000000"/>
          <w:spacing w:val="0"/>
          <w:w w:val="100"/>
          <w:position w:val="0"/>
        </w:rPr>
        <w:t>2,700</w:t>
      </w:r>
      <w:r>
        <w:rPr>
          <w:color w:val="000000"/>
          <w:spacing w:val="0"/>
          <w:w w:val="100"/>
          <w:position w:val="0"/>
        </w:rPr>
        <w:t>万元的融资合同提供担保。</w:t>
      </w:r>
    </w:p>
    <w:p>
      <w:pPr>
        <w:pStyle w:val="Style13"/>
        <w:keepNext w:val="0"/>
        <w:keepLines w:val="0"/>
        <w:widowControl w:val="0"/>
        <w:numPr>
          <w:ilvl w:val="0"/>
          <w:numId w:val="43"/>
        </w:numPr>
        <w:shd w:val="clear" w:color="auto" w:fill="auto"/>
        <w:tabs>
          <w:tab w:pos="334" w:val="left"/>
        </w:tabs>
        <w:bidi w:val="0"/>
        <w:spacing w:before="0" w:after="0" w:line="272" w:lineRule="exact"/>
        <w:ind w:left="0" w:right="0" w:firstLine="0"/>
        <w:jc w:val="both"/>
      </w:pPr>
      <w:bookmarkStart w:id="248" w:name="bookmark248"/>
      <w:bookmarkEnd w:id="248"/>
      <w:r>
        <w:rPr>
          <w:color w:val="000000"/>
          <w:spacing w:val="0"/>
          <w:w w:val="100"/>
          <w:position w:val="0"/>
        </w:rPr>
        <w:t>为怀宁上峰水泥有限公司提供债务担保</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2010</w:t>
      </w:r>
      <w:r>
        <w:rPr>
          <w:color w:val="000000"/>
          <w:spacing w:val="0"/>
          <w:w w:val="100"/>
          <w:position w:val="0"/>
        </w:rPr>
        <w:t>年第一次临时股东大会审议批准，同意公司为参股公司甘肃上峰水泥股份有限公司 的孙公司怀宁上峰水泥有限公司向交通银行股份有限公司安庆分行申请</w:t>
      </w:r>
      <w:r>
        <w:rPr>
          <w:rFonts w:ascii="Times New Roman" w:eastAsia="Times New Roman" w:hAnsi="Times New Roman" w:cs="Times New Roman"/>
          <w:color w:val="000000"/>
          <w:spacing w:val="0"/>
          <w:w w:val="100"/>
          <w:position w:val="0"/>
        </w:rPr>
        <w:t>4,785</w:t>
      </w:r>
      <w:r>
        <w:rPr>
          <w:color w:val="000000"/>
          <w:spacing w:val="0"/>
          <w:w w:val="100"/>
          <w:position w:val="0"/>
        </w:rPr>
        <w:t>万元借款提供连 带责任担保，担保期限为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p>
      <w:pPr>
        <w:pStyle w:val="Style13"/>
        <w:keepNext w:val="0"/>
        <w:keepLines w:val="0"/>
        <w:widowControl w:val="0"/>
        <w:shd w:val="clear" w:color="auto" w:fill="auto"/>
        <w:tabs>
          <w:tab w:pos="536" w:val="left"/>
        </w:tabs>
        <w:bidi w:val="0"/>
        <w:spacing w:before="0" w:after="0" w:line="272" w:lineRule="exact"/>
        <w:ind w:left="0" w:right="0" w:firstLine="0"/>
        <w:jc w:val="both"/>
      </w:pPr>
      <w:bookmarkStart w:id="249" w:name="bookmark249"/>
      <w:r>
        <w:rPr>
          <w:rFonts w:ascii="Times New Roman" w:eastAsia="Times New Roman" w:hAnsi="Times New Roman" w:cs="Times New Roman"/>
          <w:color w:val="000000"/>
          <w:spacing w:val="0"/>
          <w:w w:val="100"/>
          <w:position w:val="0"/>
        </w:rPr>
        <w:t>（</w:t>
      </w:r>
      <w:bookmarkEnd w:id="24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其他或有负债及其财务影响：</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除上述事项外，截至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日，本公司不存在其他需要披露的重大或有事项。</w:t>
      </w:r>
    </w:p>
    <w:p>
      <w:pPr>
        <w:pStyle w:val="Style13"/>
        <w:keepNext w:val="0"/>
        <w:keepLines w:val="0"/>
        <w:widowControl w:val="0"/>
        <w:shd w:val="clear" w:color="auto" w:fill="auto"/>
        <w:bidi w:val="0"/>
        <w:spacing w:before="0" w:after="0" w:line="269" w:lineRule="exact"/>
        <w:ind w:left="0" w:right="0" w:firstLine="0"/>
        <w:jc w:val="both"/>
      </w:pPr>
      <w:r>
        <w:rPr>
          <w:color w:val="000000"/>
          <w:spacing w:val="0"/>
          <w:w w:val="100"/>
          <w:position w:val="0"/>
        </w:rPr>
        <w:t>十一、承诺事项：</w:t>
      </w:r>
    </w:p>
    <w:p>
      <w:pPr>
        <w:pStyle w:val="Style13"/>
        <w:keepNext w:val="0"/>
        <w:keepLines w:val="0"/>
        <w:widowControl w:val="0"/>
        <w:shd w:val="clear" w:color="auto" w:fill="auto"/>
        <w:bidi w:val="0"/>
        <w:spacing w:before="0" w:after="0" w:line="269" w:lineRule="exact"/>
        <w:ind w:left="0" w:right="0" w:firstLine="0"/>
        <w:jc w:val="both"/>
      </w:pPr>
      <w:bookmarkStart w:id="250" w:name="bookmark250"/>
      <w:r>
        <w:rPr>
          <w:rFonts w:ascii="Times New Roman" w:eastAsia="Times New Roman" w:hAnsi="Times New Roman" w:cs="Times New Roman"/>
          <w:color w:val="000000"/>
          <w:spacing w:val="0"/>
          <w:w w:val="100"/>
          <w:position w:val="0"/>
        </w:rPr>
        <w:t>（</w:t>
      </w:r>
      <w:bookmarkEnd w:id="250"/>
      <w:r>
        <w:rPr>
          <w:color w:val="000000"/>
          <w:spacing w:val="0"/>
          <w:w w:val="100"/>
          <w:position w:val="0"/>
        </w:rPr>
        <w:t>一</w:t>
      </w:r>
      <w:r>
        <w:rPr>
          <w:color w:val="000000"/>
          <w:spacing w:val="0"/>
          <w:w w:val="100"/>
          <w:position w:val="0"/>
        </w:rPr>
        <w:t>）</w:t>
      </w:r>
      <w:r>
        <w:rPr>
          <w:color w:val="000000"/>
          <w:spacing w:val="0"/>
          <w:w w:val="100"/>
          <w:position w:val="0"/>
        </w:rPr>
        <w:t>重大承诺事项</w:t>
      </w:r>
    </w:p>
    <w:p>
      <w:pPr>
        <w:pStyle w:val="Style13"/>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远期结售汇合同</w:t>
      </w:r>
    </w:p>
    <w:p>
      <w:pPr>
        <w:pStyle w:val="Style13"/>
        <w:keepNext w:val="0"/>
        <w:keepLines w:val="0"/>
        <w:widowControl w:val="0"/>
        <w:shd w:val="clear" w:color="auto" w:fill="auto"/>
        <w:bidi w:val="0"/>
        <w:spacing w:before="0" w:after="240" w:line="269" w:lineRule="exact"/>
        <w:ind w:left="0" w:right="0" w:firstLine="0"/>
        <w:jc w:val="both"/>
      </w:pPr>
      <w:r>
        <w:rPr>
          <w:color w:val="000000"/>
          <w:spacing w:val="0"/>
          <w:w w:val="100"/>
          <w:position w:val="0"/>
        </w:rPr>
        <w:t>根据纺织公司与中国工商银行股份有限公司绍兴分行签订的《代客风险管理业务协议》及相关 《远期结售汇签约证实书》，截至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日，纺织公司尚有金额为</w:t>
      </w:r>
      <w:r>
        <w:rPr>
          <w:rFonts w:ascii="Times New Roman" w:eastAsia="Times New Roman" w:hAnsi="Times New Roman" w:cs="Times New Roman"/>
          <w:color w:val="000000"/>
          <w:spacing w:val="0"/>
          <w:w w:val="100"/>
          <w:position w:val="0"/>
        </w:rPr>
        <w:t>120</w:t>
      </w:r>
      <w:r>
        <w:rPr>
          <w:color w:val="000000"/>
          <w:spacing w:val="0"/>
          <w:w w:val="100"/>
          <w:position w:val="0"/>
        </w:rPr>
        <w:t>万美元的远期</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售汇合约尚未交割，具体情况如下:</w:t>
      </w:r>
    </w:p>
    <w:tbl>
      <w:tblPr>
        <w:tblOverlap w:val="never"/>
        <w:jc w:val="left"/>
        <w:tblLayout w:type="fixed"/>
      </w:tblPr>
      <w:tblGrid>
        <w:gridCol w:w="1829"/>
        <w:gridCol w:w="2371"/>
        <w:gridCol w:w="1469"/>
        <w:gridCol w:w="2674"/>
      </w:tblGrid>
      <w:tr>
        <w:trPr>
          <w:trHeight w:val="30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币另</w:t>
            </w:r>
            <w:r>
              <w:rPr>
                <w:rFonts w:ascii="Arial Unicode MS" w:eastAsia="Arial Unicode MS" w:hAnsi="Arial Unicode MS" w:cs="Arial Unicode MS"/>
                <w:color w:val="000000"/>
                <w:spacing w:val="0"/>
                <w:w w:val="100"/>
                <w:position w:val="0"/>
                <w:sz w:val="17"/>
                <w:szCs w:val="17"/>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约定汇率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交割日期</w:t>
            </w:r>
          </w:p>
        </w:tc>
      </w:tr>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2014.01.27-2014.02.26</w:t>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2014.02.13-2014.03.12</w:t>
            </w:r>
          </w:p>
        </w:tc>
      </w:tr>
      <w:tr>
        <w:trPr>
          <w:trHeight w:val="2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2014.03.03-2014.03.31</w:t>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2014.01.06-2014.01.29</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上述合约在报表日未形成亏损，按照合同约定，无需缴纳保证金。</w:t>
      </w:r>
    </w:p>
    <w:p>
      <w:pPr>
        <w:pStyle w:val="Style13"/>
        <w:keepNext w:val="0"/>
        <w:keepLines w:val="0"/>
        <w:widowControl w:val="0"/>
        <w:shd w:val="clear" w:color="auto" w:fill="auto"/>
        <w:bidi w:val="0"/>
        <w:spacing w:before="0" w:after="320" w:line="240" w:lineRule="auto"/>
        <w:ind w:left="0" w:right="0" w:firstLine="0"/>
        <w:jc w:val="left"/>
      </w:pPr>
      <w:bookmarkStart w:id="251" w:name="bookmark251"/>
      <w:r>
        <w:rPr>
          <w:color w:val="000000"/>
          <w:spacing w:val="0"/>
          <w:w w:val="100"/>
          <w:position w:val="0"/>
        </w:rPr>
        <w:t>（</w:t>
      </w:r>
      <w:bookmarkEnd w:id="251"/>
      <w:r>
        <w:rPr>
          <w:color w:val="000000"/>
          <w:spacing w:val="0"/>
          <w:w w:val="100"/>
          <w:position w:val="0"/>
        </w:rPr>
        <w:t>二）截至</w:t>
      </w:r>
      <w:r>
        <w:rPr>
          <w:rFonts w:ascii="Arial Unicode MS" w:eastAsia="Arial Unicode MS" w:hAnsi="Arial Unicode MS" w:cs="Arial Unicode MS"/>
          <w:color w:val="000000"/>
          <w:spacing w:val="0"/>
          <w:w w:val="100"/>
          <w:position w:val="0"/>
          <w:sz w:val="17"/>
          <w:szCs w:val="17"/>
        </w:rPr>
        <w:t>2013</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12</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31</w:t>
      </w:r>
      <w:r>
        <w:rPr>
          <w:color w:val="000000"/>
          <w:spacing w:val="0"/>
          <w:w w:val="100"/>
          <w:position w:val="0"/>
        </w:rPr>
        <w:t>日，子公司印染公司开具的未到期信用证如下:</w:t>
      </w:r>
    </w:p>
    <w:tbl>
      <w:tblPr>
        <w:tblOverlap w:val="never"/>
        <w:jc w:val="left"/>
        <w:tblLayout w:type="fixed"/>
      </w:tblPr>
      <w:tblGrid>
        <w:gridCol w:w="1848"/>
        <w:gridCol w:w="2371"/>
        <w:gridCol w:w="4114"/>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开证银行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开立条件</w:t>
            </w:r>
          </w:p>
        </w:tc>
      </w:tr>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交通银行股份有限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 132,000.00</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缴纳保证金人民币</w:t>
            </w:r>
            <w:r>
              <w:rPr>
                <w:rFonts w:ascii="Times New Roman" w:eastAsia="Times New Roman" w:hAnsi="Times New Roman" w:cs="Times New Roman"/>
                <w:color w:val="000000"/>
                <w:spacing w:val="0"/>
                <w:w w:val="100"/>
                <w:position w:val="0"/>
              </w:rPr>
              <w:t>58</w:t>
            </w:r>
            <w:r>
              <w:rPr>
                <w:color w:val="000000"/>
                <w:spacing w:val="0"/>
                <w:w w:val="100"/>
                <w:position w:val="0"/>
              </w:rPr>
              <w:t>万元</w:t>
            </w:r>
          </w:p>
        </w:tc>
      </w:tr>
      <w:tr>
        <w:trPr>
          <w:trHeight w:val="2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 137,923.88</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 548,735.79</w:t>
            </w:r>
          </w:p>
        </w:tc>
        <w:tc>
          <w:tcPr>
            <w:vMerge/>
            <w:tcBorders>
              <w:left w:val="single" w:sz="4"/>
              <w:right w:val="single" w:sz="4"/>
            </w:tcBorders>
            <w:shd w:val="clear" w:color="auto" w:fill="FFFFFF"/>
            <w:vAlign w:val="center"/>
          </w:tcPr>
          <w:p>
            <w:pP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 818,659.67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tabs>
          <w:tab w:pos="570" w:val="left"/>
        </w:tabs>
        <w:bidi w:val="0"/>
        <w:spacing w:before="0" w:after="0" w:line="278" w:lineRule="exact"/>
        <w:ind w:left="0" w:right="0" w:firstLine="0"/>
        <w:jc w:val="left"/>
      </w:pPr>
      <w:bookmarkStart w:id="252" w:name="bookmark252"/>
      <w:r>
        <w:rPr>
          <w:color w:val="000000"/>
          <w:spacing w:val="0"/>
          <w:w w:val="100"/>
          <w:position w:val="0"/>
        </w:rPr>
        <w:t>（</w:t>
      </w:r>
      <w:bookmarkEnd w:id="252"/>
      <w:r>
        <w:rPr>
          <w:color w:val="000000"/>
          <w:spacing w:val="0"/>
          <w:w w:val="100"/>
          <w:position w:val="0"/>
        </w:rPr>
        <w:t>三）</w:t>
        <w:tab/>
        <w:t>截至</w:t>
      </w:r>
      <w:r>
        <w:rPr>
          <w:rFonts w:ascii="Arial Unicode MS" w:eastAsia="Arial Unicode MS" w:hAnsi="Arial Unicode MS" w:cs="Arial Unicode MS"/>
          <w:color w:val="000000"/>
          <w:spacing w:val="0"/>
          <w:w w:val="100"/>
          <w:position w:val="0"/>
          <w:sz w:val="17"/>
          <w:szCs w:val="17"/>
        </w:rPr>
        <w:t>2013</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12</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31</w:t>
      </w:r>
      <w:r>
        <w:rPr>
          <w:color w:val="000000"/>
          <w:spacing w:val="0"/>
          <w:w w:val="100"/>
          <w:position w:val="0"/>
        </w:rPr>
        <w:t>日，本公司为其他单位提供债务担保的情况详见本报告或有事项（一） 之说明。</w:t>
      </w:r>
    </w:p>
    <w:p>
      <w:pPr>
        <w:pStyle w:val="Style13"/>
        <w:keepNext w:val="0"/>
        <w:keepLines w:val="0"/>
        <w:widowControl w:val="0"/>
        <w:shd w:val="clear" w:color="auto" w:fill="auto"/>
        <w:bidi w:val="0"/>
        <w:spacing w:before="0" w:after="560" w:line="278" w:lineRule="exact"/>
        <w:ind w:left="0" w:right="0" w:firstLine="0"/>
        <w:jc w:val="left"/>
      </w:pPr>
      <w:bookmarkStart w:id="253" w:name="bookmark253"/>
      <w:r>
        <w:rPr>
          <w:color w:val="000000"/>
          <w:spacing w:val="0"/>
          <w:w w:val="100"/>
          <w:position w:val="0"/>
        </w:rPr>
        <w:t>（</w:t>
      </w:r>
      <w:bookmarkEnd w:id="253"/>
      <w:r>
        <w:rPr>
          <w:color w:val="000000"/>
          <w:spacing w:val="0"/>
          <w:w w:val="100"/>
          <w:position w:val="0"/>
        </w:rPr>
        <w:t>四） 除上述承诺事项及本报告合并会计报表附注负债及所有者权益部分附注短期借款、应付票 据所述抵押、质押情况外，截至</w:t>
      </w:r>
      <w:r>
        <w:rPr>
          <w:rFonts w:ascii="Arial Unicode MS" w:eastAsia="Arial Unicode MS" w:hAnsi="Arial Unicode MS" w:cs="Arial Unicode MS"/>
          <w:color w:val="000000"/>
          <w:spacing w:val="0"/>
          <w:w w:val="100"/>
          <w:position w:val="0"/>
          <w:sz w:val="17"/>
          <w:szCs w:val="17"/>
        </w:rPr>
        <w:t>2013</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12</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31</w:t>
      </w:r>
      <w:r>
        <w:rPr>
          <w:color w:val="000000"/>
          <w:spacing w:val="0"/>
          <w:w w:val="100"/>
          <w:position w:val="0"/>
        </w:rPr>
        <w:t>日，本公司不存在其他需要披露的重大承诺事 项。</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十二、资产负债表日后事项：</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资产负债表日后利润分配情况说明</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661"/>
        <w:gridCol w:w="4656"/>
      </w:tblGrid>
      <w:tr>
        <w:trPr>
          <w:trHeight w:val="30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54,863,546.40</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其他资产负债表日后事项说明</w:t>
      </w:r>
    </w:p>
    <w:p>
      <w:pPr>
        <w:pStyle w:val="Style13"/>
        <w:keepNext w:val="0"/>
        <w:keepLines w:val="0"/>
        <w:widowControl w:val="0"/>
        <w:shd w:val="clear" w:color="auto" w:fill="auto"/>
        <w:bidi w:val="0"/>
        <w:spacing w:before="0" w:after="260" w:line="288"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日，本公司除上述事项外，不存在需要披露的其他重大资产负债表日后事 项。</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十三、其他重要事项：</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以公允价值计量的资产和负债</w:t>
      </w:r>
    </w:p>
    <w:p>
      <w:pPr>
        <w:pStyle w:val="Style19"/>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1488"/>
        <w:gridCol w:w="1574"/>
        <w:gridCol w:w="1478"/>
        <w:gridCol w:w="1531"/>
        <w:gridCol w:w="1478"/>
        <w:gridCol w:w="1766"/>
      </w:tblGrid>
      <w:tr>
        <w:trPr>
          <w:trHeight w:val="8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本期计提的减 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期末金额</w:t>
            </w:r>
          </w:p>
        </w:tc>
      </w:tr>
      <w:tr>
        <w:trPr>
          <w:trHeight w:val="288" w:hRule="exact"/>
        </w:trPr>
        <w:tc>
          <w:tcPr>
            <w:gridSpan w:val="6"/>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66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 计量且其变动 计入当期损益 的金融资产 （不含衍生金 融资产）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191,250.00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-17,150.00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174,100.00</w:t>
            </w:r>
          </w:p>
        </w:tc>
      </w:tr>
    </w:tbl>
    <w:p>
      <w:pPr>
        <w:widowControl w:val="0"/>
        <w:spacing w:line="1" w:lineRule="exact"/>
      </w:pPr>
      <w:r>
        <w:br w:type="page"/>
      </w:r>
    </w:p>
    <w:tbl>
      <w:tblPr>
        <w:tblOverlap w:val="never"/>
        <w:jc w:val="center"/>
        <w:tblLayout w:type="fixed"/>
      </w:tblPr>
      <w:tblGrid>
        <w:gridCol w:w="1493"/>
        <w:gridCol w:w="1579"/>
        <w:gridCol w:w="1483"/>
        <w:gridCol w:w="1498"/>
        <w:gridCol w:w="1488"/>
        <w:gridCol w:w="1776"/>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32,760.00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、可供出售金 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22,476,800.00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292,550,889.66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339,429,208.36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22,668,050.00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15,610.00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292,550,889.66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339,636,068.36</w:t>
            </w:r>
          </w:p>
        </w:tc>
      </w:tr>
      <w:tr>
        <w:trPr>
          <w:trHeight w:val="802" w:hRule="exact"/>
        </w:trPr>
        <w:tc>
          <w:tcPr>
            <w:gridSpan w:val="5"/>
            <w:tcBorders>
              <w:top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422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外币金融资产和外币金融负债 单位：元币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种：人民币</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本期计提的减 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期末金额</w:t>
            </w:r>
          </w:p>
        </w:tc>
      </w:tr>
      <w:tr>
        <w:trPr>
          <w:trHeight w:val="288" w:hRule="exact"/>
        </w:trPr>
        <w:tc>
          <w:tcPr>
            <w:gridSpan w:val="6"/>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6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、以公允价值 计量且其变动 计入当期损益 的金融资产 （不含衍生金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、贷款和应收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10,527,147.23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7,055,731.48</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、可供出售金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、持有至到期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10,527,147.23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7,055,731.48</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3,646,544.33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9,509,310.28</w:t>
            </w:r>
          </w:p>
        </w:tc>
      </w:tr>
    </w:tbl>
    <w:p>
      <w:pPr>
        <w:widowControl w:val="0"/>
        <w:spacing w:after="219" w:line="1" w:lineRule="exact"/>
      </w:pPr>
    </w:p>
    <w:p>
      <w:pPr>
        <w:pStyle w:val="Style13"/>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其他</w:t>
      </w:r>
    </w:p>
    <w:p>
      <w:pPr>
        <w:pStyle w:val="Style13"/>
        <w:keepNext w:val="0"/>
        <w:keepLines w:val="0"/>
        <w:widowControl w:val="0"/>
        <w:shd w:val="clear" w:color="auto" w:fill="auto"/>
        <w:tabs>
          <w:tab w:pos="485" w:val="left"/>
        </w:tabs>
        <w:bidi w:val="0"/>
        <w:spacing w:before="0" w:after="0" w:line="272" w:lineRule="exact"/>
        <w:ind w:left="0" w:right="0" w:firstLine="0"/>
        <w:jc w:val="left"/>
      </w:pPr>
      <w:bookmarkStart w:id="254" w:name="bookmark254"/>
      <w:r>
        <w:rPr>
          <w:rFonts w:ascii="Times New Roman" w:eastAsia="Times New Roman" w:hAnsi="Times New Roman" w:cs="Times New Roman"/>
          <w:color w:val="000000"/>
          <w:spacing w:val="0"/>
          <w:w w:val="100"/>
          <w:position w:val="0"/>
        </w:rPr>
        <w:t>（</w:t>
      </w:r>
      <w:bookmarkEnd w:id="254"/>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大股东股权质押事项</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日，公司第一大股东富润集团将所持本公司</w:t>
      </w:r>
      <w:r>
        <w:rPr>
          <w:rFonts w:ascii="Times New Roman" w:eastAsia="Times New Roman" w:hAnsi="Times New Roman" w:cs="Times New Roman"/>
          <w:color w:val="000000"/>
          <w:spacing w:val="0"/>
          <w:w w:val="100"/>
          <w:position w:val="0"/>
        </w:rPr>
        <w:t>1,803</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经</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年度资本公积每 </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股后，质押股份数变更为</w:t>
      </w:r>
      <w:r>
        <w:rPr>
          <w:rFonts w:ascii="Times New Roman" w:eastAsia="Times New Roman" w:hAnsi="Times New Roman" w:cs="Times New Roman"/>
          <w:color w:val="000000"/>
          <w:spacing w:val="0"/>
          <w:w w:val="100"/>
          <w:position w:val="0"/>
        </w:rPr>
        <w:t>2,343.90</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无限售流通股质押给中国工商银行股份有限 公司诸暨支行</w:t>
      </w:r>
      <w:r>
        <w:rPr>
          <w:color w:val="000000"/>
          <w:spacing w:val="0"/>
          <w:w w:val="100"/>
          <w:position w:val="0"/>
        </w:rPr>
        <w:t>，</w:t>
      </w:r>
      <w:r>
        <w:rPr>
          <w:color w:val="000000"/>
          <w:spacing w:val="0"/>
          <w:w w:val="100"/>
          <w:position w:val="0"/>
        </w:rPr>
        <w:t>此次股权质押已于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日在中国证券登记结算有限责任公司上海分公 司办理了质押登记解除手续。同日，富润集团作为出质人分别与质权人中国工商银行股份有限 公司诸暨支行、上海爱建信托有限责任公司在中国证券登记结算有限责任公司上海分公司办理 了所持本公司</w:t>
      </w:r>
      <w:r>
        <w:rPr>
          <w:rFonts w:ascii="Times New Roman" w:eastAsia="Times New Roman" w:hAnsi="Times New Roman" w:cs="Times New Roman"/>
          <w:color w:val="000000"/>
          <w:spacing w:val="0"/>
          <w:w w:val="100"/>
          <w:position w:val="0"/>
        </w:rPr>
        <w:t>1,803</w:t>
      </w:r>
      <w:r>
        <w:rPr>
          <w:color w:val="000000"/>
          <w:spacing w:val="0"/>
          <w:w w:val="100"/>
          <w:position w:val="0"/>
        </w:rPr>
        <w:t>万股和</w:t>
      </w:r>
      <w:r>
        <w:rPr>
          <w:rFonts w:ascii="Times New Roman" w:eastAsia="Times New Roman" w:hAnsi="Times New Roman" w:cs="Times New Roman"/>
          <w:color w:val="000000"/>
          <w:spacing w:val="0"/>
          <w:w w:val="100"/>
          <w:position w:val="0"/>
        </w:rPr>
        <w:t>1,800</w:t>
      </w:r>
      <w:r>
        <w:rPr>
          <w:color w:val="000000"/>
          <w:spacing w:val="0"/>
          <w:w w:val="100"/>
          <w:position w:val="0"/>
        </w:rPr>
        <w:t>万股无限售流通股的质押登记手续</w:t>
      </w:r>
      <w:r>
        <w:rPr>
          <w:color w:val="000000"/>
          <w:spacing w:val="0"/>
          <w:w w:val="100"/>
          <w:position w:val="0"/>
        </w:rPr>
        <w:t>，</w:t>
      </w:r>
      <w:r>
        <w:rPr>
          <w:color w:val="000000"/>
          <w:spacing w:val="0"/>
          <w:w w:val="100"/>
          <w:position w:val="0"/>
        </w:rPr>
        <w:t>质押期限自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 xml:space="preserve">日起至质押双方向中国证券登记结算有限责任公司上海分公司办理解除质押手续为止。截至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日，富润集团共质押本公司股份</w:t>
      </w:r>
      <w:r>
        <w:rPr>
          <w:rFonts w:ascii="Times New Roman" w:eastAsia="Times New Roman" w:hAnsi="Times New Roman" w:cs="Times New Roman"/>
          <w:color w:val="000000"/>
          <w:spacing w:val="0"/>
          <w:w w:val="100"/>
          <w:position w:val="0"/>
        </w:rPr>
        <w:t>3,603</w:t>
      </w:r>
      <w:r>
        <w:rPr>
          <w:color w:val="000000"/>
          <w:spacing w:val="0"/>
          <w:w w:val="100"/>
          <w:position w:val="0"/>
        </w:rPr>
        <w:t>万股，占公司股份总数的</w:t>
      </w:r>
      <w:r>
        <w:rPr>
          <w:rFonts w:ascii="Times New Roman" w:eastAsia="Times New Roman" w:hAnsi="Times New Roman" w:cs="Times New Roman"/>
          <w:color w:val="000000"/>
          <w:spacing w:val="0"/>
          <w:w w:val="100"/>
          <w:position w:val="0"/>
        </w:rPr>
        <w:t>19.70%</w:t>
      </w:r>
      <w:r>
        <w:rPr>
          <w:color w:val="000000"/>
          <w:spacing w:val="0"/>
          <w:w w:val="100"/>
          <w:position w:val="0"/>
        </w:rPr>
        <w:t>。</w:t>
      </w:r>
    </w:p>
    <w:p>
      <w:pPr>
        <w:pStyle w:val="Style13"/>
        <w:keepNext w:val="0"/>
        <w:keepLines w:val="0"/>
        <w:widowControl w:val="0"/>
        <w:shd w:val="clear" w:color="auto" w:fill="auto"/>
        <w:tabs>
          <w:tab w:pos="485" w:val="left"/>
        </w:tabs>
        <w:bidi w:val="0"/>
        <w:spacing w:before="0" w:after="0" w:line="272" w:lineRule="exact"/>
        <w:ind w:left="0" w:right="0" w:firstLine="0"/>
        <w:jc w:val="both"/>
      </w:pPr>
      <w:bookmarkStart w:id="255" w:name="bookmark255"/>
      <w:r>
        <w:rPr>
          <w:rFonts w:ascii="Times New Roman" w:eastAsia="Times New Roman" w:hAnsi="Times New Roman" w:cs="Times New Roman"/>
          <w:color w:val="000000"/>
          <w:spacing w:val="0"/>
          <w:w w:val="100"/>
          <w:position w:val="0"/>
        </w:rPr>
        <w:t>（</w:t>
      </w:r>
      <w:bookmarkEnd w:id="255"/>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股权托管事项</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日，公司与富润集团美国工贸有限公司签订《股权委托管理协议书》，约定富润 集团美国工贸有限公司将其在印染公司</w:t>
      </w:r>
      <w:r>
        <w:rPr>
          <w:rFonts w:ascii="Times New Roman" w:eastAsia="Times New Roman" w:hAnsi="Times New Roman" w:cs="Times New Roman"/>
          <w:color w:val="000000"/>
          <w:spacing w:val="0"/>
          <w:w w:val="100"/>
          <w:position w:val="0"/>
        </w:rPr>
        <w:t>5%</w:t>
      </w:r>
      <w:r>
        <w:rPr>
          <w:color w:val="000000"/>
          <w:spacing w:val="0"/>
          <w:w w:val="100"/>
          <w:position w:val="0"/>
        </w:rPr>
        <w:t>的股权全权</w:t>
      </w:r>
      <w:r>
        <w:rPr>
          <w:rFonts w:ascii="Times New Roman" w:eastAsia="Times New Roman" w:hAnsi="Times New Roman" w:cs="Times New Roman"/>
          <w:color w:val="000000"/>
          <w:spacing w:val="0"/>
          <w:w w:val="100"/>
          <w:position w:val="0"/>
        </w:rPr>
        <w:t>（</w:t>
      </w:r>
      <w:r>
        <w:rPr>
          <w:color w:val="000000"/>
          <w:spacing w:val="0"/>
          <w:w w:val="100"/>
          <w:position w:val="0"/>
        </w:rPr>
        <w:t>除红利分配权</w:t>
      </w:r>
      <w:r>
        <w:rPr>
          <w:rFonts w:ascii="Times New Roman" w:eastAsia="Times New Roman" w:hAnsi="Times New Roman" w:cs="Times New Roman"/>
          <w:color w:val="000000"/>
          <w:spacing w:val="0"/>
          <w:w w:val="100"/>
          <w:position w:val="0"/>
        </w:rPr>
        <w:t>）</w:t>
      </w:r>
      <w:r>
        <w:rPr>
          <w:color w:val="000000"/>
          <w:spacing w:val="0"/>
          <w:w w:val="100"/>
          <w:position w:val="0"/>
        </w:rPr>
        <w:t>委托公司管理。股权委托 管理期限为</w:t>
      </w:r>
      <w:r>
        <w:rPr>
          <w:rFonts w:ascii="Times New Roman" w:eastAsia="Times New Roman" w:hAnsi="Times New Roman" w:cs="Times New Roman"/>
          <w:color w:val="000000"/>
          <w:spacing w:val="0"/>
          <w:w w:val="100"/>
          <w:position w:val="0"/>
        </w:rPr>
        <w:t>10</w:t>
      </w:r>
      <w:r>
        <w:rPr>
          <w:color w:val="000000"/>
          <w:spacing w:val="0"/>
          <w:w w:val="100"/>
          <w:position w:val="0"/>
        </w:rPr>
        <w:t>年，自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日，公司与自然人何四新签订《股权委托管理协议书》，约定何四新将其在海茂 公司</w:t>
      </w:r>
      <w:r>
        <w:rPr>
          <w:rFonts w:ascii="Times New Roman" w:eastAsia="Times New Roman" w:hAnsi="Times New Roman" w:cs="Times New Roman"/>
          <w:color w:val="000000"/>
          <w:spacing w:val="0"/>
          <w:w w:val="100"/>
          <w:position w:val="0"/>
        </w:rPr>
        <w:t>11%</w:t>
      </w:r>
      <w:r>
        <w:rPr>
          <w:color w:val="000000"/>
          <w:spacing w:val="0"/>
          <w:w w:val="100"/>
          <w:position w:val="0"/>
        </w:rPr>
        <w:t>的股权全权</w:t>
      </w:r>
      <w:r>
        <w:rPr>
          <w:rFonts w:ascii="Times New Roman" w:eastAsia="Times New Roman" w:hAnsi="Times New Roman" w:cs="Times New Roman"/>
          <w:color w:val="000000"/>
          <w:spacing w:val="0"/>
          <w:w w:val="100"/>
          <w:position w:val="0"/>
        </w:rPr>
        <w:t>（</w:t>
      </w:r>
      <w:r>
        <w:rPr>
          <w:color w:val="000000"/>
          <w:spacing w:val="0"/>
          <w:w w:val="100"/>
          <w:position w:val="0"/>
        </w:rPr>
        <w:t>除红利分配权</w:t>
      </w:r>
      <w:r>
        <w:rPr>
          <w:rFonts w:ascii="Times New Roman" w:eastAsia="Times New Roman" w:hAnsi="Times New Roman" w:cs="Times New Roman"/>
          <w:color w:val="000000"/>
          <w:spacing w:val="0"/>
          <w:w w:val="100"/>
          <w:position w:val="0"/>
        </w:rPr>
        <w:t>）</w:t>
      </w:r>
      <w:r>
        <w:rPr>
          <w:color w:val="000000"/>
          <w:spacing w:val="0"/>
          <w:w w:val="100"/>
          <w:position w:val="0"/>
        </w:rPr>
        <w:t>委托公司管理。股权委托管理期限为</w:t>
      </w:r>
      <w:r>
        <w:rPr>
          <w:rFonts w:ascii="Times New Roman" w:eastAsia="Times New Roman" w:hAnsi="Times New Roman" w:cs="Times New Roman"/>
          <w:color w:val="000000"/>
          <w:spacing w:val="0"/>
          <w:w w:val="100"/>
          <w:position w:val="0"/>
        </w:rPr>
        <w:t>10</w:t>
      </w:r>
      <w:r>
        <w:rPr>
          <w:color w:val="000000"/>
          <w:spacing w:val="0"/>
          <w:w w:val="100"/>
          <w:position w:val="0"/>
        </w:rPr>
        <w:t>年，自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日，公司与香港宏丰国际实业有限公司签订《股权委托管理协议书》，约定香港 </w:t>
      </w:r>
      <w:r>
        <w:rPr>
          <w:color w:val="000000"/>
          <w:spacing w:val="0"/>
          <w:w w:val="100"/>
          <w:position w:val="0"/>
        </w:rPr>
        <w:t>宏丰国际实业有限公司将其在宏丰公司</w:t>
      </w:r>
      <w:r>
        <w:rPr>
          <w:rFonts w:ascii="Times New Roman" w:eastAsia="Times New Roman" w:hAnsi="Times New Roman" w:cs="Times New Roman"/>
          <w:color w:val="000000"/>
          <w:spacing w:val="0"/>
          <w:w w:val="100"/>
          <w:position w:val="0"/>
        </w:rPr>
        <w:t>5%</w:t>
      </w:r>
      <w:r>
        <w:rPr>
          <w:color w:val="000000"/>
          <w:spacing w:val="0"/>
          <w:w w:val="100"/>
          <w:position w:val="0"/>
        </w:rPr>
        <w:t>的股权全权</w:t>
      </w:r>
      <w:r>
        <w:rPr>
          <w:rFonts w:ascii="Times New Roman" w:eastAsia="Times New Roman" w:hAnsi="Times New Roman" w:cs="Times New Roman"/>
          <w:color w:val="000000"/>
          <w:spacing w:val="0"/>
          <w:w w:val="100"/>
          <w:position w:val="0"/>
        </w:rPr>
        <w:t>（</w:t>
      </w:r>
      <w:r>
        <w:rPr>
          <w:color w:val="000000"/>
          <w:spacing w:val="0"/>
          <w:w w:val="100"/>
          <w:position w:val="0"/>
        </w:rPr>
        <w:t>除红利分配权</w:t>
      </w:r>
      <w:r>
        <w:rPr>
          <w:rFonts w:ascii="Times New Roman" w:eastAsia="Times New Roman" w:hAnsi="Times New Roman" w:cs="Times New Roman"/>
          <w:color w:val="000000"/>
          <w:spacing w:val="0"/>
          <w:w w:val="100"/>
          <w:position w:val="0"/>
        </w:rPr>
        <w:t>）</w:t>
      </w:r>
      <w:r>
        <w:rPr>
          <w:color w:val="000000"/>
          <w:spacing w:val="0"/>
          <w:w w:val="100"/>
          <w:position w:val="0"/>
        </w:rPr>
        <w:t>委托公司管理。股权委托 管理期限为</w:t>
      </w:r>
      <w:r>
        <w:rPr>
          <w:rFonts w:ascii="Times New Roman" w:eastAsia="Times New Roman" w:hAnsi="Times New Roman" w:cs="Times New Roman"/>
          <w:color w:val="000000"/>
          <w:spacing w:val="0"/>
          <w:w w:val="100"/>
          <w:position w:val="0"/>
        </w:rPr>
        <w:t>10</w:t>
      </w:r>
      <w:r>
        <w:rPr>
          <w:color w:val="000000"/>
          <w:spacing w:val="0"/>
          <w:w w:val="100"/>
          <w:position w:val="0"/>
        </w:rPr>
        <w:t>年，自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3"/>
        <w:keepNext w:val="0"/>
        <w:keepLines w:val="0"/>
        <w:widowControl w:val="0"/>
        <w:shd w:val="clear" w:color="auto" w:fill="auto"/>
        <w:tabs>
          <w:tab w:pos="510" w:val="left"/>
        </w:tabs>
        <w:bidi w:val="0"/>
        <w:spacing w:before="0" w:after="0"/>
        <w:ind w:left="0" w:right="0" w:firstLine="0"/>
        <w:jc w:val="left"/>
      </w:pPr>
      <w:bookmarkStart w:id="256" w:name="bookmark256"/>
      <w:r>
        <w:rPr>
          <w:rFonts w:ascii="Times New Roman" w:eastAsia="Times New Roman" w:hAnsi="Times New Roman" w:cs="Times New Roman"/>
          <w:color w:val="000000"/>
          <w:spacing w:val="0"/>
          <w:w w:val="100"/>
          <w:position w:val="0"/>
        </w:rPr>
        <w:t>（</w:t>
      </w:r>
      <w:bookmarkEnd w:id="25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大股东持股变动</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富润集团原持有公司股份</w:t>
      </w:r>
      <w:r>
        <w:rPr>
          <w:rFonts w:ascii="Times New Roman" w:eastAsia="Times New Roman" w:hAnsi="Times New Roman" w:cs="Times New Roman"/>
          <w:color w:val="000000"/>
          <w:spacing w:val="0"/>
          <w:w w:val="100"/>
          <w:position w:val="0"/>
        </w:rPr>
        <w:t>47,089,175</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25.75%</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日，富润集团通过二级市场买入的方式累计增持公司股份</w:t>
      </w:r>
      <w:r>
        <w:rPr>
          <w:rFonts w:ascii="Times New Roman" w:eastAsia="Times New Roman" w:hAnsi="Times New Roman" w:cs="Times New Roman"/>
          <w:color w:val="000000"/>
          <w:spacing w:val="0"/>
          <w:w w:val="100"/>
          <w:position w:val="0"/>
        </w:rPr>
        <w:t>3,656,448</w:t>
      </w:r>
      <w:r>
        <w:rPr>
          <w:color w:val="000000"/>
          <w:spacing w:val="0"/>
          <w:w w:val="100"/>
          <w:position w:val="0"/>
        </w:rPr>
        <w:t>股，占公司总股本 的</w:t>
      </w:r>
      <w:r>
        <w:rPr>
          <w:rFonts w:ascii="Times New Roman" w:eastAsia="Times New Roman" w:hAnsi="Times New Roman" w:cs="Times New Roman"/>
          <w:color w:val="000000"/>
          <w:spacing w:val="0"/>
          <w:w w:val="100"/>
          <w:position w:val="0"/>
        </w:rPr>
        <w:t>2%</w:t>
      </w:r>
      <w:r>
        <w:rPr>
          <w:color w:val="000000"/>
          <w:spacing w:val="0"/>
          <w:w w:val="100"/>
          <w:position w:val="0"/>
        </w:rPr>
        <w:t>。本次增持后，富润集团持有本公司股份合计</w:t>
      </w:r>
      <w:r>
        <w:rPr>
          <w:rFonts w:ascii="Times New Roman" w:eastAsia="Times New Roman" w:hAnsi="Times New Roman" w:cs="Times New Roman"/>
          <w:color w:val="000000"/>
          <w:spacing w:val="0"/>
          <w:w w:val="100"/>
          <w:position w:val="0"/>
        </w:rPr>
        <w:t>50,745,623</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27.75%</w:t>
      </w:r>
      <w:r>
        <w:rPr>
          <w:color w:val="000000"/>
          <w:spacing w:val="0"/>
          <w:w w:val="100"/>
          <w:position w:val="0"/>
        </w:rPr>
        <w:t>。</w:t>
      </w:r>
    </w:p>
    <w:p>
      <w:pPr>
        <w:pStyle w:val="Style13"/>
        <w:keepNext w:val="0"/>
        <w:keepLines w:val="0"/>
        <w:widowControl w:val="0"/>
        <w:shd w:val="clear" w:color="auto" w:fill="auto"/>
        <w:tabs>
          <w:tab w:pos="510" w:val="left"/>
        </w:tabs>
        <w:bidi w:val="0"/>
        <w:spacing w:before="0" w:after="0" w:line="274" w:lineRule="exact"/>
        <w:ind w:left="0" w:right="0" w:firstLine="0"/>
        <w:jc w:val="left"/>
      </w:pPr>
      <w:bookmarkStart w:id="257" w:name="bookmark257"/>
      <w:r>
        <w:rPr>
          <w:rFonts w:ascii="Times New Roman" w:eastAsia="Times New Roman" w:hAnsi="Times New Roman" w:cs="Times New Roman"/>
          <w:color w:val="000000"/>
          <w:spacing w:val="0"/>
          <w:w w:val="100"/>
          <w:position w:val="0"/>
        </w:rPr>
        <w:t>（</w:t>
      </w:r>
      <w:bookmarkEnd w:id="257"/>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子公司外方股东股利代领款事项</w:t>
      </w:r>
    </w:p>
    <w:p>
      <w:pPr>
        <w:pStyle w:val="Style19"/>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公司部分子公司在发放现金股利时，将应付外方股东的股利直接支付给境内委托代理人。部分 子公司</w:t>
      </w:r>
      <w:r>
        <w:rPr>
          <w:rFonts w:ascii="Times New Roman" w:eastAsia="Times New Roman" w:hAnsi="Times New Roman" w:cs="Times New Roman"/>
          <w:color w:val="000000"/>
          <w:spacing w:val="0"/>
          <w:w w:val="100"/>
          <w:position w:val="0"/>
        </w:rPr>
        <w:t>2012</w:t>
      </w:r>
      <w:r>
        <w:rPr>
          <w:color w:val="000000"/>
          <w:spacing w:val="0"/>
          <w:w w:val="100"/>
          <w:position w:val="0"/>
        </w:rPr>
        <w:t>年度的现金股利已于</w:t>
      </w:r>
      <w:r>
        <w:rPr>
          <w:rFonts w:ascii="Times New Roman" w:eastAsia="Times New Roman" w:hAnsi="Times New Roman" w:cs="Times New Roman"/>
          <w:color w:val="000000"/>
          <w:spacing w:val="0"/>
          <w:w w:val="100"/>
          <w:position w:val="0"/>
        </w:rPr>
        <w:t>2013</w:t>
      </w:r>
      <w:r>
        <w:rPr>
          <w:color w:val="000000"/>
          <w:spacing w:val="0"/>
          <w:w w:val="100"/>
          <w:position w:val="0"/>
        </w:rPr>
        <w:t>年内发放完毕，代理人代收子公司外方股东股利具体情 况如下：</w:t>
      </w:r>
    </w:p>
    <w:tbl>
      <w:tblPr>
        <w:tblOverlap w:val="never"/>
        <w:jc w:val="left"/>
        <w:tblLayout w:type="fixed"/>
      </w:tblPr>
      <w:tblGrid>
        <w:gridCol w:w="2520"/>
        <w:gridCol w:w="3062"/>
        <w:gridCol w:w="1440"/>
        <w:gridCol w:w="1622"/>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外方股东名称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委托代理人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代收股利金额</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印染公司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富润集团美国工贸有限公司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周忠翰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6,456,185.80 </w:t>
            </w:r>
            <w:r>
              <w:rPr>
                <w:color w:val="000000"/>
                <w:spacing w:val="0"/>
                <w:w w:val="100"/>
                <w:position w:val="0"/>
              </w:rPr>
              <w:t>元</w:t>
            </w:r>
          </w:p>
        </w:tc>
      </w:tr>
      <w:tr>
        <w:trPr>
          <w:trHeight w:val="31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香港宏丰国际实业有限公司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6,252,980.74 </w:t>
            </w:r>
            <w:r>
              <w:rPr>
                <w:color w:val="000000"/>
                <w:spacing w:val="0"/>
                <w:w w:val="100"/>
                <w:position w:val="0"/>
              </w:rPr>
              <w:t>元</w:t>
            </w:r>
          </w:p>
        </w:tc>
      </w:tr>
    </w:tbl>
    <w:p>
      <w:pPr>
        <w:widowControl w:val="0"/>
        <w:spacing w:after="239" w:line="1" w:lineRule="exact"/>
      </w:pPr>
    </w:p>
    <w:p>
      <w:pPr>
        <w:pStyle w:val="Style13"/>
        <w:keepNext w:val="0"/>
        <w:keepLines w:val="0"/>
        <w:widowControl w:val="0"/>
        <w:shd w:val="clear" w:color="auto" w:fill="auto"/>
        <w:bidi w:val="0"/>
        <w:spacing w:before="0" w:after="0" w:line="273" w:lineRule="exact"/>
        <w:ind w:left="0" w:right="0" w:firstLine="0"/>
        <w:jc w:val="left"/>
      </w:pPr>
      <w:bookmarkStart w:id="258" w:name="bookmark258"/>
      <w:r>
        <w:rPr>
          <w:color w:val="000000"/>
          <w:spacing w:val="0"/>
          <w:w w:val="100"/>
          <w:position w:val="0"/>
        </w:rPr>
        <w:t>（</w:t>
      </w:r>
      <w:bookmarkEnd w:id="258"/>
      <w:r>
        <w:rPr>
          <w:color w:val="000000"/>
          <w:spacing w:val="0"/>
          <w:w w:val="100"/>
          <w:position w:val="0"/>
        </w:rPr>
        <w:t>五）对诸暨长城国际影视网游动漫创意园有限公司增资事项</w:t>
      </w:r>
    </w:p>
    <w:p>
      <w:pPr>
        <w:pStyle w:val="Style13"/>
        <w:keepNext w:val="0"/>
        <w:keepLines w:val="0"/>
        <w:widowControl w:val="0"/>
        <w:shd w:val="clear" w:color="auto" w:fill="auto"/>
        <w:bidi w:val="0"/>
        <w:spacing w:before="0" w:after="0" w:line="273" w:lineRule="exact"/>
        <w:ind w:left="0" w:right="0" w:firstLine="0"/>
        <w:jc w:val="left"/>
      </w:pPr>
      <w:r>
        <w:rPr>
          <w:rFonts w:ascii="Arial Unicode MS" w:eastAsia="Arial Unicode MS" w:hAnsi="Arial Unicode MS" w:cs="Arial Unicode MS"/>
          <w:color w:val="000000"/>
          <w:spacing w:val="0"/>
          <w:w w:val="100"/>
          <w:position w:val="0"/>
          <w:sz w:val="17"/>
          <w:szCs w:val="17"/>
        </w:rPr>
        <w:t>2013</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4</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8</w:t>
      </w:r>
      <w:r>
        <w:rPr>
          <w:color w:val="000000"/>
          <w:spacing w:val="0"/>
          <w:w w:val="100"/>
          <w:position w:val="0"/>
        </w:rPr>
        <w:t>日，诸暨长城国际影视网游动漫创意园有限公司召开股东会，决定对诸暨长城国 际影视网游动漫创意园有限公司增资</w:t>
      </w:r>
      <w:r>
        <w:rPr>
          <w:rFonts w:ascii="Arial Unicode MS" w:eastAsia="Arial Unicode MS" w:hAnsi="Arial Unicode MS" w:cs="Arial Unicode MS"/>
          <w:color w:val="000000"/>
          <w:spacing w:val="0"/>
          <w:w w:val="100"/>
          <w:position w:val="0"/>
          <w:sz w:val="17"/>
          <w:szCs w:val="17"/>
        </w:rPr>
        <w:t>5,000</w:t>
      </w:r>
      <w:r>
        <w:rPr>
          <w:color w:val="000000"/>
          <w:spacing w:val="0"/>
          <w:w w:val="100"/>
          <w:position w:val="0"/>
        </w:rPr>
        <w:t>万元，增资后诸暨长城国际影视网游动漫创意园有 限公司注册资本由原来的</w:t>
      </w:r>
      <w:r>
        <w:rPr>
          <w:rFonts w:ascii="Arial Unicode MS" w:eastAsia="Arial Unicode MS" w:hAnsi="Arial Unicode MS" w:cs="Arial Unicode MS"/>
          <w:color w:val="000000"/>
          <w:spacing w:val="0"/>
          <w:w w:val="100"/>
          <w:position w:val="0"/>
          <w:sz w:val="17"/>
          <w:szCs w:val="17"/>
        </w:rPr>
        <w:t>10,000</w:t>
      </w:r>
      <w:r>
        <w:rPr>
          <w:color w:val="000000"/>
          <w:spacing w:val="0"/>
          <w:w w:val="100"/>
          <w:position w:val="0"/>
        </w:rPr>
        <w:t>万元增加为</w:t>
      </w:r>
      <w:r>
        <w:rPr>
          <w:rFonts w:ascii="Arial Unicode MS" w:eastAsia="Arial Unicode MS" w:hAnsi="Arial Unicode MS" w:cs="Arial Unicode MS"/>
          <w:color w:val="000000"/>
          <w:spacing w:val="0"/>
          <w:w w:val="100"/>
          <w:position w:val="0"/>
          <w:sz w:val="17"/>
          <w:szCs w:val="17"/>
        </w:rPr>
        <w:t>15,000</w:t>
      </w:r>
      <w:r>
        <w:rPr>
          <w:color w:val="000000"/>
          <w:spacing w:val="0"/>
          <w:w w:val="100"/>
          <w:position w:val="0"/>
        </w:rPr>
        <w:t>万元。其中公司认缴出资</w:t>
      </w:r>
      <w:r>
        <w:rPr>
          <w:rFonts w:ascii="Arial Unicode MS" w:eastAsia="Arial Unicode MS" w:hAnsi="Arial Unicode MS" w:cs="Arial Unicode MS"/>
          <w:color w:val="000000"/>
          <w:spacing w:val="0"/>
          <w:w w:val="100"/>
          <w:position w:val="0"/>
          <w:sz w:val="17"/>
          <w:szCs w:val="17"/>
        </w:rPr>
        <w:t>950</w:t>
      </w:r>
      <w:r>
        <w:rPr>
          <w:color w:val="000000"/>
          <w:spacing w:val="0"/>
          <w:w w:val="100"/>
          <w:position w:val="0"/>
        </w:rPr>
        <w:t>万元，累计 出资</w:t>
      </w:r>
      <w:r>
        <w:rPr>
          <w:rFonts w:ascii="Arial Unicode MS" w:eastAsia="Arial Unicode MS" w:hAnsi="Arial Unicode MS" w:cs="Arial Unicode MS"/>
          <w:color w:val="000000"/>
          <w:spacing w:val="0"/>
          <w:w w:val="100"/>
          <w:position w:val="0"/>
          <w:sz w:val="17"/>
          <w:szCs w:val="17"/>
        </w:rPr>
        <w:t>2850</w:t>
      </w:r>
      <w:r>
        <w:rPr>
          <w:color w:val="000000"/>
          <w:spacing w:val="0"/>
          <w:w w:val="100"/>
          <w:position w:val="0"/>
        </w:rPr>
        <w:t>万元，占注册资本的</w:t>
      </w:r>
      <w:r>
        <w:rPr>
          <w:rFonts w:ascii="Arial Unicode MS" w:eastAsia="Arial Unicode MS" w:hAnsi="Arial Unicode MS" w:cs="Arial Unicode MS"/>
          <w:color w:val="000000"/>
          <w:spacing w:val="0"/>
          <w:w w:val="100"/>
          <w:position w:val="0"/>
          <w:sz w:val="17"/>
          <w:szCs w:val="17"/>
        </w:rPr>
        <w:t>19%</w:t>
      </w:r>
      <w:r>
        <w:rPr>
          <w:color w:val="000000"/>
          <w:spacing w:val="0"/>
          <w:w w:val="100"/>
          <w:position w:val="0"/>
        </w:rPr>
        <w:t>。</w:t>
      </w:r>
      <w:r>
        <w:rPr>
          <w:rFonts w:ascii="Arial Unicode MS" w:eastAsia="Arial Unicode MS" w:hAnsi="Arial Unicode MS" w:cs="Arial Unicode MS"/>
          <w:color w:val="000000"/>
          <w:spacing w:val="0"/>
          <w:w w:val="100"/>
          <w:position w:val="0"/>
          <w:sz w:val="17"/>
          <w:szCs w:val="17"/>
        </w:rPr>
        <w:t>2013</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4</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17</w:t>
      </w:r>
      <w:r>
        <w:rPr>
          <w:color w:val="000000"/>
          <w:spacing w:val="0"/>
          <w:w w:val="100"/>
          <w:position w:val="0"/>
        </w:rPr>
        <w:t>日，公司缴入投资款</w:t>
      </w:r>
      <w:r>
        <w:rPr>
          <w:rFonts w:ascii="Arial Unicode MS" w:eastAsia="Arial Unicode MS" w:hAnsi="Arial Unicode MS" w:cs="Arial Unicode MS"/>
          <w:color w:val="000000"/>
          <w:spacing w:val="0"/>
          <w:w w:val="100"/>
          <w:position w:val="0"/>
          <w:sz w:val="17"/>
          <w:szCs w:val="17"/>
        </w:rPr>
        <w:t>950</w:t>
      </w:r>
      <w:r>
        <w:rPr>
          <w:color w:val="000000"/>
          <w:spacing w:val="0"/>
          <w:w w:val="100"/>
          <w:position w:val="0"/>
        </w:rPr>
        <w:t>万元。诸暨长城 国际影视网游动漫创意园有限公司于</w:t>
      </w:r>
      <w:r>
        <w:rPr>
          <w:rFonts w:ascii="Arial Unicode MS" w:eastAsia="Arial Unicode MS" w:hAnsi="Arial Unicode MS" w:cs="Arial Unicode MS"/>
          <w:color w:val="000000"/>
          <w:spacing w:val="0"/>
          <w:w w:val="100"/>
          <w:position w:val="0"/>
          <w:sz w:val="17"/>
          <w:szCs w:val="17"/>
        </w:rPr>
        <w:t>2013</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4</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18</w:t>
      </w:r>
      <w:r>
        <w:rPr>
          <w:color w:val="000000"/>
          <w:spacing w:val="0"/>
          <w:w w:val="100"/>
          <w:position w:val="0"/>
        </w:rPr>
        <w:t>日办妥工商变更登记手续。</w:t>
      </w:r>
    </w:p>
    <w:p>
      <w:pPr>
        <w:pStyle w:val="Style13"/>
        <w:keepNext w:val="0"/>
        <w:keepLines w:val="0"/>
        <w:widowControl w:val="0"/>
        <w:shd w:val="clear" w:color="auto" w:fill="auto"/>
        <w:tabs>
          <w:tab w:pos="510" w:val="left"/>
        </w:tabs>
        <w:bidi w:val="0"/>
        <w:spacing w:before="0" w:after="0" w:line="273" w:lineRule="exact"/>
        <w:ind w:left="0" w:right="0" w:firstLine="0"/>
        <w:jc w:val="left"/>
      </w:pPr>
      <w:bookmarkStart w:id="259" w:name="bookmark259"/>
      <w:r>
        <w:rPr>
          <w:color w:val="000000"/>
          <w:spacing w:val="0"/>
          <w:w w:val="100"/>
          <w:position w:val="0"/>
        </w:rPr>
        <w:t>（</w:t>
      </w:r>
      <w:bookmarkEnd w:id="259"/>
      <w:r>
        <w:rPr>
          <w:color w:val="000000"/>
          <w:spacing w:val="0"/>
          <w:w w:val="100"/>
          <w:position w:val="0"/>
        </w:rPr>
        <w:t>六）</w:t>
        <w:tab/>
        <w:t>丝绸织造公司和宏丰公司生产经营状况</w:t>
      </w:r>
    </w:p>
    <w:p>
      <w:pPr>
        <w:pStyle w:val="Style13"/>
        <w:keepNext w:val="0"/>
        <w:keepLines w:val="0"/>
        <w:widowControl w:val="0"/>
        <w:numPr>
          <w:ilvl w:val="0"/>
          <w:numId w:val="45"/>
        </w:numPr>
        <w:shd w:val="clear" w:color="auto" w:fill="auto"/>
        <w:tabs>
          <w:tab w:pos="423" w:val="left"/>
        </w:tabs>
        <w:bidi w:val="0"/>
        <w:spacing w:before="0" w:after="0" w:line="288" w:lineRule="auto"/>
        <w:ind w:left="0" w:right="0" w:firstLine="0"/>
        <w:jc w:val="left"/>
      </w:pPr>
      <w:bookmarkStart w:id="260" w:name="bookmark260"/>
      <w:bookmarkEnd w:id="260"/>
      <w:r>
        <w:rPr>
          <w:color w:val="000000"/>
          <w:spacing w:val="0"/>
          <w:w w:val="100"/>
          <w:position w:val="0"/>
        </w:rPr>
        <w:t>丝绸织造公司</w:t>
      </w:r>
    </w:p>
    <w:p>
      <w:pPr>
        <w:pStyle w:val="Style13"/>
        <w:keepNext w:val="0"/>
        <w:keepLines w:val="0"/>
        <w:widowControl w:val="0"/>
        <w:shd w:val="clear" w:color="auto" w:fill="auto"/>
        <w:bidi w:val="0"/>
        <w:spacing w:before="0" w:after="0" w:line="273" w:lineRule="exact"/>
        <w:ind w:left="0" w:right="0" w:firstLine="0"/>
        <w:jc w:val="left"/>
      </w:pPr>
      <w:r>
        <w:rPr>
          <w:rFonts w:ascii="Arial Unicode MS" w:eastAsia="Arial Unicode MS" w:hAnsi="Arial Unicode MS" w:cs="Arial Unicode MS"/>
          <w:color w:val="000000"/>
          <w:spacing w:val="0"/>
          <w:w w:val="100"/>
          <w:position w:val="0"/>
          <w:sz w:val="17"/>
          <w:szCs w:val="17"/>
        </w:rPr>
        <w:t>2010</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4</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2</w:t>
      </w:r>
      <w:r>
        <w:rPr>
          <w:color w:val="000000"/>
          <w:spacing w:val="0"/>
          <w:w w:val="100"/>
          <w:position w:val="0"/>
        </w:rPr>
        <w:t>日，子公司丝绸织造公司一届九次董事会审议通过了《富润丝绸织造公司停产转 型方案》。总体方案为：公司存续，逐步停产，回笼资金寻求合适的项目和机会进行转型，并 进行职工安置。其中职工安置选择方案包括：推荐就业、安排岗位、离岗、解除劳动关系等。</w:t>
      </w:r>
    </w:p>
    <w:p>
      <w:pPr>
        <w:pStyle w:val="Style13"/>
        <w:keepNext w:val="0"/>
        <w:keepLines w:val="0"/>
        <w:widowControl w:val="0"/>
        <w:shd w:val="clear" w:color="auto" w:fill="auto"/>
        <w:bidi w:val="0"/>
        <w:spacing w:before="0" w:after="0" w:line="273" w:lineRule="exact"/>
        <w:ind w:left="0" w:right="0" w:firstLine="0"/>
        <w:jc w:val="left"/>
      </w:pPr>
      <w:r>
        <w:rPr>
          <w:rFonts w:ascii="Arial Unicode MS" w:eastAsia="Arial Unicode MS" w:hAnsi="Arial Unicode MS" w:cs="Arial Unicode MS"/>
          <w:color w:val="000000"/>
          <w:spacing w:val="0"/>
          <w:w w:val="100"/>
          <w:position w:val="0"/>
          <w:sz w:val="17"/>
          <w:szCs w:val="17"/>
        </w:rPr>
        <w:t>2010</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4</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19</w:t>
      </w:r>
      <w:r>
        <w:rPr>
          <w:color w:val="000000"/>
          <w:spacing w:val="0"/>
          <w:w w:val="100"/>
          <w:position w:val="0"/>
        </w:rPr>
        <w:t>日，丝绸织造公司职工大会决议通过了上述停产转型方案。</w:t>
      </w:r>
    </w:p>
    <w:p>
      <w:pPr>
        <w:pStyle w:val="Style13"/>
        <w:keepNext w:val="0"/>
        <w:keepLines w:val="0"/>
        <w:widowControl w:val="0"/>
        <w:shd w:val="clear" w:color="auto" w:fill="auto"/>
        <w:bidi w:val="0"/>
        <w:spacing w:before="0" w:after="0" w:line="273" w:lineRule="exact"/>
        <w:ind w:left="0" w:right="0" w:firstLine="0"/>
        <w:jc w:val="left"/>
      </w:pPr>
      <w:r>
        <w:rPr>
          <w:rFonts w:ascii="Arial Unicode MS" w:eastAsia="Arial Unicode MS" w:hAnsi="Arial Unicode MS" w:cs="Arial Unicode MS"/>
          <w:color w:val="000000"/>
          <w:spacing w:val="0"/>
          <w:w w:val="100"/>
          <w:position w:val="0"/>
          <w:sz w:val="17"/>
          <w:szCs w:val="17"/>
        </w:rPr>
        <w:t>2012</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1</w:t>
      </w:r>
      <w:r>
        <w:rPr>
          <w:color w:val="000000"/>
          <w:spacing w:val="0"/>
          <w:w w:val="100"/>
          <w:position w:val="0"/>
        </w:rPr>
        <w:t>月，因城市建设需要，丝绸织造公司所在的绢纺厂区开始实施整体搬迁。截至</w:t>
      </w:r>
      <w:r>
        <w:rPr>
          <w:rFonts w:ascii="Arial Unicode MS" w:eastAsia="Arial Unicode MS" w:hAnsi="Arial Unicode MS" w:cs="Arial Unicode MS"/>
          <w:color w:val="000000"/>
          <w:spacing w:val="0"/>
          <w:w w:val="100"/>
          <w:position w:val="0"/>
          <w:sz w:val="17"/>
          <w:szCs w:val="17"/>
        </w:rPr>
        <w:t xml:space="preserve">2012 </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12</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31</w:t>
      </w:r>
      <w:r>
        <w:rPr>
          <w:color w:val="000000"/>
          <w:spacing w:val="0"/>
          <w:w w:val="100"/>
          <w:position w:val="0"/>
        </w:rPr>
        <w:t>日，相关搬迁补偿及安置工作已经结束，丝绸织造公司相关生产设施已经处置。截 至</w:t>
      </w:r>
      <w:r>
        <w:rPr>
          <w:rFonts w:ascii="Arial Unicode MS" w:eastAsia="Arial Unicode MS" w:hAnsi="Arial Unicode MS" w:cs="Arial Unicode MS"/>
          <w:color w:val="000000"/>
          <w:spacing w:val="0"/>
          <w:w w:val="100"/>
          <w:position w:val="0"/>
          <w:sz w:val="17"/>
          <w:szCs w:val="17"/>
        </w:rPr>
        <w:t>2014</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3</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31</w:t>
      </w:r>
      <w:r>
        <w:rPr>
          <w:color w:val="000000"/>
          <w:spacing w:val="0"/>
          <w:w w:val="100"/>
          <w:position w:val="0"/>
        </w:rPr>
        <w:t>日，丝绸织造公司尚未有新的转产计划。</w:t>
      </w:r>
    </w:p>
    <w:p>
      <w:pPr>
        <w:pStyle w:val="Style13"/>
        <w:keepNext w:val="0"/>
        <w:keepLines w:val="0"/>
        <w:widowControl w:val="0"/>
        <w:numPr>
          <w:ilvl w:val="0"/>
          <w:numId w:val="45"/>
        </w:numPr>
        <w:shd w:val="clear" w:color="auto" w:fill="auto"/>
        <w:tabs>
          <w:tab w:pos="423" w:val="left"/>
        </w:tabs>
        <w:bidi w:val="0"/>
        <w:spacing w:before="0" w:after="0" w:line="288" w:lineRule="auto"/>
        <w:ind w:left="0" w:right="0" w:firstLine="0"/>
        <w:jc w:val="left"/>
      </w:pPr>
      <w:bookmarkStart w:id="261" w:name="bookmark261"/>
      <w:bookmarkEnd w:id="261"/>
      <w:r>
        <w:rPr>
          <w:color w:val="000000"/>
          <w:spacing w:val="0"/>
          <w:w w:val="100"/>
          <w:position w:val="0"/>
        </w:rPr>
        <w:t>宏丰公司</w:t>
      </w:r>
    </w:p>
    <w:p>
      <w:pPr>
        <w:pStyle w:val="Style13"/>
        <w:keepNext w:val="0"/>
        <w:keepLines w:val="0"/>
        <w:widowControl w:val="0"/>
        <w:shd w:val="clear" w:color="auto" w:fill="auto"/>
        <w:bidi w:val="0"/>
        <w:spacing w:before="0" w:after="0" w:line="273" w:lineRule="exact"/>
        <w:ind w:left="0" w:right="0" w:firstLine="0"/>
        <w:jc w:val="left"/>
      </w:pPr>
      <w:r>
        <w:rPr>
          <w:rFonts w:ascii="Arial Unicode MS" w:eastAsia="Arial Unicode MS" w:hAnsi="Arial Unicode MS" w:cs="Arial Unicode MS"/>
          <w:color w:val="000000"/>
          <w:spacing w:val="0"/>
          <w:w w:val="100"/>
          <w:position w:val="0"/>
          <w:sz w:val="17"/>
          <w:szCs w:val="17"/>
        </w:rPr>
        <w:t>2010</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3</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19</w:t>
      </w:r>
      <w:r>
        <w:rPr>
          <w:color w:val="000000"/>
          <w:spacing w:val="0"/>
          <w:w w:val="100"/>
          <w:position w:val="0"/>
        </w:rPr>
        <w:t>日，子公司宏丰公司二届一次董事会审议通过了《富润宏丰纺织公司转型方案》。 总体方案为：公司存续，生产停产，寻找合适的项目谋求转型，并进行职工安置。其中职工安 置选择方案包括：推荐就业、安排岗位、离岗、解除劳动关系等。</w:t>
      </w:r>
      <w:r>
        <w:rPr>
          <w:rFonts w:ascii="Arial Unicode MS" w:eastAsia="Arial Unicode MS" w:hAnsi="Arial Unicode MS" w:cs="Arial Unicode MS"/>
          <w:color w:val="000000"/>
          <w:spacing w:val="0"/>
          <w:w w:val="100"/>
          <w:position w:val="0"/>
          <w:sz w:val="17"/>
          <w:szCs w:val="17"/>
        </w:rPr>
        <w:t>2010</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3</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30</w:t>
      </w:r>
      <w:r>
        <w:rPr>
          <w:color w:val="000000"/>
          <w:spacing w:val="0"/>
          <w:w w:val="100"/>
          <w:position w:val="0"/>
        </w:rPr>
        <w:t>日，宏丰公 司职工大会决议通过了上述停产转型方案。</w:t>
      </w:r>
    </w:p>
    <w:p>
      <w:pPr>
        <w:pStyle w:val="Style13"/>
        <w:keepNext w:val="0"/>
        <w:keepLines w:val="0"/>
        <w:widowControl w:val="0"/>
        <w:shd w:val="clear" w:color="auto" w:fill="auto"/>
        <w:bidi w:val="0"/>
        <w:spacing w:before="0" w:after="0" w:line="273" w:lineRule="exact"/>
        <w:ind w:left="0" w:right="0" w:firstLine="0"/>
        <w:jc w:val="left"/>
      </w:pPr>
      <w:r>
        <w:rPr>
          <w:rFonts w:ascii="Arial Unicode MS" w:eastAsia="Arial Unicode MS" w:hAnsi="Arial Unicode MS" w:cs="Arial Unicode MS"/>
          <w:color w:val="000000"/>
          <w:spacing w:val="0"/>
          <w:w w:val="100"/>
          <w:position w:val="0"/>
          <w:sz w:val="17"/>
          <w:szCs w:val="17"/>
        </w:rPr>
        <w:t>2012</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1</w:t>
      </w:r>
      <w:r>
        <w:rPr>
          <w:color w:val="000000"/>
          <w:spacing w:val="0"/>
          <w:w w:val="100"/>
          <w:position w:val="0"/>
        </w:rPr>
        <w:t>月，因城市建设需要，宏丰公司所在的绢纺厂区开始实施整体搬迁。截至</w:t>
      </w:r>
      <w:r>
        <w:rPr>
          <w:rFonts w:ascii="Arial Unicode MS" w:eastAsia="Arial Unicode MS" w:hAnsi="Arial Unicode MS" w:cs="Arial Unicode MS"/>
          <w:color w:val="000000"/>
          <w:spacing w:val="0"/>
          <w:w w:val="100"/>
          <w:position w:val="0"/>
          <w:sz w:val="17"/>
          <w:szCs w:val="17"/>
        </w:rPr>
        <w:t>2012</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 xml:space="preserve">12 </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31</w:t>
      </w:r>
      <w:r>
        <w:rPr>
          <w:color w:val="000000"/>
          <w:spacing w:val="0"/>
          <w:w w:val="100"/>
          <w:position w:val="0"/>
        </w:rPr>
        <w:t>日，相关搬迁补偿及安置工作已经结束，宏丰公司相关生产设施已经处置。截至</w:t>
      </w:r>
      <w:r>
        <w:rPr>
          <w:rFonts w:ascii="Arial Unicode MS" w:eastAsia="Arial Unicode MS" w:hAnsi="Arial Unicode MS" w:cs="Arial Unicode MS"/>
          <w:color w:val="000000"/>
          <w:spacing w:val="0"/>
          <w:w w:val="100"/>
          <w:position w:val="0"/>
          <w:sz w:val="17"/>
          <w:szCs w:val="17"/>
        </w:rPr>
        <w:t>2014</w:t>
      </w:r>
      <w:r>
        <w:rPr>
          <w:color w:val="000000"/>
          <w:spacing w:val="0"/>
          <w:w w:val="100"/>
          <w:position w:val="0"/>
        </w:rPr>
        <w:t xml:space="preserve">年 </w:t>
      </w:r>
      <w:r>
        <w:rPr>
          <w:rFonts w:ascii="Arial Unicode MS" w:eastAsia="Arial Unicode MS" w:hAnsi="Arial Unicode MS" w:cs="Arial Unicode MS"/>
          <w:color w:val="000000"/>
          <w:spacing w:val="0"/>
          <w:w w:val="100"/>
          <w:position w:val="0"/>
          <w:sz w:val="17"/>
          <w:szCs w:val="17"/>
        </w:rPr>
        <w:t>3</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31</w:t>
      </w:r>
      <w:r>
        <w:rPr>
          <w:color w:val="000000"/>
          <w:spacing w:val="0"/>
          <w:w w:val="100"/>
          <w:position w:val="0"/>
        </w:rPr>
        <w:t>日，宏丰公司尚未有新的转产计划。</w:t>
      </w:r>
    </w:p>
    <w:p>
      <w:pPr>
        <w:pStyle w:val="Style13"/>
        <w:keepNext w:val="0"/>
        <w:keepLines w:val="0"/>
        <w:widowControl w:val="0"/>
        <w:shd w:val="clear" w:color="auto" w:fill="auto"/>
        <w:tabs>
          <w:tab w:pos="510" w:val="left"/>
        </w:tabs>
        <w:bidi w:val="0"/>
        <w:spacing w:before="0" w:after="0" w:line="273" w:lineRule="exact"/>
        <w:ind w:left="0" w:right="0" w:firstLine="0"/>
        <w:jc w:val="left"/>
      </w:pPr>
      <w:bookmarkStart w:id="262" w:name="bookmark262"/>
      <w:r>
        <w:rPr>
          <w:color w:val="000000"/>
          <w:spacing w:val="0"/>
          <w:w w:val="100"/>
          <w:position w:val="0"/>
        </w:rPr>
        <w:t>（</w:t>
      </w:r>
      <w:bookmarkEnd w:id="262"/>
      <w:r>
        <w:rPr>
          <w:color w:val="000000"/>
          <w:spacing w:val="0"/>
          <w:w w:val="100"/>
          <w:position w:val="0"/>
        </w:rPr>
        <w:t>七）</w:t>
        <w:tab/>
        <w:t>关于毛纺厂区、毛纺厂水厂及绢纺厂水厂实施整体搬迁事项</w:t>
      </w:r>
    </w:p>
    <w:p>
      <w:pPr>
        <w:pStyle w:val="Style13"/>
        <w:keepNext w:val="0"/>
        <w:keepLines w:val="0"/>
        <w:widowControl w:val="0"/>
        <w:numPr>
          <w:ilvl w:val="0"/>
          <w:numId w:val="47"/>
        </w:numPr>
        <w:shd w:val="clear" w:color="auto" w:fill="auto"/>
        <w:bidi w:val="0"/>
        <w:spacing w:before="0" w:after="0" w:line="288" w:lineRule="auto"/>
        <w:ind w:left="0" w:right="0" w:firstLine="0"/>
        <w:jc w:val="left"/>
      </w:pPr>
      <w:bookmarkStart w:id="263" w:name="bookmark263"/>
      <w:bookmarkEnd w:id="263"/>
      <w:r>
        <w:rPr>
          <w:color w:val="000000"/>
          <w:spacing w:val="0"/>
          <w:w w:val="100"/>
          <w:position w:val="0"/>
        </w:rPr>
        <w:t>毛纺厂区房屋征收补偿</w:t>
      </w:r>
    </w:p>
    <w:p>
      <w:pPr>
        <w:pStyle w:val="Style13"/>
        <w:keepNext w:val="0"/>
        <w:keepLines w:val="0"/>
        <w:widowControl w:val="0"/>
        <w:shd w:val="clear" w:color="auto" w:fill="auto"/>
        <w:bidi w:val="0"/>
        <w:spacing w:before="0" w:after="0" w:line="288" w:lineRule="auto"/>
        <w:ind w:left="0" w:right="0" w:firstLine="0"/>
        <w:jc w:val="left"/>
      </w:pPr>
      <w:r>
        <w:rPr>
          <w:rFonts w:ascii="Arial Unicode MS" w:eastAsia="Arial Unicode MS" w:hAnsi="Arial Unicode MS" w:cs="Arial Unicode MS"/>
          <w:color w:val="000000"/>
          <w:spacing w:val="0"/>
          <w:w w:val="100"/>
          <w:position w:val="0"/>
          <w:sz w:val="17"/>
          <w:szCs w:val="17"/>
        </w:rPr>
        <w:t>（1）</w:t>
      </w:r>
      <w:r>
        <w:rPr>
          <w:color w:val="000000"/>
          <w:spacing w:val="0"/>
          <w:w w:val="100"/>
          <w:position w:val="0"/>
        </w:rPr>
        <w:t>拆迁总体情况</w:t>
      </w:r>
    </w:p>
    <w:p>
      <w:pPr>
        <w:pStyle w:val="Style13"/>
        <w:keepNext w:val="0"/>
        <w:keepLines w:val="0"/>
        <w:widowControl w:val="0"/>
        <w:shd w:val="clear" w:color="auto" w:fill="auto"/>
        <w:bidi w:val="0"/>
        <w:spacing w:before="0" w:after="0" w:line="275" w:lineRule="exact"/>
        <w:ind w:left="0" w:right="0" w:firstLine="0"/>
        <w:jc w:val="left"/>
      </w:pPr>
      <w:r>
        <w:rPr>
          <w:rFonts w:ascii="Arial Unicode MS" w:eastAsia="Arial Unicode MS" w:hAnsi="Arial Unicode MS" w:cs="Arial Unicode MS"/>
          <w:color w:val="000000"/>
          <w:spacing w:val="0"/>
          <w:w w:val="100"/>
          <w:position w:val="0"/>
          <w:sz w:val="17"/>
          <w:szCs w:val="17"/>
        </w:rPr>
        <w:t>2013</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4</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12</w:t>
      </w:r>
      <w:r>
        <w:rPr>
          <w:color w:val="000000"/>
          <w:spacing w:val="0"/>
          <w:w w:val="100"/>
          <w:position w:val="0"/>
        </w:rPr>
        <w:t>日，公司、富润集团与诸暨市人民政府土地储备中心、诸暨市旧城改造管理委 员会办公室、诸暨市越都投资发展有限公司签订《毛纺厂区房屋征收补偿协议》，根据诸暨市 人民政府办公室</w:t>
      </w:r>
      <w:r>
        <w:rPr>
          <w:rFonts w:ascii="Arial Unicode MS" w:eastAsia="Arial Unicode MS" w:hAnsi="Arial Unicode MS" w:cs="Arial Unicode MS"/>
          <w:color w:val="000000"/>
          <w:spacing w:val="0"/>
          <w:w w:val="100"/>
          <w:position w:val="0"/>
          <w:sz w:val="17"/>
          <w:szCs w:val="17"/>
        </w:rPr>
        <w:t>[2013]29</w:t>
      </w:r>
      <w:r>
        <w:rPr>
          <w:color w:val="000000"/>
          <w:spacing w:val="0"/>
          <w:w w:val="100"/>
          <w:position w:val="0"/>
        </w:rPr>
        <w:t>号会议纪要精神及毛纺厂区内资产评估价值，约定毛纺厂区房屋及地 上附着物征收合计补偿</w:t>
      </w:r>
      <w:r>
        <w:rPr>
          <w:rFonts w:ascii="Arial Unicode MS" w:eastAsia="Arial Unicode MS" w:hAnsi="Arial Unicode MS" w:cs="Arial Unicode MS"/>
          <w:color w:val="000000"/>
          <w:spacing w:val="0"/>
          <w:w w:val="100"/>
          <w:position w:val="0"/>
          <w:sz w:val="17"/>
          <w:szCs w:val="17"/>
        </w:rPr>
        <w:t xml:space="preserve">240,955,123. </w:t>
      </w:r>
      <w:r>
        <w:rPr>
          <w:rFonts w:ascii="Arial Unicode MS" w:eastAsia="Arial Unicode MS" w:hAnsi="Arial Unicode MS" w:cs="Arial Unicode MS"/>
          <w:color w:val="000000"/>
          <w:spacing w:val="0"/>
          <w:w w:val="100"/>
          <w:position w:val="0"/>
          <w:sz w:val="17"/>
          <w:szCs w:val="17"/>
        </w:rPr>
        <w:t>00</w:t>
      </w:r>
      <w:r>
        <w:rPr>
          <w:color w:val="000000"/>
          <w:spacing w:val="0"/>
          <w:w w:val="100"/>
          <w:position w:val="0"/>
        </w:rPr>
        <w:t>元。补偿款按富润集团与公司提供的有关资产区分依据 结合资产评估报告进行区分并分别结算，富润集团和公司所属企业及承租户的设备设施、装修 等已包含在补偿总额中，由富润集团和公司负责补偿。根据上述原则确定的结算情况如下：</w:t>
      </w:r>
      <w:r>
        <w:br w:type="page"/>
      </w:r>
    </w:p>
    <w:tbl>
      <w:tblPr>
        <w:tblOverlap w:val="never"/>
        <w:jc w:val="left"/>
        <w:tblLayout w:type="fixed"/>
      </w:tblPr>
      <w:tblGrid>
        <w:gridCol w:w="2731"/>
        <w:gridCol w:w="1829"/>
        <w:gridCol w:w="1685"/>
        <w:gridCol w:w="2054"/>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富润集团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19,438,991.00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35,994,109.00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55,433,100.00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货币补偿奖励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16,333,715.00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23,650,548.00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39,984,263.00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构筑物及装饰装修补偿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2,252,508.00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16,484,988.00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18,737,496.00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3,023,356.00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42,777,940.00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45,801,296.00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水电气污水管补偿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4,211,286.00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4,211,286.00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停产、停业损失补助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5,371,394.00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8,643,657.00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14,015,051.00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签约、搬迁奖励及补助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9,710,596.00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13,419,024.00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23,129,620.00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低值易耗品搬迁补贴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1,467,836.00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1,227,603.00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2,695,439.00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职工集体宿舍搬迁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6,455,933.00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512,580.00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6,968,513.00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从业人员歇业补助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7,362,000.00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2,270,775.00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7,002,810.00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9,273,585.00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一百超市房屋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13,343,474.00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13,343,474.00</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81,222,578.00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159,732,545.00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240,955,123.00</w:t>
            </w:r>
          </w:p>
        </w:tc>
      </w:tr>
    </w:tbl>
    <w:p>
      <w:pPr>
        <w:widowControl w:val="0"/>
        <w:spacing w:after="239" w:line="1" w:lineRule="exact"/>
      </w:pP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截至</w:t>
      </w:r>
      <w:r>
        <w:rPr>
          <w:rFonts w:ascii="Arial Unicode MS" w:eastAsia="Arial Unicode MS" w:hAnsi="Arial Unicode MS" w:cs="Arial Unicode MS"/>
          <w:color w:val="000000"/>
          <w:spacing w:val="0"/>
          <w:w w:val="100"/>
          <w:position w:val="0"/>
          <w:sz w:val="17"/>
          <w:szCs w:val="17"/>
        </w:rPr>
        <w:t>2013</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12</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31</w:t>
      </w:r>
      <w:r>
        <w:rPr>
          <w:color w:val="000000"/>
          <w:spacing w:val="0"/>
          <w:w w:val="100"/>
          <w:position w:val="0"/>
        </w:rPr>
        <w:t>日，上述拆迁补偿款已全部到位，公司已将毛纺厂区移交。</w:t>
      </w:r>
    </w:p>
    <w:p>
      <w:pPr>
        <w:pStyle w:val="Style13"/>
        <w:keepNext w:val="0"/>
        <w:keepLines w:val="0"/>
        <w:widowControl w:val="0"/>
        <w:shd w:val="clear" w:color="auto" w:fill="auto"/>
        <w:bidi w:val="0"/>
        <w:spacing w:before="0" w:after="0" w:line="273" w:lineRule="exact"/>
        <w:ind w:left="0" w:right="0" w:firstLine="0"/>
        <w:jc w:val="left"/>
      </w:pPr>
      <w:r>
        <w:rPr>
          <w:rFonts w:ascii="Arial Unicode MS" w:eastAsia="Arial Unicode MS" w:hAnsi="Arial Unicode MS" w:cs="Arial Unicode MS"/>
          <w:color w:val="000000"/>
          <w:spacing w:val="0"/>
          <w:w w:val="100"/>
          <w:position w:val="0"/>
          <w:sz w:val="17"/>
          <w:szCs w:val="17"/>
        </w:rPr>
        <w:t>(2)</w:t>
      </w:r>
      <w:r>
        <w:rPr>
          <w:color w:val="000000"/>
          <w:spacing w:val="0"/>
          <w:w w:val="100"/>
          <w:position w:val="0"/>
        </w:rPr>
        <w:t>拆迁涉及资产情况及拆迁补偿款的分配</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因历史原因，上述拆迁涉及资产既涉及富润集团，也涉及公司及子公司纺织公司、海茂公司和 再生资源公司。根据纺织公司、海茂公司和再生资源公司分别与诸暨市旧城改造管理委员会办 公室、诸暨市越都投资发展有限公司签订的《毛纺厂区房屋征收补偿协议》的约定，纺织公司、 海茂公司和再生资源公司分别可获得补偿款</w:t>
      </w:r>
      <w:r>
        <w:rPr>
          <w:rFonts w:ascii="Arial Unicode MS" w:eastAsia="Arial Unicode MS" w:hAnsi="Arial Unicode MS" w:cs="Arial Unicode MS"/>
          <w:color w:val="000000"/>
          <w:spacing w:val="0"/>
          <w:w w:val="100"/>
          <w:position w:val="0"/>
          <w:sz w:val="17"/>
          <w:szCs w:val="17"/>
        </w:rPr>
        <w:t>65,665,003.00</w:t>
      </w:r>
      <w:r>
        <w:rPr>
          <w:color w:val="000000"/>
          <w:spacing w:val="0"/>
          <w:w w:val="100"/>
          <w:position w:val="0"/>
        </w:rPr>
        <w:t>元、</w:t>
      </w:r>
      <w:r>
        <w:rPr>
          <w:rFonts w:ascii="Arial Unicode MS" w:eastAsia="Arial Unicode MS" w:hAnsi="Arial Unicode MS" w:cs="Arial Unicode MS"/>
          <w:color w:val="000000"/>
          <w:spacing w:val="0"/>
          <w:w w:val="100"/>
          <w:position w:val="0"/>
          <w:sz w:val="17"/>
          <w:szCs w:val="17"/>
        </w:rPr>
        <w:t>18,540,096.00</w:t>
      </w:r>
      <w:r>
        <w:rPr>
          <w:color w:val="000000"/>
          <w:spacing w:val="0"/>
          <w:w w:val="100"/>
          <w:position w:val="0"/>
        </w:rPr>
        <w:t xml:space="preserve">元和 </w:t>
      </w:r>
      <w:r>
        <w:rPr>
          <w:rFonts w:ascii="Arial Unicode MS" w:eastAsia="Arial Unicode MS" w:hAnsi="Arial Unicode MS" w:cs="Arial Unicode MS"/>
          <w:color w:val="000000"/>
          <w:spacing w:val="0"/>
          <w:w w:val="100"/>
          <w:position w:val="0"/>
          <w:sz w:val="17"/>
          <w:szCs w:val="17"/>
        </w:rPr>
        <w:t xml:space="preserve">5,492,014.00 </w:t>
      </w:r>
      <w:r>
        <w:rPr>
          <w:color w:val="000000"/>
          <w:spacing w:val="0"/>
          <w:w w:val="100"/>
          <w:position w:val="0"/>
        </w:rPr>
        <w:t>元。</w:t>
      </w:r>
    </w:p>
    <w:p>
      <w:pPr>
        <w:pStyle w:val="Style13"/>
        <w:keepNext w:val="0"/>
        <w:keepLines w:val="0"/>
        <w:widowControl w:val="0"/>
        <w:shd w:val="clear" w:color="auto" w:fill="auto"/>
        <w:bidi w:val="0"/>
        <w:spacing w:before="0" w:after="300" w:line="273" w:lineRule="exact"/>
        <w:ind w:left="0" w:right="0" w:firstLine="0"/>
        <w:jc w:val="left"/>
      </w:pPr>
      <w:r>
        <w:rPr>
          <w:rFonts w:ascii="Arial Unicode MS" w:eastAsia="Arial Unicode MS" w:hAnsi="Arial Unicode MS" w:cs="Arial Unicode MS"/>
          <w:color w:val="000000"/>
          <w:spacing w:val="0"/>
          <w:w w:val="100"/>
          <w:position w:val="0"/>
          <w:sz w:val="17"/>
          <w:szCs w:val="17"/>
        </w:rPr>
        <w:t>2013</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5</w:t>
      </w:r>
      <w:r>
        <w:rPr>
          <w:color w:val="000000"/>
          <w:spacing w:val="0"/>
          <w:w w:val="100"/>
          <w:position w:val="0"/>
        </w:rPr>
        <w:t>月，本公司、富润集团与纺织公司、海茂公司和再生资源公司分别签订了《搬迁补偿 结算协议》，根据纺织公司、海茂公司和再生资源公司实际使用毛纺厂区房屋情况及从业人数 结算情况如下：</w:t>
      </w:r>
    </w:p>
    <w:tbl>
      <w:tblPr>
        <w:tblOverlap w:val="never"/>
        <w:jc w:val="center"/>
        <w:tblLayout w:type="fixed"/>
      </w:tblPr>
      <w:tblGrid>
        <w:gridCol w:w="1565"/>
        <w:gridCol w:w="1080"/>
        <w:gridCol w:w="946"/>
        <w:gridCol w:w="1090"/>
        <w:gridCol w:w="1032"/>
        <w:gridCol w:w="950"/>
        <w:gridCol w:w="1037"/>
        <w:gridCol w:w="979"/>
      </w:tblGrid>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被拆迁公司</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纺织公司</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海茂公司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再生资源 公司</w:t>
            </w: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富润集团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富润集团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824,339.00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824,339.00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116,047.00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116,047.00</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货币补偿奖励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rPr>
              <w:t xml:space="preserve">1,416,922.0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7" w:lineRule="auto"/>
              <w:ind w:left="0" w:right="0" w:firstLine="0"/>
              <w:jc w:val="both"/>
            </w:pPr>
            <w:r>
              <w:rPr>
                <w:rFonts w:ascii="Times New Roman" w:eastAsia="Times New Roman" w:hAnsi="Times New Roman" w:cs="Times New Roman"/>
                <w:color w:val="000000"/>
                <w:spacing w:val="0"/>
                <w:w w:val="100"/>
                <w:position w:val="0"/>
              </w:rPr>
              <w:t xml:space="preserve">1,416,922.0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305,947.00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305,947.00</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构筑物及装饰装 修补偿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10,815,808.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10,815,808.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1,310,852.0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1,310,852.0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27,045,402.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27,045,402.</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10,465,116.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10,465,116. </w:t>
            </w: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5,006,014. </w:t>
            </w:r>
            <w:r>
              <w:rPr>
                <w:rFonts w:ascii="Times New Roman" w:eastAsia="Times New Roman" w:hAnsi="Times New Roman" w:cs="Times New Roman"/>
                <w:color w:val="000000"/>
                <w:spacing w:val="0"/>
                <w:w w:val="100"/>
                <w:position w:val="0"/>
              </w:rPr>
              <w:t>00</w:t>
            </w:r>
          </w:p>
        </w:tc>
      </w:tr>
      <w:tr>
        <w:trPr>
          <w:trHeight w:val="57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水电气污水管补 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686,014.00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686,014.00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停产、停业损失 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6,453,202.0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1,818,723.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8,271,925.0</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875,775.00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1,011,700.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1,887,475.0 </w:t>
            </w: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签约、搬迁奖励 及补助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4,978,046.0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1,368,930.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6,346,976.0</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736,082.00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759,535.0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1,495,617.0</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低值易耗品搬迁 补贴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980,897.00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547,572.0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1,528,469.0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93,228.00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298,814.0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392,042.00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65"/>
        <w:gridCol w:w="1080"/>
        <w:gridCol w:w="946"/>
        <w:gridCol w:w="1090"/>
        <w:gridCol w:w="1032"/>
        <w:gridCol w:w="950"/>
        <w:gridCol w:w="1037"/>
        <w:gridCol w:w="979"/>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从业人员歇业补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3,792,000.0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3,792,000.0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rPr>
              <w:t xml:space="preserve">1,530,000.0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rPr>
              <w:t xml:space="preserve">1,542,000.0 </w:t>
            </w: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486,000.00</w:t>
            </w:r>
          </w:p>
        </w:tc>
      </w:tr>
      <w:tr>
        <w:trPr>
          <w:trHeight w:val="5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4,937,148.0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4,937,148.0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1,025,000.0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1,025,000.0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61,929,778.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3,735,225.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65,665,003.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16,458,047.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2,082,049.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18,540,096.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5,492,014.</w:t>
            </w:r>
          </w:p>
        </w:tc>
      </w:tr>
      <w:tr>
        <w:trPr>
          <w:trHeight w:val="25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r>
    </w:tbl>
    <w:p>
      <w:pPr>
        <w:pStyle w:val="Style19"/>
        <w:keepNext w:val="0"/>
        <w:keepLines w:val="0"/>
        <w:widowControl w:val="0"/>
        <w:shd w:val="clear" w:color="auto" w:fill="auto"/>
        <w:bidi w:val="0"/>
        <w:spacing w:before="0" w:after="0" w:line="240" w:lineRule="auto"/>
        <w:ind w:left="10" w:right="0" w:firstLine="0"/>
        <w:jc w:val="left"/>
      </w:pPr>
      <w:r>
        <w:rPr>
          <w:rFonts w:ascii="Arial Unicode MS" w:eastAsia="Arial Unicode MS" w:hAnsi="Arial Unicode MS" w:cs="Arial Unicode MS"/>
          <w:color w:val="000000"/>
          <w:spacing w:val="0"/>
          <w:w w:val="100"/>
          <w:position w:val="0"/>
          <w:sz w:val="17"/>
          <w:szCs w:val="17"/>
        </w:rPr>
        <w:t>(3)</w:t>
      </w:r>
      <w:r>
        <w:rPr>
          <w:color w:val="000000"/>
          <w:spacing w:val="0"/>
          <w:w w:val="100"/>
          <w:position w:val="0"/>
        </w:rPr>
        <w:t>会计处理情况</w:t>
      </w:r>
    </w:p>
    <w:p>
      <w:pPr>
        <w:widowControl w:val="0"/>
        <w:spacing w:after="279" w:line="1" w:lineRule="exact"/>
      </w:pPr>
    </w:p>
    <w:p>
      <w:pPr>
        <w:widowControl w:val="0"/>
        <w:spacing w:line="1" w:lineRule="exact"/>
      </w:pPr>
    </w:p>
    <w:tbl>
      <w:tblPr>
        <w:tblOverlap w:val="never"/>
        <w:jc w:val="center"/>
        <w:tblLayout w:type="fixed"/>
      </w:tblPr>
      <w:tblGrid>
        <w:gridCol w:w="2362"/>
        <w:gridCol w:w="1195"/>
        <w:gridCol w:w="1195"/>
        <w:gridCol w:w="1195"/>
        <w:gridCol w:w="1430"/>
        <w:gridCol w:w="1301"/>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海茂公司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再生资源公司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r>
      <w:tr>
        <w:trPr>
          <w:trHeight w:val="5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搬迁获得的收入总额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75,852,706.0</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65,665,003.0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18,540,096.0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6,479,014.00［</w:t>
            </w:r>
            <w:r>
              <w:rPr>
                <w:color w:val="000000"/>
                <w:spacing w:val="0"/>
                <w:w w:val="100"/>
                <w:position w:val="0"/>
              </w:rPr>
              <w:t>注</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166,536,819.0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减：拆迁固定资产净值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4,201,099.88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2,255,031.89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3,518,850.34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9,974,982.11</w:t>
            </w:r>
          </w:p>
        </w:tc>
      </w:tr>
      <w:tr>
        <w:trPr>
          <w:trHeight w:val="57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支付从业人员歇业补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5,808,000.00</w:t>
            </w:r>
          </w:p>
        </w:tc>
      </w:tr>
      <w:tr>
        <w:trPr>
          <w:trHeight w:val="5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搬迁费用等支出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870,030.92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23,545,495.5</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 ［</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449,898.14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1,227,524.78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26,092,949.35</w:t>
            </w:r>
          </w:p>
        </w:tc>
      </w:tr>
      <w:tr>
        <w:trPr>
          <w:trHeight w:val="52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确认资产处置净收益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70,781,575.2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36,072,475.6</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13,041,347.5</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4,765,489.22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124,660,887.5</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bl>
    <w:p>
      <w:pPr>
        <w:widowControl w:val="0"/>
        <w:spacing w:after="279" w:line="1" w:lineRule="exact"/>
      </w:pPr>
    </w:p>
    <w:p>
      <w:pPr>
        <w:pStyle w:val="Style13"/>
        <w:keepNext w:val="0"/>
        <w:keepLines w:val="0"/>
        <w:widowControl w:val="0"/>
        <w:shd w:val="clear" w:color="auto" w:fill="auto"/>
        <w:bidi w:val="0"/>
        <w:spacing w:before="0" w:after="40" w:line="274" w:lineRule="exact"/>
        <w:ind w:left="0" w:right="0" w:firstLine="0"/>
        <w:jc w:val="left"/>
      </w:pPr>
      <w:r>
        <w:rPr>
          <w:color w:val="000000"/>
          <w:spacing w:val="0"/>
          <w:w w:val="100"/>
          <w:position w:val="0"/>
        </w:rPr>
        <w:t>注：因再生资源公司租用纺织公司厂房进行生产，纺织公司收到拆迁补偿款后向其拨付</w:t>
      </w:r>
      <w:r>
        <w:rPr>
          <w:rFonts w:ascii="Arial Unicode MS" w:eastAsia="Arial Unicode MS" w:hAnsi="Arial Unicode MS" w:cs="Arial Unicode MS"/>
          <w:color w:val="000000"/>
          <w:spacing w:val="0"/>
          <w:w w:val="100"/>
          <w:position w:val="0"/>
          <w:sz w:val="17"/>
          <w:szCs w:val="17"/>
        </w:rPr>
        <w:t xml:space="preserve">98.70 </w:t>
      </w:r>
      <w:r>
        <w:rPr>
          <w:color w:val="000000"/>
          <w:spacing w:val="0"/>
          <w:w w:val="100"/>
          <w:position w:val="0"/>
        </w:rPr>
        <w:t>万^元。</w:t>
      </w:r>
    </w:p>
    <w:p>
      <w:pPr>
        <w:pStyle w:val="Style13"/>
        <w:keepNext w:val="0"/>
        <w:keepLines w:val="0"/>
        <w:widowControl w:val="0"/>
        <w:numPr>
          <w:ilvl w:val="0"/>
          <w:numId w:val="47"/>
        </w:numPr>
        <w:shd w:val="clear" w:color="auto" w:fill="auto"/>
        <w:bidi w:val="0"/>
        <w:spacing w:before="0" w:after="0" w:line="288" w:lineRule="auto"/>
        <w:ind w:left="0" w:right="0" w:firstLine="0"/>
        <w:jc w:val="left"/>
      </w:pPr>
      <w:bookmarkStart w:id="264" w:name="bookmark264"/>
      <w:bookmarkEnd w:id="264"/>
      <w:r>
        <w:rPr>
          <w:color w:val="000000"/>
          <w:spacing w:val="0"/>
          <w:w w:val="100"/>
          <w:position w:val="0"/>
        </w:rPr>
        <w:t>毛纺厂水厂和绢纺厂水厂</w:t>
      </w:r>
    </w:p>
    <w:p>
      <w:pPr>
        <w:pStyle w:val="Style13"/>
        <w:keepNext w:val="0"/>
        <w:keepLines w:val="0"/>
        <w:widowControl w:val="0"/>
        <w:numPr>
          <w:ilvl w:val="0"/>
          <w:numId w:val="49"/>
        </w:numPr>
        <w:shd w:val="clear" w:color="auto" w:fill="auto"/>
        <w:tabs>
          <w:tab w:pos="389" w:val="left"/>
        </w:tabs>
        <w:bidi w:val="0"/>
        <w:spacing w:before="0" w:after="0" w:line="288" w:lineRule="auto"/>
        <w:ind w:left="0" w:right="0" w:firstLine="0"/>
        <w:jc w:val="left"/>
      </w:pPr>
      <w:bookmarkStart w:id="265" w:name="bookmark265"/>
      <w:bookmarkEnd w:id="265"/>
      <w:r>
        <w:rPr>
          <w:color w:val="000000"/>
          <w:spacing w:val="0"/>
          <w:w w:val="100"/>
          <w:position w:val="0"/>
        </w:rPr>
        <w:t>拆迁总体情况</w:t>
      </w:r>
    </w:p>
    <w:p>
      <w:pPr>
        <w:pStyle w:val="Style13"/>
        <w:keepNext w:val="0"/>
        <w:keepLines w:val="0"/>
        <w:widowControl w:val="0"/>
        <w:shd w:val="clear" w:color="auto" w:fill="auto"/>
        <w:bidi w:val="0"/>
        <w:spacing w:before="0" w:after="40" w:line="274" w:lineRule="exact"/>
        <w:ind w:left="0" w:right="0" w:firstLine="0"/>
        <w:jc w:val="left"/>
      </w:pPr>
      <w:r>
        <w:rPr>
          <w:rFonts w:ascii="Arial Unicode MS" w:eastAsia="Arial Unicode MS" w:hAnsi="Arial Unicode MS" w:cs="Arial Unicode MS"/>
          <w:color w:val="000000"/>
          <w:spacing w:val="0"/>
          <w:w w:val="100"/>
          <w:position w:val="0"/>
          <w:sz w:val="17"/>
          <w:szCs w:val="17"/>
        </w:rPr>
        <w:t>2013</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4</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12</w:t>
      </w:r>
      <w:r>
        <w:rPr>
          <w:color w:val="000000"/>
          <w:spacing w:val="0"/>
          <w:w w:val="100"/>
          <w:position w:val="0"/>
        </w:rPr>
        <w:t xml:space="preserve">日，公司、富润集团与诸暨市人民政府土地储备中心、诸暨市旧城改造管理委 员会办公室、诸暨市越都投资发展有限公司签订《毛纺厂区(浙江针织厂)水厂土地房屋征收 补偿安置协议》和《绢纺厂区水厂土地房屋征收补偿安置协议》，根据诸暨市人民政府办公室 </w:t>
      </w:r>
      <w:r>
        <w:rPr>
          <w:rFonts w:ascii="Arial Unicode MS" w:eastAsia="Arial Unicode MS" w:hAnsi="Arial Unicode MS" w:cs="Arial Unicode MS"/>
          <w:color w:val="000000"/>
          <w:spacing w:val="0"/>
          <w:w w:val="100"/>
          <w:position w:val="0"/>
          <w:sz w:val="17"/>
          <w:szCs w:val="17"/>
        </w:rPr>
        <w:t>[2013]29</w:t>
      </w:r>
      <w:r>
        <w:rPr>
          <w:color w:val="000000"/>
          <w:spacing w:val="0"/>
          <w:w w:val="100"/>
          <w:position w:val="0"/>
        </w:rPr>
        <w:t>号会议纪要精神及水厂区内资产评估■价值，约定因毛纺厂水厂和绢纺厂水厂拆迁由公 司结算的补偿款分别为人民币</w:t>
      </w:r>
      <w:r>
        <w:rPr>
          <w:rFonts w:ascii="Arial Unicode MS" w:eastAsia="Arial Unicode MS" w:hAnsi="Arial Unicode MS" w:cs="Arial Unicode MS"/>
          <w:color w:val="000000"/>
          <w:spacing w:val="0"/>
          <w:w w:val="100"/>
          <w:position w:val="0"/>
          <w:sz w:val="17"/>
          <w:szCs w:val="17"/>
        </w:rPr>
        <w:t>3,575,303.00</w:t>
      </w:r>
      <w:r>
        <w:rPr>
          <w:color w:val="000000"/>
          <w:spacing w:val="0"/>
          <w:w w:val="100"/>
          <w:position w:val="0"/>
        </w:rPr>
        <w:t>元和</w:t>
      </w:r>
      <w:r>
        <w:rPr>
          <w:rFonts w:ascii="Arial Unicode MS" w:eastAsia="Arial Unicode MS" w:hAnsi="Arial Unicode MS" w:cs="Arial Unicode MS"/>
          <w:color w:val="000000"/>
          <w:spacing w:val="0"/>
          <w:w w:val="100"/>
          <w:position w:val="0"/>
          <w:sz w:val="17"/>
          <w:szCs w:val="17"/>
        </w:rPr>
        <w:t>1,631,359.00</w:t>
      </w:r>
      <w:r>
        <w:rPr>
          <w:color w:val="000000"/>
          <w:spacing w:val="0"/>
          <w:w w:val="100"/>
          <w:position w:val="0"/>
        </w:rPr>
        <w:t>元。截至</w:t>
      </w:r>
      <w:r>
        <w:rPr>
          <w:rFonts w:ascii="Arial Unicode MS" w:eastAsia="Arial Unicode MS" w:hAnsi="Arial Unicode MS" w:cs="Arial Unicode MS"/>
          <w:color w:val="000000"/>
          <w:spacing w:val="0"/>
          <w:w w:val="100"/>
          <w:position w:val="0"/>
          <w:sz w:val="17"/>
          <w:szCs w:val="17"/>
        </w:rPr>
        <w:t>2013</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12</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31</w:t>
      </w:r>
      <w:r>
        <w:rPr>
          <w:color w:val="000000"/>
          <w:spacing w:val="0"/>
          <w:w w:val="100"/>
          <w:position w:val="0"/>
        </w:rPr>
        <w:t>日， 上述拆迁补偿款已全部到位，公司已将毛纺厂水厂和绢纺厂水厂移交。</w:t>
      </w:r>
    </w:p>
    <w:p>
      <w:pPr>
        <w:pStyle w:val="Style13"/>
        <w:keepNext w:val="0"/>
        <w:keepLines w:val="0"/>
        <w:widowControl w:val="0"/>
        <w:numPr>
          <w:ilvl w:val="0"/>
          <w:numId w:val="49"/>
        </w:numPr>
        <w:shd w:val="clear" w:color="auto" w:fill="auto"/>
        <w:tabs>
          <w:tab w:pos="389" w:val="left"/>
        </w:tabs>
        <w:bidi w:val="0"/>
        <w:spacing w:before="0" w:after="0" w:line="288" w:lineRule="auto"/>
        <w:ind w:left="0" w:right="0" w:firstLine="0"/>
        <w:jc w:val="left"/>
      </w:pPr>
      <w:bookmarkStart w:id="266" w:name="bookmark266"/>
      <w:bookmarkEnd w:id="266"/>
      <w:r>
        <w:rPr>
          <w:color w:val="000000"/>
          <w:spacing w:val="0"/>
          <w:w w:val="100"/>
          <w:position w:val="0"/>
        </w:rPr>
        <w:t>拆迁涉及资产情况、拆迁补偿款的使用和会计处理</w:t>
      </w:r>
    </w:p>
    <w:p>
      <w:pPr>
        <w:pStyle w:val="Style13"/>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因历史原因，毛纺厂水厂的土地及房屋涉及公司和纺织公司。根据公司与纺织公司实际使用毛 纺厂水厂房屋情况，公司和纺织公司分别分配毛纺厂水厂拆迁补偿款</w:t>
      </w:r>
      <w:r>
        <w:rPr>
          <w:rFonts w:ascii="Arial Unicode MS" w:eastAsia="Arial Unicode MS" w:hAnsi="Arial Unicode MS" w:cs="Arial Unicode MS"/>
          <w:color w:val="000000"/>
          <w:spacing w:val="0"/>
          <w:w w:val="100"/>
          <w:position w:val="0"/>
          <w:sz w:val="17"/>
          <w:szCs w:val="17"/>
        </w:rPr>
        <w:t>3,327,738.00</w:t>
      </w:r>
      <w:r>
        <w:rPr>
          <w:color w:val="000000"/>
          <w:spacing w:val="0"/>
          <w:w w:val="100"/>
          <w:position w:val="0"/>
        </w:rPr>
        <w:t xml:space="preserve">元和 </w:t>
      </w:r>
      <w:r>
        <w:rPr>
          <w:rFonts w:ascii="Arial Unicode MS" w:eastAsia="Arial Unicode MS" w:hAnsi="Arial Unicode MS" w:cs="Arial Unicode MS"/>
          <w:color w:val="000000"/>
          <w:spacing w:val="0"/>
          <w:w w:val="100"/>
          <w:position w:val="0"/>
          <w:sz w:val="17"/>
          <w:szCs w:val="17"/>
        </w:rPr>
        <w:t>247,565.00</w:t>
      </w:r>
      <w:r>
        <w:rPr>
          <w:color w:val="000000"/>
          <w:spacing w:val="0"/>
          <w:w w:val="100"/>
          <w:position w:val="0"/>
        </w:rPr>
        <w:t>元。绢纺厂区水厂的土地及房屋仅公司使用，收到的拆迁补偿款全部归公司所有。 具体分配及会计处理如下：</w:t>
      </w:r>
    </w:p>
    <w:tbl>
      <w:tblPr>
        <w:tblOverlap w:val="never"/>
        <w:jc w:val="left"/>
        <w:tblLayout w:type="fixed"/>
      </w:tblPr>
      <w:tblGrid>
        <w:gridCol w:w="2491"/>
        <w:gridCol w:w="1229"/>
        <w:gridCol w:w="1560"/>
        <w:gridCol w:w="1560"/>
        <w:gridCol w:w="1426"/>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拆迁资产</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毛纺厂水厂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绢纺厂水厂</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分配单位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1,940,328.00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1,940,328.00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1,418,573.00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货币补偿奖励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291,049.00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291,049.00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212,786.00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水电气污水管补偿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1,002,686.00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1,002,686.00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停产、停业损失补助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116,420.00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签约、搬迁奖励及补助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131,145.00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93,675.00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224,820.00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拆迁补偿小计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247,565.00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3,327,738.00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3,575,303.00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1,631,359.00</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减：拆迁固定资产净值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361,385.71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361,385.71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154,184.93</w:t>
            </w:r>
          </w:p>
        </w:tc>
      </w:tr>
    </w:tbl>
    <w:p>
      <w:pPr>
        <w:widowControl w:val="0"/>
        <w:spacing w:line="1" w:lineRule="exact"/>
      </w:pPr>
    </w:p>
    <w:tbl>
      <w:tblPr>
        <w:tblOverlap w:val="never"/>
        <w:jc w:val="left"/>
        <w:tblLayout w:type="fixed"/>
      </w:tblPr>
      <w:tblGrid>
        <w:gridCol w:w="2491"/>
        <w:gridCol w:w="1229"/>
        <w:gridCol w:w="1560"/>
        <w:gridCol w:w="1560"/>
        <w:gridCol w:w="1426"/>
      </w:tblGrid>
      <w:tr>
        <w:trPr>
          <w:trHeight w:val="3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确认资产处置净收益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247,565.00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2,966,352.29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3,213,917.29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1,477,174.07</w:t>
            </w:r>
          </w:p>
        </w:tc>
      </w:tr>
    </w:tbl>
    <w:p>
      <w:pPr>
        <w:widowControl w:val="0"/>
        <w:spacing w:after="239" w:line="1" w:lineRule="exact"/>
      </w:pPr>
    </w:p>
    <w:p>
      <w:pPr>
        <w:pStyle w:val="Style13"/>
        <w:keepNext w:val="0"/>
        <w:keepLines w:val="0"/>
        <w:widowControl w:val="0"/>
        <w:shd w:val="clear" w:color="auto" w:fill="auto"/>
        <w:tabs>
          <w:tab w:pos="499" w:val="left"/>
        </w:tabs>
        <w:bidi w:val="0"/>
        <w:spacing w:before="0" w:after="0" w:line="275" w:lineRule="exact"/>
        <w:ind w:left="0" w:right="0" w:firstLine="0"/>
        <w:jc w:val="left"/>
      </w:pPr>
      <w:bookmarkStart w:id="267" w:name="bookmark267"/>
      <w:r>
        <w:rPr>
          <w:color w:val="000000"/>
          <w:spacing w:val="0"/>
          <w:w w:val="100"/>
          <w:position w:val="0"/>
        </w:rPr>
        <w:t>（</w:t>
      </w:r>
      <w:bookmarkEnd w:id="267"/>
      <w:r>
        <w:rPr>
          <w:color w:val="000000"/>
          <w:spacing w:val="0"/>
          <w:w w:val="100"/>
          <w:position w:val="0"/>
        </w:rPr>
        <w:t>八）</w:t>
        <w:tab/>
        <w:t>关于富森（香港）贸易有限公司</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经子公司纺织公司董事会审议批准，纺织公司拟在香港投资设立全资子公司富森（香港）贸易 有限公司。</w:t>
      </w:r>
    </w:p>
    <w:p>
      <w:pPr>
        <w:pStyle w:val="Style13"/>
        <w:keepNext w:val="0"/>
        <w:keepLines w:val="0"/>
        <w:widowControl w:val="0"/>
        <w:shd w:val="clear" w:color="auto" w:fill="auto"/>
        <w:bidi w:val="0"/>
        <w:spacing w:before="0" w:after="0" w:line="275" w:lineRule="exact"/>
        <w:ind w:left="0" w:right="0" w:firstLine="0"/>
        <w:jc w:val="left"/>
      </w:pPr>
      <w:r>
        <w:rPr>
          <w:rFonts w:ascii="Arial Unicode MS" w:eastAsia="Arial Unicode MS" w:hAnsi="Arial Unicode MS" w:cs="Arial Unicode MS"/>
          <w:color w:val="000000"/>
          <w:spacing w:val="0"/>
          <w:w w:val="100"/>
          <w:position w:val="0"/>
          <w:sz w:val="17"/>
          <w:szCs w:val="17"/>
        </w:rPr>
        <w:t>2011</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7</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18</w:t>
      </w:r>
      <w:r>
        <w:rPr>
          <w:color w:val="000000"/>
          <w:spacing w:val="0"/>
          <w:w w:val="100"/>
          <w:position w:val="0"/>
        </w:rPr>
        <w:t xml:space="preserve">日，富森（香港）贸易有限公司在香港注册成立，创办成员为自然人杨利永。 </w:t>
      </w:r>
      <w:r>
        <w:rPr>
          <w:rFonts w:ascii="Arial Unicode MS" w:eastAsia="Arial Unicode MS" w:hAnsi="Arial Unicode MS" w:cs="Arial Unicode MS"/>
          <w:color w:val="000000"/>
          <w:spacing w:val="0"/>
          <w:w w:val="100"/>
          <w:position w:val="0"/>
          <w:sz w:val="17"/>
          <w:szCs w:val="17"/>
        </w:rPr>
        <w:t>2011</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9</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29</w:t>
      </w:r>
      <w:r>
        <w:rPr>
          <w:color w:val="000000"/>
          <w:spacing w:val="0"/>
          <w:w w:val="100"/>
          <w:position w:val="0"/>
        </w:rPr>
        <w:t>日，公司取得商务部颁发的商境外投资证第</w:t>
      </w:r>
      <w:r>
        <w:rPr>
          <w:rFonts w:ascii="Arial Unicode MS" w:eastAsia="Arial Unicode MS" w:hAnsi="Arial Unicode MS" w:cs="Arial Unicode MS"/>
          <w:color w:val="000000"/>
          <w:spacing w:val="0"/>
          <w:w w:val="100"/>
          <w:position w:val="0"/>
          <w:sz w:val="17"/>
          <w:szCs w:val="17"/>
        </w:rPr>
        <w:t>3300201100343</w:t>
      </w:r>
      <w:r>
        <w:rPr>
          <w:color w:val="000000"/>
          <w:spacing w:val="0"/>
          <w:w w:val="100"/>
          <w:position w:val="0"/>
        </w:rPr>
        <w:t>号《企业境外投资 证书》，批准投资设立富森（香港）贸易有限公司，投资总额为</w:t>
      </w:r>
      <w:r>
        <w:rPr>
          <w:rFonts w:ascii="Arial Unicode MS" w:eastAsia="Arial Unicode MS" w:hAnsi="Arial Unicode MS" w:cs="Arial Unicode MS"/>
          <w:color w:val="000000"/>
          <w:spacing w:val="0"/>
          <w:w w:val="100"/>
          <w:position w:val="0"/>
          <w:sz w:val="17"/>
          <w:szCs w:val="17"/>
        </w:rPr>
        <w:t>30</w:t>
      </w:r>
      <w:r>
        <w:rPr>
          <w:color w:val="000000"/>
          <w:spacing w:val="0"/>
          <w:w w:val="100"/>
          <w:position w:val="0"/>
        </w:rPr>
        <w:t>万美元。</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截至</w:t>
      </w:r>
      <w:r>
        <w:rPr>
          <w:rFonts w:ascii="Arial Unicode MS" w:eastAsia="Arial Unicode MS" w:hAnsi="Arial Unicode MS" w:cs="Arial Unicode MS"/>
          <w:color w:val="000000"/>
          <w:spacing w:val="0"/>
          <w:w w:val="100"/>
          <w:position w:val="0"/>
          <w:sz w:val="17"/>
          <w:szCs w:val="17"/>
        </w:rPr>
        <w:t>2014</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3</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31</w:t>
      </w:r>
      <w:r>
        <w:rPr>
          <w:color w:val="000000"/>
          <w:spacing w:val="0"/>
          <w:w w:val="100"/>
          <w:position w:val="0"/>
        </w:rPr>
        <w:t>日，富森（香港）贸易有限公司尚未在香港公司注册处办理创办人变更手 续。</w:t>
      </w:r>
    </w:p>
    <w:p>
      <w:pPr>
        <w:pStyle w:val="Style13"/>
        <w:keepNext w:val="0"/>
        <w:keepLines w:val="0"/>
        <w:widowControl w:val="0"/>
        <w:shd w:val="clear" w:color="auto" w:fill="auto"/>
        <w:tabs>
          <w:tab w:pos="499" w:val="left"/>
        </w:tabs>
        <w:bidi w:val="0"/>
        <w:spacing w:before="0" w:after="0" w:line="275" w:lineRule="exact"/>
        <w:ind w:left="0" w:right="0" w:firstLine="0"/>
        <w:jc w:val="left"/>
      </w:pPr>
      <w:bookmarkStart w:id="268" w:name="bookmark268"/>
      <w:r>
        <w:rPr>
          <w:color w:val="000000"/>
          <w:spacing w:val="0"/>
          <w:w w:val="100"/>
          <w:position w:val="0"/>
        </w:rPr>
        <w:t>（</w:t>
      </w:r>
      <w:bookmarkEnd w:id="268"/>
      <w:r>
        <w:rPr>
          <w:color w:val="000000"/>
          <w:spacing w:val="0"/>
          <w:w w:val="100"/>
          <w:position w:val="0"/>
        </w:rPr>
        <w:t>九）</w:t>
        <w:tab/>
        <w:t>关于对上峰建材增资并重组</w:t>
      </w:r>
      <w:r>
        <w:rPr>
          <w:rFonts w:ascii="Arial Unicode MS" w:eastAsia="Arial Unicode MS" w:hAnsi="Arial Unicode MS" w:cs="Arial Unicode MS"/>
          <w:color w:val="000000"/>
          <w:spacing w:val="0"/>
          <w:w w:val="100"/>
          <w:position w:val="0"/>
          <w:sz w:val="17"/>
          <w:szCs w:val="17"/>
        </w:rPr>
        <w:t>*ST</w:t>
      </w:r>
      <w:r>
        <w:rPr>
          <w:color w:val="000000"/>
          <w:spacing w:val="0"/>
          <w:w w:val="100"/>
          <w:position w:val="0"/>
        </w:rPr>
        <w:t>铜城事项</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公司于</w:t>
      </w:r>
      <w:r>
        <w:rPr>
          <w:rFonts w:ascii="Arial Unicode MS" w:eastAsia="Arial Unicode MS" w:hAnsi="Arial Unicode MS" w:cs="Arial Unicode MS"/>
          <w:color w:val="000000"/>
          <w:spacing w:val="0"/>
          <w:w w:val="100"/>
          <w:position w:val="0"/>
          <w:sz w:val="17"/>
          <w:szCs w:val="17"/>
        </w:rPr>
        <w:t>2004</w:t>
      </w:r>
      <w:r>
        <w:rPr>
          <w:color w:val="000000"/>
          <w:spacing w:val="0"/>
          <w:w w:val="100"/>
          <w:position w:val="0"/>
        </w:rPr>
        <w:t>年出资人民币</w:t>
      </w:r>
      <w:r>
        <w:rPr>
          <w:rFonts w:ascii="Arial Unicode MS" w:eastAsia="Arial Unicode MS" w:hAnsi="Arial Unicode MS" w:cs="Arial Unicode MS"/>
          <w:color w:val="000000"/>
          <w:spacing w:val="0"/>
          <w:w w:val="100"/>
          <w:position w:val="0"/>
          <w:sz w:val="17"/>
          <w:szCs w:val="17"/>
        </w:rPr>
        <w:t xml:space="preserve">3, </w:t>
      </w:r>
      <w:r>
        <w:rPr>
          <w:rFonts w:ascii="Arial Unicode MS" w:eastAsia="Arial Unicode MS" w:hAnsi="Arial Unicode MS" w:cs="Arial Unicode MS"/>
          <w:color w:val="000000"/>
          <w:spacing w:val="0"/>
          <w:w w:val="100"/>
          <w:position w:val="0"/>
          <w:sz w:val="17"/>
          <w:szCs w:val="17"/>
        </w:rPr>
        <w:t>755.21</w:t>
      </w:r>
      <w:r>
        <w:rPr>
          <w:color w:val="000000"/>
          <w:spacing w:val="0"/>
          <w:w w:val="100"/>
          <w:position w:val="0"/>
        </w:rPr>
        <w:t>万元参股安徽铜陵上峰水泥股份有限公司（简称铜陵上峰）， 持股比例为</w:t>
      </w:r>
      <w:r>
        <w:rPr>
          <w:rFonts w:ascii="Arial Unicode MS" w:eastAsia="Arial Unicode MS" w:hAnsi="Arial Unicode MS" w:cs="Arial Unicode MS"/>
          <w:color w:val="000000"/>
          <w:spacing w:val="0"/>
          <w:w w:val="100"/>
          <w:position w:val="0"/>
          <w:sz w:val="17"/>
          <w:szCs w:val="17"/>
        </w:rPr>
        <w:t>14.50%</w:t>
      </w:r>
      <w:r>
        <w:rPr>
          <w:color w:val="000000"/>
          <w:spacing w:val="0"/>
          <w:w w:val="100"/>
          <w:position w:val="0"/>
        </w:rPr>
        <w:t>。</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根据</w:t>
      </w:r>
      <w:r>
        <w:rPr>
          <w:rFonts w:ascii="Arial Unicode MS" w:eastAsia="Arial Unicode MS" w:hAnsi="Arial Unicode MS" w:cs="Arial Unicode MS"/>
          <w:color w:val="000000"/>
          <w:spacing w:val="0"/>
          <w:w w:val="100"/>
          <w:position w:val="0"/>
          <w:sz w:val="17"/>
          <w:szCs w:val="17"/>
        </w:rPr>
        <w:t>2012</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8</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21</w:t>
      </w:r>
      <w:r>
        <w:rPr>
          <w:color w:val="000000"/>
          <w:spacing w:val="0"/>
          <w:w w:val="100"/>
          <w:position w:val="0"/>
        </w:rPr>
        <w:t>日公司与上峰建材、上峰控股、铜峰有色金属集团控股有限公司（简称铜 陵有色控股）签订《上峰建材增资协议书》，公司与上峰控股、铜陵有色控股分别以其持有铜 陵上峰</w:t>
      </w:r>
      <w:r>
        <w:rPr>
          <w:rFonts w:ascii="Arial Unicode MS" w:eastAsia="Arial Unicode MS" w:hAnsi="Arial Unicode MS" w:cs="Arial Unicode MS"/>
          <w:color w:val="000000"/>
          <w:spacing w:val="0"/>
          <w:w w:val="100"/>
          <w:position w:val="0"/>
          <w:sz w:val="17"/>
          <w:szCs w:val="17"/>
        </w:rPr>
        <w:t>14.5%</w:t>
      </w:r>
      <w:r>
        <w:rPr>
          <w:color w:val="000000"/>
          <w:spacing w:val="0"/>
          <w:w w:val="100"/>
          <w:position w:val="0"/>
        </w:rPr>
        <w:t>、</w:t>
      </w:r>
      <w:r>
        <w:rPr>
          <w:rFonts w:ascii="Arial Unicode MS" w:eastAsia="Arial Unicode MS" w:hAnsi="Arial Unicode MS" w:cs="Arial Unicode MS"/>
          <w:color w:val="000000"/>
          <w:spacing w:val="0"/>
          <w:w w:val="100"/>
          <w:position w:val="0"/>
          <w:sz w:val="17"/>
          <w:szCs w:val="17"/>
        </w:rPr>
        <w:t>29%</w:t>
      </w:r>
      <w:r>
        <w:rPr>
          <w:color w:val="000000"/>
          <w:spacing w:val="0"/>
          <w:w w:val="100"/>
          <w:position w:val="0"/>
        </w:rPr>
        <w:t>、</w:t>
      </w:r>
      <w:r>
        <w:rPr>
          <w:rFonts w:ascii="Arial Unicode MS" w:eastAsia="Arial Unicode MS" w:hAnsi="Arial Unicode MS" w:cs="Arial Unicode MS"/>
          <w:color w:val="000000"/>
          <w:spacing w:val="0"/>
          <w:w w:val="100"/>
          <w:position w:val="0"/>
          <w:sz w:val="17"/>
          <w:szCs w:val="17"/>
        </w:rPr>
        <w:t>21%</w:t>
      </w:r>
      <w:r>
        <w:rPr>
          <w:color w:val="000000"/>
          <w:spacing w:val="0"/>
          <w:w w:val="100"/>
          <w:position w:val="0"/>
        </w:rPr>
        <w:t>的股权及上峰控股的部分水泥资产共同向上峰建材增资</w:t>
      </w:r>
      <w:r>
        <w:rPr>
          <w:rFonts w:ascii="Arial Unicode MS" w:eastAsia="Arial Unicode MS" w:hAnsi="Arial Unicode MS" w:cs="Arial Unicode MS"/>
          <w:color w:val="000000"/>
          <w:spacing w:val="0"/>
          <w:w w:val="100"/>
          <w:position w:val="0"/>
          <w:sz w:val="17"/>
          <w:szCs w:val="17"/>
        </w:rPr>
        <w:t>11,600</w:t>
      </w:r>
      <w:r>
        <w:rPr>
          <w:color w:val="000000"/>
          <w:spacing w:val="0"/>
          <w:w w:val="100"/>
          <w:position w:val="0"/>
        </w:rPr>
        <w:t>万元。 增资完成后，公司持有上峰建材</w:t>
      </w:r>
      <w:r>
        <w:rPr>
          <w:rFonts w:ascii="Arial Unicode MS" w:eastAsia="Arial Unicode MS" w:hAnsi="Arial Unicode MS" w:cs="Arial Unicode MS"/>
          <w:color w:val="000000"/>
          <w:spacing w:val="0"/>
          <w:w w:val="100"/>
          <w:position w:val="0"/>
          <w:sz w:val="17"/>
          <w:szCs w:val="17"/>
        </w:rPr>
        <w:t>17.04%</w:t>
      </w:r>
      <w:r>
        <w:rPr>
          <w:color w:val="000000"/>
          <w:spacing w:val="0"/>
          <w:w w:val="100"/>
          <w:position w:val="0"/>
        </w:rPr>
        <w:t>的股权，上峰建材持有铜陵上峰</w:t>
      </w:r>
      <w:r>
        <w:rPr>
          <w:rFonts w:ascii="Arial Unicode MS" w:eastAsia="Arial Unicode MS" w:hAnsi="Arial Unicode MS" w:cs="Arial Unicode MS"/>
          <w:color w:val="000000"/>
          <w:spacing w:val="0"/>
          <w:w w:val="100"/>
          <w:position w:val="0"/>
          <w:sz w:val="17"/>
          <w:szCs w:val="17"/>
        </w:rPr>
        <w:t>64.5%</w:t>
      </w:r>
      <w:r>
        <w:rPr>
          <w:color w:val="000000"/>
          <w:spacing w:val="0"/>
          <w:w w:val="100"/>
          <w:position w:val="0"/>
        </w:rPr>
        <w:t>的股份。上峰建 材于</w:t>
      </w:r>
      <w:r>
        <w:rPr>
          <w:rFonts w:ascii="Arial Unicode MS" w:eastAsia="Arial Unicode MS" w:hAnsi="Arial Unicode MS" w:cs="Arial Unicode MS"/>
          <w:color w:val="000000"/>
          <w:spacing w:val="0"/>
          <w:w w:val="100"/>
          <w:position w:val="0"/>
          <w:sz w:val="17"/>
          <w:szCs w:val="17"/>
        </w:rPr>
        <w:t>2012</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8</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28</w:t>
      </w:r>
      <w:r>
        <w:rPr>
          <w:color w:val="000000"/>
          <w:spacing w:val="0"/>
          <w:w w:val="100"/>
          <w:position w:val="0"/>
        </w:rPr>
        <w:t>日办妥上述工商变更登记手续。</w:t>
      </w:r>
    </w:p>
    <w:p>
      <w:pPr>
        <w:pStyle w:val="Style13"/>
        <w:keepNext w:val="0"/>
        <w:keepLines w:val="0"/>
        <w:widowControl w:val="0"/>
        <w:shd w:val="clear" w:color="auto" w:fill="auto"/>
        <w:bidi w:val="0"/>
        <w:spacing w:before="0" w:after="0" w:line="275" w:lineRule="exact"/>
        <w:ind w:left="0" w:right="0" w:firstLine="0"/>
        <w:jc w:val="left"/>
      </w:pPr>
      <w:r>
        <w:rPr>
          <w:rFonts w:ascii="Arial Unicode MS" w:eastAsia="Arial Unicode MS" w:hAnsi="Arial Unicode MS" w:cs="Arial Unicode MS"/>
          <w:color w:val="000000"/>
          <w:spacing w:val="0"/>
          <w:w w:val="100"/>
          <w:position w:val="0"/>
          <w:sz w:val="17"/>
          <w:szCs w:val="17"/>
        </w:rPr>
        <w:t>2012</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8</w:t>
      </w:r>
      <w:r>
        <w:rPr>
          <w:color w:val="000000"/>
          <w:spacing w:val="0"/>
          <w:w w:val="100"/>
          <w:position w:val="0"/>
        </w:rPr>
        <w:t>月白银铜城商厦（集团）股份有限公司（以下简称</w:t>
      </w:r>
      <w:r>
        <w:rPr>
          <w:rFonts w:ascii="Arial Unicode MS" w:eastAsia="Arial Unicode MS" w:hAnsi="Arial Unicode MS" w:cs="Arial Unicode MS"/>
          <w:color w:val="000000"/>
          <w:spacing w:val="0"/>
          <w:w w:val="100"/>
          <w:position w:val="0"/>
          <w:sz w:val="17"/>
          <w:szCs w:val="17"/>
        </w:rPr>
        <w:t>*ST</w:t>
      </w:r>
      <w:r>
        <w:rPr>
          <w:color w:val="000000"/>
          <w:spacing w:val="0"/>
          <w:w w:val="100"/>
          <w:position w:val="0"/>
        </w:rPr>
        <w:t>铜城）拟以非公开发行股份方 式购买本公司及其他权益人上峰控股、铜陵有色控股拥有的上峰建材</w:t>
      </w:r>
      <w:r>
        <w:rPr>
          <w:rFonts w:ascii="Arial Unicode MS" w:eastAsia="Arial Unicode MS" w:hAnsi="Arial Unicode MS" w:cs="Arial Unicode MS"/>
          <w:color w:val="000000"/>
          <w:spacing w:val="0"/>
          <w:w w:val="100"/>
          <w:position w:val="0"/>
          <w:sz w:val="17"/>
          <w:szCs w:val="17"/>
        </w:rPr>
        <w:t>100%</w:t>
      </w:r>
      <w:r>
        <w:rPr>
          <w:color w:val="000000"/>
          <w:spacing w:val="0"/>
          <w:w w:val="100"/>
          <w:position w:val="0"/>
        </w:rPr>
        <w:t>股权、南方水泥有 限公司（以下简称南方水泥）拥有的铜陵上峰</w:t>
      </w:r>
      <w:r>
        <w:rPr>
          <w:rFonts w:ascii="Arial Unicode MS" w:eastAsia="Arial Unicode MS" w:hAnsi="Arial Unicode MS" w:cs="Arial Unicode MS"/>
          <w:color w:val="000000"/>
          <w:spacing w:val="0"/>
          <w:w w:val="100"/>
          <w:position w:val="0"/>
          <w:sz w:val="17"/>
          <w:szCs w:val="17"/>
        </w:rPr>
        <w:t>35.5%</w:t>
      </w:r>
      <w:r>
        <w:rPr>
          <w:color w:val="000000"/>
          <w:spacing w:val="0"/>
          <w:w w:val="100"/>
          <w:position w:val="0"/>
        </w:rPr>
        <w:t xml:space="preserve">的股份，购买资产的股份发行价格确定为 </w:t>
      </w:r>
      <w:r>
        <w:rPr>
          <w:rFonts w:ascii="Arial Unicode MS" w:eastAsia="Arial Unicode MS" w:hAnsi="Arial Unicode MS" w:cs="Arial Unicode MS"/>
          <w:color w:val="000000"/>
          <w:spacing w:val="0"/>
          <w:w w:val="100"/>
          <w:position w:val="0"/>
          <w:sz w:val="17"/>
          <w:szCs w:val="17"/>
        </w:rPr>
        <w:t>3.69</w:t>
      </w:r>
      <w:r>
        <w:rPr>
          <w:color w:val="000000"/>
          <w:spacing w:val="0"/>
          <w:w w:val="100"/>
          <w:position w:val="0"/>
        </w:rPr>
        <w:t>元</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股。本公司以持有上峰建材</w:t>
      </w:r>
      <w:r>
        <w:rPr>
          <w:rFonts w:ascii="Arial Unicode MS" w:eastAsia="Arial Unicode MS" w:hAnsi="Arial Unicode MS" w:cs="Arial Unicode MS"/>
          <w:color w:val="000000"/>
          <w:spacing w:val="0"/>
          <w:w w:val="100"/>
          <w:position w:val="0"/>
          <w:sz w:val="17"/>
          <w:szCs w:val="17"/>
        </w:rPr>
        <w:t>17.04%</w:t>
      </w:r>
      <w:r>
        <w:rPr>
          <w:color w:val="000000"/>
          <w:spacing w:val="0"/>
          <w:w w:val="100"/>
          <w:position w:val="0"/>
        </w:rPr>
        <w:t>的股权认购</w:t>
      </w:r>
      <w:r>
        <w:rPr>
          <w:rFonts w:ascii="Arial Unicode MS" w:eastAsia="Arial Unicode MS" w:hAnsi="Arial Unicode MS" w:cs="Arial Unicode MS"/>
          <w:color w:val="000000"/>
          <w:spacing w:val="0"/>
          <w:w w:val="100"/>
          <w:position w:val="0"/>
          <w:sz w:val="17"/>
          <w:szCs w:val="17"/>
        </w:rPr>
        <w:t>*ST</w:t>
      </w:r>
      <w:r>
        <w:rPr>
          <w:color w:val="000000"/>
          <w:spacing w:val="0"/>
          <w:w w:val="100"/>
          <w:position w:val="0"/>
        </w:rPr>
        <w:t>铜城相应价值的本次新发行的</w:t>
      </w:r>
      <w:r>
        <w:rPr>
          <w:rFonts w:ascii="Arial Unicode MS" w:eastAsia="Arial Unicode MS" w:hAnsi="Arial Unicode MS" w:cs="Arial Unicode MS"/>
          <w:color w:val="000000"/>
          <w:spacing w:val="0"/>
          <w:w w:val="100"/>
          <w:position w:val="0"/>
          <w:sz w:val="17"/>
          <w:szCs w:val="17"/>
        </w:rPr>
        <w:t>A</w:t>
      </w:r>
      <w:r>
        <w:rPr>
          <w:color w:val="000000"/>
          <w:spacing w:val="0"/>
          <w:w w:val="100"/>
          <w:position w:val="0"/>
        </w:rPr>
        <w:t>股 股份。各方签署《发行股份购买资产协议书》</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并约定过渡期为自</w:t>
      </w:r>
      <w:r>
        <w:rPr>
          <w:rFonts w:ascii="Arial Unicode MS" w:eastAsia="Arial Unicode MS" w:hAnsi="Arial Unicode MS" w:cs="Arial Unicode MS"/>
          <w:color w:val="000000"/>
          <w:spacing w:val="0"/>
          <w:w w:val="100"/>
          <w:position w:val="0"/>
          <w:sz w:val="17"/>
          <w:szCs w:val="17"/>
        </w:rPr>
        <w:t>2012</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9</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1</w:t>
      </w:r>
      <w:r>
        <w:rPr>
          <w:color w:val="000000"/>
          <w:spacing w:val="0"/>
          <w:w w:val="100"/>
          <w:position w:val="0"/>
        </w:rPr>
        <w:t>日起至交割完 成日止的期间。过渡期内，</w:t>
      </w:r>
      <w:r>
        <w:rPr>
          <w:rFonts w:ascii="Arial Unicode MS" w:eastAsia="Arial Unicode MS" w:hAnsi="Arial Unicode MS" w:cs="Arial Unicode MS"/>
          <w:color w:val="000000"/>
          <w:spacing w:val="0"/>
          <w:w w:val="100"/>
          <w:position w:val="0"/>
          <w:sz w:val="17"/>
          <w:szCs w:val="17"/>
        </w:rPr>
        <w:t>*ST</w:t>
      </w:r>
      <w:r>
        <w:rPr>
          <w:color w:val="000000"/>
          <w:spacing w:val="0"/>
          <w:w w:val="100"/>
          <w:position w:val="0"/>
        </w:rPr>
        <w:t>铜城购买的上峰建材</w:t>
      </w:r>
      <w:r>
        <w:rPr>
          <w:rFonts w:ascii="Arial Unicode MS" w:eastAsia="Arial Unicode MS" w:hAnsi="Arial Unicode MS" w:cs="Arial Unicode MS"/>
          <w:color w:val="000000"/>
          <w:spacing w:val="0"/>
          <w:w w:val="100"/>
          <w:position w:val="0"/>
          <w:sz w:val="17"/>
          <w:szCs w:val="17"/>
        </w:rPr>
        <w:t>100%</w:t>
      </w:r>
      <w:r>
        <w:rPr>
          <w:color w:val="000000"/>
          <w:spacing w:val="0"/>
          <w:w w:val="100"/>
          <w:position w:val="0"/>
        </w:rPr>
        <w:t>的股权和铜陵上峰</w:t>
      </w:r>
      <w:r>
        <w:rPr>
          <w:rFonts w:ascii="Arial Unicode MS" w:eastAsia="Arial Unicode MS" w:hAnsi="Arial Unicode MS" w:cs="Arial Unicode MS"/>
          <w:color w:val="000000"/>
          <w:spacing w:val="0"/>
          <w:w w:val="100"/>
          <w:position w:val="0"/>
          <w:sz w:val="17"/>
          <w:szCs w:val="17"/>
        </w:rPr>
        <w:t>35.5%</w:t>
      </w:r>
      <w:r>
        <w:rPr>
          <w:color w:val="000000"/>
          <w:spacing w:val="0"/>
          <w:w w:val="100"/>
          <w:position w:val="0"/>
        </w:rPr>
        <w:t>的股份产生 的收益均由</w:t>
      </w:r>
      <w:r>
        <w:rPr>
          <w:rFonts w:ascii="Arial Unicode MS" w:eastAsia="Arial Unicode MS" w:hAnsi="Arial Unicode MS" w:cs="Arial Unicode MS"/>
          <w:color w:val="000000"/>
          <w:spacing w:val="0"/>
          <w:w w:val="100"/>
          <w:position w:val="0"/>
          <w:sz w:val="17"/>
          <w:szCs w:val="17"/>
        </w:rPr>
        <w:t>*ST</w:t>
      </w:r>
      <w:r>
        <w:rPr>
          <w:color w:val="000000"/>
          <w:spacing w:val="0"/>
          <w:w w:val="100"/>
          <w:position w:val="0"/>
        </w:rPr>
        <w:t>铜城享有，</w:t>
      </w:r>
      <w:r>
        <w:rPr>
          <w:rFonts w:ascii="Arial Unicode MS" w:eastAsia="Arial Unicode MS" w:hAnsi="Arial Unicode MS" w:cs="Arial Unicode MS"/>
          <w:color w:val="000000"/>
          <w:spacing w:val="0"/>
          <w:w w:val="100"/>
          <w:position w:val="0"/>
          <w:sz w:val="17"/>
          <w:szCs w:val="17"/>
        </w:rPr>
        <w:t>*ST</w:t>
      </w:r>
      <w:r>
        <w:rPr>
          <w:color w:val="000000"/>
          <w:spacing w:val="0"/>
          <w:w w:val="100"/>
          <w:position w:val="0"/>
        </w:rPr>
        <w:t>铜城购买上峰建材</w:t>
      </w:r>
      <w:r>
        <w:rPr>
          <w:rFonts w:ascii="Arial Unicode MS" w:eastAsia="Arial Unicode MS" w:hAnsi="Arial Unicode MS" w:cs="Arial Unicode MS"/>
          <w:color w:val="000000"/>
          <w:spacing w:val="0"/>
          <w:w w:val="100"/>
          <w:position w:val="0"/>
          <w:sz w:val="17"/>
          <w:szCs w:val="17"/>
        </w:rPr>
        <w:t>100%</w:t>
      </w:r>
      <w:r>
        <w:rPr>
          <w:color w:val="000000"/>
          <w:spacing w:val="0"/>
          <w:w w:val="100"/>
          <w:position w:val="0"/>
        </w:rPr>
        <w:t>的股权产生的亏损由上峰控股、铜陵有 色控股、本公司按照其各自持有的上峰建材股权比例以现金补足，</w:t>
      </w:r>
      <w:r>
        <w:rPr>
          <w:rFonts w:ascii="Arial Unicode MS" w:eastAsia="Arial Unicode MS" w:hAnsi="Arial Unicode MS" w:cs="Arial Unicode MS"/>
          <w:color w:val="000000"/>
          <w:spacing w:val="0"/>
          <w:w w:val="100"/>
          <w:position w:val="0"/>
          <w:sz w:val="17"/>
          <w:szCs w:val="17"/>
        </w:rPr>
        <w:t>*ST</w:t>
      </w:r>
      <w:r>
        <w:rPr>
          <w:color w:val="000000"/>
          <w:spacing w:val="0"/>
          <w:w w:val="100"/>
          <w:position w:val="0"/>
        </w:rPr>
        <w:t>铜城购买铜陵上峰</w:t>
      </w:r>
      <w:r>
        <w:rPr>
          <w:rFonts w:ascii="Arial Unicode MS" w:eastAsia="Arial Unicode MS" w:hAnsi="Arial Unicode MS" w:cs="Arial Unicode MS"/>
          <w:color w:val="000000"/>
          <w:spacing w:val="0"/>
          <w:w w:val="100"/>
          <w:position w:val="0"/>
          <w:sz w:val="17"/>
          <w:szCs w:val="17"/>
        </w:rPr>
        <w:t xml:space="preserve">35.5% </w:t>
      </w:r>
      <w:r>
        <w:rPr>
          <w:color w:val="000000"/>
          <w:spacing w:val="0"/>
          <w:w w:val="100"/>
          <w:position w:val="0"/>
        </w:rPr>
        <w:t>股份产生的亏损由南方水泥按其持有的股权比例以现金补足。</w:t>
      </w:r>
    </w:p>
    <w:p>
      <w:pPr>
        <w:pStyle w:val="Style13"/>
        <w:keepNext w:val="0"/>
        <w:keepLines w:val="0"/>
        <w:widowControl w:val="0"/>
        <w:shd w:val="clear" w:color="auto" w:fill="auto"/>
        <w:bidi w:val="0"/>
        <w:spacing w:before="0" w:after="0" w:line="275" w:lineRule="exact"/>
        <w:ind w:left="0" w:right="0" w:firstLine="0"/>
        <w:jc w:val="left"/>
      </w:pPr>
      <w:r>
        <w:rPr>
          <w:rFonts w:ascii="Arial Unicode MS" w:eastAsia="Arial Unicode MS" w:hAnsi="Arial Unicode MS" w:cs="Arial Unicode MS"/>
          <w:color w:val="000000"/>
          <w:spacing w:val="0"/>
          <w:w w:val="100"/>
          <w:position w:val="0"/>
          <w:sz w:val="17"/>
          <w:szCs w:val="17"/>
        </w:rPr>
        <w:t>2012</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12</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27</w:t>
      </w:r>
      <w:r>
        <w:rPr>
          <w:color w:val="000000"/>
          <w:spacing w:val="0"/>
          <w:w w:val="100"/>
          <w:position w:val="0"/>
        </w:rPr>
        <w:t>日，</w:t>
      </w:r>
      <w:r>
        <w:rPr>
          <w:rFonts w:ascii="Arial Unicode MS" w:eastAsia="Arial Unicode MS" w:hAnsi="Arial Unicode MS" w:cs="Arial Unicode MS"/>
          <w:color w:val="000000"/>
          <w:spacing w:val="0"/>
          <w:w w:val="100"/>
          <w:position w:val="0"/>
          <w:sz w:val="17"/>
          <w:szCs w:val="17"/>
        </w:rPr>
        <w:t>*ST</w:t>
      </w:r>
      <w:r>
        <w:rPr>
          <w:color w:val="000000"/>
          <w:spacing w:val="0"/>
          <w:w w:val="100"/>
          <w:position w:val="0"/>
        </w:rPr>
        <w:t>铜城发行股份购买资产事项获得中国证监会有条件通过。本公司以持 有的上峰建材</w:t>
      </w:r>
      <w:r>
        <w:rPr>
          <w:rFonts w:ascii="Arial Unicode MS" w:eastAsia="Arial Unicode MS" w:hAnsi="Arial Unicode MS" w:cs="Arial Unicode MS"/>
          <w:color w:val="000000"/>
          <w:spacing w:val="0"/>
          <w:w w:val="100"/>
          <w:position w:val="0"/>
          <w:sz w:val="17"/>
          <w:szCs w:val="17"/>
        </w:rPr>
        <w:t>17.04%</w:t>
      </w:r>
      <w:r>
        <w:rPr>
          <w:color w:val="000000"/>
          <w:spacing w:val="0"/>
          <w:w w:val="100"/>
          <w:position w:val="0"/>
        </w:rPr>
        <w:t>股权作价</w:t>
      </w:r>
      <w:r>
        <w:rPr>
          <w:rFonts w:ascii="Arial Unicode MS" w:eastAsia="Arial Unicode MS" w:hAnsi="Arial Unicode MS" w:cs="Arial Unicode MS"/>
          <w:color w:val="000000"/>
          <w:spacing w:val="0"/>
          <w:w w:val="100"/>
          <w:position w:val="0"/>
          <w:sz w:val="17"/>
          <w:szCs w:val="17"/>
        </w:rPr>
        <w:t>26,479.7842</w:t>
      </w:r>
      <w:r>
        <w:rPr>
          <w:color w:val="000000"/>
          <w:spacing w:val="0"/>
          <w:w w:val="100"/>
          <w:position w:val="0"/>
        </w:rPr>
        <w:t>万元，认购</w:t>
      </w:r>
      <w:r>
        <w:rPr>
          <w:rFonts w:ascii="Arial Unicode MS" w:eastAsia="Arial Unicode MS" w:hAnsi="Arial Unicode MS" w:cs="Arial Unicode MS"/>
          <w:color w:val="000000"/>
          <w:spacing w:val="0"/>
          <w:w w:val="100"/>
          <w:position w:val="0"/>
          <w:sz w:val="17"/>
          <w:szCs w:val="17"/>
        </w:rPr>
        <w:t>*ST</w:t>
      </w:r>
      <w:r>
        <w:rPr>
          <w:color w:val="000000"/>
          <w:spacing w:val="0"/>
          <w:w w:val="100"/>
          <w:position w:val="0"/>
        </w:rPr>
        <w:t>铜城拟非公开发行的</w:t>
      </w:r>
      <w:r>
        <w:rPr>
          <w:rFonts w:ascii="Arial Unicode MS" w:eastAsia="Arial Unicode MS" w:hAnsi="Arial Unicode MS" w:cs="Arial Unicode MS"/>
          <w:color w:val="000000"/>
          <w:spacing w:val="0"/>
          <w:w w:val="100"/>
          <w:position w:val="0"/>
          <w:sz w:val="17"/>
          <w:szCs w:val="17"/>
        </w:rPr>
        <w:t>A</w:t>
      </w:r>
      <w:r>
        <w:rPr>
          <w:color w:val="000000"/>
          <w:spacing w:val="0"/>
          <w:w w:val="100"/>
          <w:position w:val="0"/>
        </w:rPr>
        <w:t xml:space="preserve">股股份，按 </w:t>
      </w:r>
      <w:r>
        <w:rPr>
          <w:rFonts w:ascii="Arial Unicode MS" w:eastAsia="Arial Unicode MS" w:hAnsi="Arial Unicode MS" w:cs="Arial Unicode MS"/>
          <w:color w:val="000000"/>
          <w:spacing w:val="0"/>
          <w:w w:val="100"/>
          <w:position w:val="0"/>
          <w:sz w:val="17"/>
          <w:szCs w:val="17"/>
        </w:rPr>
        <w:t>3.69</w:t>
      </w:r>
      <w:r>
        <w:rPr>
          <w:color w:val="000000"/>
          <w:spacing w:val="0"/>
          <w:w w:val="100"/>
          <w:position w:val="0"/>
        </w:rPr>
        <w:t>元</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股的发行价认购</w:t>
      </w:r>
      <w:r>
        <w:rPr>
          <w:rFonts w:ascii="Arial Unicode MS" w:eastAsia="Arial Unicode MS" w:hAnsi="Arial Unicode MS" w:cs="Arial Unicode MS"/>
          <w:color w:val="000000"/>
          <w:spacing w:val="0"/>
          <w:w w:val="100"/>
          <w:position w:val="0"/>
          <w:sz w:val="17"/>
          <w:szCs w:val="17"/>
        </w:rPr>
        <w:t>7,176.0932</w:t>
      </w:r>
      <w:r>
        <w:rPr>
          <w:color w:val="000000"/>
          <w:spacing w:val="0"/>
          <w:w w:val="100"/>
          <w:position w:val="0"/>
        </w:rPr>
        <w:t>万股，占</w:t>
      </w:r>
      <w:r>
        <w:rPr>
          <w:rFonts w:ascii="Arial Unicode MS" w:eastAsia="Arial Unicode MS" w:hAnsi="Arial Unicode MS" w:cs="Arial Unicode MS"/>
          <w:color w:val="000000"/>
          <w:spacing w:val="0"/>
          <w:w w:val="100"/>
          <w:position w:val="0"/>
          <w:sz w:val="17"/>
          <w:szCs w:val="17"/>
        </w:rPr>
        <w:t>*ST</w:t>
      </w:r>
      <w:r>
        <w:rPr>
          <w:color w:val="000000"/>
          <w:spacing w:val="0"/>
          <w:w w:val="100"/>
          <w:position w:val="0"/>
        </w:rPr>
        <w:t>铜城</w:t>
      </w:r>
      <w:r>
        <w:rPr>
          <w:rFonts w:ascii="Arial Unicode MS" w:eastAsia="Arial Unicode MS" w:hAnsi="Arial Unicode MS" w:cs="Arial Unicode MS"/>
          <w:color w:val="000000"/>
          <w:spacing w:val="0"/>
          <w:w w:val="100"/>
          <w:position w:val="0"/>
          <w:sz w:val="17"/>
          <w:szCs w:val="17"/>
        </w:rPr>
        <w:t>8.82%</w:t>
      </w:r>
      <w:r>
        <w:rPr>
          <w:color w:val="000000"/>
          <w:spacing w:val="0"/>
          <w:w w:val="100"/>
          <w:position w:val="0"/>
        </w:rPr>
        <w:t>股份。</w:t>
      </w:r>
      <w:r>
        <w:rPr>
          <w:rFonts w:ascii="Arial Unicode MS" w:eastAsia="Arial Unicode MS" w:hAnsi="Arial Unicode MS" w:cs="Arial Unicode MS"/>
          <w:color w:val="000000"/>
          <w:spacing w:val="0"/>
          <w:w w:val="100"/>
          <w:position w:val="0"/>
          <w:sz w:val="17"/>
          <w:szCs w:val="17"/>
        </w:rPr>
        <w:t>2013</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4</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26</w:t>
      </w:r>
      <w:r>
        <w:rPr>
          <w:color w:val="000000"/>
          <w:spacing w:val="0"/>
          <w:w w:val="100"/>
          <w:position w:val="0"/>
        </w:rPr>
        <w:t>日，</w:t>
      </w:r>
      <w:r>
        <w:rPr>
          <w:rFonts w:ascii="Arial Unicode MS" w:eastAsia="Arial Unicode MS" w:hAnsi="Arial Unicode MS" w:cs="Arial Unicode MS"/>
          <w:color w:val="000000"/>
          <w:spacing w:val="0"/>
          <w:w w:val="100"/>
          <w:position w:val="0"/>
          <w:sz w:val="17"/>
          <w:szCs w:val="17"/>
        </w:rPr>
        <w:t>*ST</w:t>
      </w:r>
      <w:r>
        <w:rPr>
          <w:color w:val="000000"/>
          <w:spacing w:val="0"/>
          <w:w w:val="100"/>
          <w:position w:val="0"/>
        </w:rPr>
        <w:t>铜 城复牌上市交易，股票名称变更为上峰水泥，股票代码</w:t>
      </w:r>
      <w:r>
        <w:rPr>
          <w:rFonts w:ascii="Arial Unicode MS" w:eastAsia="Arial Unicode MS" w:hAnsi="Arial Unicode MS" w:cs="Arial Unicode MS"/>
          <w:color w:val="000000"/>
          <w:spacing w:val="0"/>
          <w:w w:val="100"/>
          <w:position w:val="0"/>
          <w:sz w:val="17"/>
          <w:szCs w:val="17"/>
        </w:rPr>
        <w:t>000672</w:t>
      </w:r>
      <w:r>
        <w:rPr>
          <w:color w:val="000000"/>
          <w:spacing w:val="0"/>
          <w:w w:val="100"/>
          <w:position w:val="0"/>
        </w:rPr>
        <w:t>。</w:t>
      </w:r>
    </w:p>
    <w:p>
      <w:pPr>
        <w:pStyle w:val="Style13"/>
        <w:keepNext w:val="0"/>
        <w:keepLines w:val="0"/>
        <w:widowControl w:val="0"/>
        <w:shd w:val="clear" w:color="auto" w:fill="auto"/>
        <w:bidi w:val="0"/>
        <w:spacing w:before="0" w:after="560" w:line="275" w:lineRule="exact"/>
        <w:ind w:left="0" w:right="0" w:firstLine="0"/>
        <w:jc w:val="left"/>
      </w:pPr>
      <w:r>
        <w:rPr>
          <w:color w:val="000000"/>
          <w:spacing w:val="0"/>
          <w:w w:val="100"/>
          <w:position w:val="0"/>
        </w:rPr>
        <w:t>上峰水泥</w:t>
      </w:r>
      <w:r>
        <w:rPr>
          <w:rFonts w:ascii="Arial Unicode MS" w:eastAsia="Arial Unicode MS" w:hAnsi="Arial Unicode MS" w:cs="Arial Unicode MS"/>
          <w:color w:val="000000"/>
          <w:spacing w:val="0"/>
          <w:w w:val="100"/>
          <w:position w:val="0"/>
          <w:sz w:val="17"/>
          <w:szCs w:val="17"/>
        </w:rPr>
        <w:t>2013</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12</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31</w:t>
      </w:r>
      <w:r>
        <w:rPr>
          <w:color w:val="000000"/>
          <w:spacing w:val="0"/>
          <w:w w:val="100"/>
          <w:position w:val="0"/>
        </w:rPr>
        <w:t>日收盘价</w:t>
      </w:r>
      <w:r>
        <w:rPr>
          <w:rFonts w:ascii="Arial Unicode MS" w:eastAsia="Arial Unicode MS" w:hAnsi="Arial Unicode MS" w:cs="Arial Unicode MS"/>
          <w:color w:val="000000"/>
          <w:spacing w:val="0"/>
          <w:w w:val="100"/>
          <w:position w:val="0"/>
          <w:sz w:val="17"/>
          <w:szCs w:val="17"/>
        </w:rPr>
        <w:t>4.73</w:t>
      </w:r>
      <w:r>
        <w:rPr>
          <w:color w:val="000000"/>
          <w:spacing w:val="0"/>
          <w:w w:val="100"/>
          <w:position w:val="0"/>
        </w:rPr>
        <w:t xml:space="preserve">元，公司账面按市价确认“可供出售金融资产” </w:t>
      </w:r>
      <w:r>
        <w:rPr>
          <w:rFonts w:ascii="Arial Unicode MS" w:eastAsia="Arial Unicode MS" w:hAnsi="Arial Unicode MS" w:cs="Arial Unicode MS"/>
          <w:color w:val="000000"/>
          <w:spacing w:val="0"/>
          <w:w w:val="100"/>
          <w:position w:val="0"/>
          <w:sz w:val="17"/>
          <w:szCs w:val="17"/>
        </w:rPr>
        <w:t>339,429,208.36</w:t>
      </w:r>
      <w:r>
        <w:rPr>
          <w:color w:val="000000"/>
          <w:spacing w:val="0"/>
          <w:w w:val="100"/>
          <w:position w:val="0"/>
        </w:rPr>
        <w:t>元，市价与原投资成本</w:t>
      </w:r>
      <w:r>
        <w:rPr>
          <w:rFonts w:ascii="Arial Unicode MS" w:eastAsia="Arial Unicode MS" w:hAnsi="Arial Unicode MS" w:cs="Arial Unicode MS"/>
          <w:color w:val="000000"/>
          <w:spacing w:val="0"/>
          <w:w w:val="100"/>
          <w:position w:val="0"/>
          <w:sz w:val="17"/>
          <w:szCs w:val="17"/>
        </w:rPr>
        <w:t>37,552,100.00</w:t>
      </w:r>
      <w:r>
        <w:rPr>
          <w:color w:val="000000"/>
          <w:spacing w:val="0"/>
          <w:w w:val="100"/>
          <w:position w:val="0"/>
        </w:rPr>
        <w:t>元的差额</w:t>
      </w:r>
      <w:r>
        <w:rPr>
          <w:rFonts w:ascii="Arial Unicode MS" w:eastAsia="Arial Unicode MS" w:hAnsi="Arial Unicode MS" w:cs="Arial Unicode MS"/>
          <w:color w:val="000000"/>
          <w:spacing w:val="0"/>
          <w:w w:val="100"/>
          <w:position w:val="0"/>
          <w:sz w:val="17"/>
          <w:szCs w:val="17"/>
        </w:rPr>
        <w:t>301,877,108.36</w:t>
      </w:r>
      <w:r>
        <w:rPr>
          <w:color w:val="000000"/>
          <w:spacing w:val="0"/>
          <w:w w:val="100"/>
          <w:position w:val="0"/>
        </w:rPr>
        <w:t>元扣除应确 认的递延所得税费用后的余额</w:t>
      </w:r>
      <w:r>
        <w:rPr>
          <w:rFonts w:ascii="Arial Unicode MS" w:eastAsia="Arial Unicode MS" w:hAnsi="Arial Unicode MS" w:cs="Arial Unicode MS"/>
          <w:color w:val="000000"/>
          <w:spacing w:val="0"/>
          <w:w w:val="100"/>
          <w:position w:val="0"/>
          <w:sz w:val="17"/>
          <w:szCs w:val="17"/>
        </w:rPr>
        <w:t>226,407,831.27</w:t>
      </w:r>
      <w:r>
        <w:rPr>
          <w:color w:val="000000"/>
          <w:spacing w:val="0"/>
          <w:w w:val="100"/>
          <w:position w:val="0"/>
        </w:rPr>
        <w:t>元计入“资本公积-其他资本公积”，同时确认 递延所得税负债</w:t>
      </w:r>
      <w:r>
        <w:rPr>
          <w:rFonts w:ascii="Arial Unicode MS" w:eastAsia="Arial Unicode MS" w:hAnsi="Arial Unicode MS" w:cs="Arial Unicode MS"/>
          <w:color w:val="000000"/>
          <w:spacing w:val="0"/>
          <w:w w:val="100"/>
          <w:position w:val="0"/>
          <w:sz w:val="17"/>
          <w:szCs w:val="17"/>
        </w:rPr>
        <w:t>75,469,277.09</w:t>
      </w:r>
      <w:r>
        <w:rPr>
          <w:color w:val="000000"/>
          <w:spacing w:val="0"/>
          <w:w w:val="100"/>
          <w:position w:val="0"/>
        </w:rPr>
        <w:t>元。</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十四、母公司财务报表主要项目注释</w:t>
      </w:r>
    </w:p>
    <w:p>
      <w:pPr>
        <w:pStyle w:val="Style13"/>
        <w:keepNext w:val="0"/>
        <w:keepLines w:val="0"/>
        <w:widowControl w:val="0"/>
        <w:shd w:val="clear" w:color="auto" w:fill="auto"/>
        <w:bidi w:val="0"/>
        <w:spacing w:before="0" w:after="0" w:line="240" w:lineRule="auto"/>
        <w:ind w:left="0" w:right="0" w:firstLine="0"/>
        <w:jc w:val="left"/>
      </w:pPr>
      <w:bookmarkStart w:id="269" w:name="bookmark269"/>
      <w:r>
        <w:rPr>
          <w:rFonts w:ascii="Times New Roman" w:eastAsia="Times New Roman" w:hAnsi="Times New Roman" w:cs="Times New Roman"/>
          <w:color w:val="000000"/>
          <w:spacing w:val="0"/>
          <w:w w:val="100"/>
          <w:position w:val="0"/>
        </w:rPr>
        <w:t>（</w:t>
      </w:r>
      <w:bookmarkEnd w:id="269"/>
      <w:r>
        <w:rPr>
          <w:color w:val="000000"/>
          <w:spacing w:val="0"/>
          <w:w w:val="100"/>
          <w:position w:val="0"/>
        </w:rPr>
        <w:t>一</w:t>
      </w:r>
      <w:r>
        <w:rPr>
          <w:color w:val="000000"/>
          <w:spacing w:val="0"/>
          <w:w w:val="100"/>
          <w:position w:val="0"/>
        </w:rPr>
        <w:t>）</w:t>
      </w:r>
      <w:r>
        <w:rPr>
          <w:color w:val="000000"/>
          <w:spacing w:val="0"/>
          <w:w w:val="100"/>
          <w:position w:val="0"/>
        </w:rPr>
        <w:t>应收账款：</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应收账款按种类披露：</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99"/>
        <w:gridCol w:w="1056"/>
        <w:gridCol w:w="902"/>
        <w:gridCol w:w="1056"/>
        <w:gridCol w:w="994"/>
        <w:gridCol w:w="1162"/>
        <w:gridCol w:w="902"/>
        <w:gridCol w:w="1051"/>
        <w:gridCol w:w="1094"/>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gridSpan w:val="9"/>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账龄分析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40,813.40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32,650.72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123,514.10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98,811.28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bl>
    <w:p>
      <w:pPr>
        <w:widowControl w:val="0"/>
        <w:spacing w:line="1" w:lineRule="exact"/>
      </w:pPr>
      <w:r>
        <w:br w:type="page"/>
      </w:r>
    </w:p>
    <w:tbl>
      <w:tblPr>
        <w:tblOverlap w:val="never"/>
        <w:jc w:val="center"/>
        <w:tblLayout w:type="fixed"/>
      </w:tblPr>
      <w:tblGrid>
        <w:gridCol w:w="1099"/>
        <w:gridCol w:w="1056"/>
        <w:gridCol w:w="902"/>
        <w:gridCol w:w="1056"/>
        <w:gridCol w:w="994"/>
        <w:gridCol w:w="1162"/>
        <w:gridCol w:w="902"/>
        <w:gridCol w:w="1051"/>
        <w:gridCol w:w="1094"/>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40,813.40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32,650.72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123,514.10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98,811.28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40,813.40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32,650.72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123,514.10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98,811.28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29"/>
        <w:gridCol w:w="1411"/>
        <w:gridCol w:w="1406"/>
        <w:gridCol w:w="1411"/>
        <w:gridCol w:w="1411"/>
        <w:gridCol w:w="1219"/>
        <w:gridCol w:w="1229"/>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40,813.40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32,650.72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123,514.10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98,811.28</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40,813.40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32,650.72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123,514.10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98,811.28</w:t>
            </w:r>
          </w:p>
        </w:tc>
      </w:tr>
    </w:tbl>
    <w:p>
      <w:pPr>
        <w:widowControl w:val="0"/>
        <w:spacing w:after="439" w:line="1" w:lineRule="exact"/>
      </w:pPr>
    </w:p>
    <w:p>
      <w:pPr>
        <w:pStyle w:val="Style13"/>
        <w:keepNext w:val="0"/>
        <w:keepLines w:val="0"/>
        <w:widowControl w:val="0"/>
        <w:shd w:val="clear" w:color="auto" w:fill="auto"/>
        <w:tabs>
          <w:tab w:pos="516" w:val="left"/>
        </w:tabs>
        <w:bidi w:val="0"/>
        <w:spacing w:before="0" w:after="240" w:line="274" w:lineRule="exact"/>
        <w:ind w:left="220" w:right="0" w:hanging="220"/>
        <w:jc w:val="left"/>
      </w:pPr>
      <w:bookmarkStart w:id="270" w:name="bookmark270"/>
      <w:r>
        <w:rPr>
          <w:rFonts w:ascii="Times New Roman" w:eastAsia="Times New Roman" w:hAnsi="Times New Roman" w:cs="Times New Roman"/>
          <w:color w:val="000000"/>
          <w:spacing w:val="0"/>
          <w:w w:val="100"/>
          <w:position w:val="0"/>
        </w:rPr>
        <w:t>2</w:t>
      </w:r>
      <w:bookmarkEnd w:id="270"/>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 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tabs>
          <w:tab w:pos="516" w:val="left"/>
        </w:tabs>
        <w:bidi w:val="0"/>
        <w:spacing w:before="0" w:after="0" w:line="274" w:lineRule="exact"/>
        <w:ind w:left="0" w:right="0" w:firstLine="0"/>
        <w:jc w:val="left"/>
      </w:pPr>
      <w:bookmarkStart w:id="271" w:name="bookmark271"/>
      <w:r>
        <w:rPr>
          <w:rFonts w:ascii="Times New Roman" w:eastAsia="Times New Roman" w:hAnsi="Times New Roman" w:cs="Times New Roman"/>
          <w:color w:val="000000"/>
          <w:spacing w:val="0"/>
          <w:w w:val="100"/>
          <w:position w:val="0"/>
        </w:rPr>
        <w:t>3</w:t>
      </w:r>
      <w:bookmarkEnd w:id="271"/>
      <w:r>
        <w:rPr>
          <w:color w:val="000000"/>
          <w:spacing w:val="0"/>
          <w:w w:val="100"/>
          <w:position w:val="0"/>
        </w:rPr>
        <w:t>、</w:t>
        <w:tab/>
        <w:t>应收账款金额前五名单位情况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982"/>
        <w:gridCol w:w="1690"/>
        <w:gridCol w:w="1882"/>
        <w:gridCol w:w="1877"/>
        <w:gridCol w:w="1886"/>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占应收账款总额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诸暨丝织印染厂有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41.05</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桐庐斐达制衣有限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8,568.00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20.99</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花园集团东阳有限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14.70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金华百川汇有限公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5,000.50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12.25</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诸暨富邦玩具鞋业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4,494.90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11.01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40,813.40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39" w:line="1" w:lineRule="exact"/>
      </w:pPr>
    </w:p>
    <w:p>
      <w:pPr>
        <w:pStyle w:val="Style13"/>
        <w:keepNext w:val="0"/>
        <w:keepLines w:val="0"/>
        <w:widowControl w:val="0"/>
        <w:numPr>
          <w:ilvl w:val="0"/>
          <w:numId w:val="51"/>
        </w:numPr>
        <w:shd w:val="clear" w:color="auto" w:fill="auto"/>
        <w:bidi w:val="0"/>
        <w:spacing w:before="0" w:after="0" w:line="240" w:lineRule="auto"/>
        <w:ind w:left="0" w:right="0" w:firstLine="0"/>
        <w:jc w:val="left"/>
      </w:pPr>
      <w:bookmarkStart w:id="272" w:name="bookmark272"/>
      <w:bookmarkEnd w:id="272"/>
      <w:r>
        <w:rPr>
          <w:color w:val="000000"/>
          <w:spacing w:val="0"/>
          <w:w w:val="100"/>
          <w:position w:val="0"/>
        </w:rPr>
        <w:t>其他应收款：</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其他应收款按种类披露：</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754"/>
        <w:gridCol w:w="1526"/>
        <w:gridCol w:w="691"/>
        <w:gridCol w:w="1426"/>
        <w:gridCol w:w="581"/>
        <w:gridCol w:w="1531"/>
        <w:gridCol w:w="696"/>
        <w:gridCol w:w="1416"/>
        <w:gridCol w:w="69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2"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193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单项 金额 重大 并单 项计 提坏 账准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171,838,779.54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16,994,230.00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23,430,800.00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2,343,080.00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r>
    </w:tbl>
    <w:p>
      <w:pPr>
        <w:widowControl w:val="0"/>
        <w:spacing w:line="1" w:lineRule="exact"/>
      </w:pPr>
      <w:r>
        <w:br w:type="page"/>
      </w:r>
    </w:p>
    <w:tbl>
      <w:tblPr>
        <w:tblOverlap w:val="never"/>
        <w:jc w:val="center"/>
        <w:tblLayout w:type="fixed"/>
      </w:tblPr>
      <w:tblGrid>
        <w:gridCol w:w="754"/>
        <w:gridCol w:w="1526"/>
        <w:gridCol w:w="691"/>
        <w:gridCol w:w="1426"/>
        <w:gridCol w:w="581"/>
        <w:gridCol w:w="1531"/>
        <w:gridCol w:w="686"/>
        <w:gridCol w:w="1426"/>
        <w:gridCol w:w="696"/>
      </w:tblGrid>
      <w:tr>
        <w:trPr>
          <w:trHeight w:val="110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备的 其他 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w:t>
            </w:r>
          </w:p>
        </w:tc>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其他应收账款：</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账龄 分析 法组 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27,861.25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1,410.56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149,611,640.72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13,395,578.54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组合 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27,861.25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1,410.56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149,611,640.72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13,395,578.54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8.95</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171,866,640.79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16,995,640.56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173,042,440.72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15,738,658.54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单项金额重大并单项计提坏帐准备的其他应收账款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74"/>
        <w:gridCol w:w="1598"/>
        <w:gridCol w:w="1882"/>
        <w:gridCol w:w="1877"/>
        <w:gridCol w:w="188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诸暨市交通运输局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10,560,800.00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1,056,080.00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政府部门款项回 收风险和一般企 业不同，单独计提 坏账准备。</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诸暨富润屋城东置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159,381,500.00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15,938,150.00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子公司借款，可收 回性与其他款项 存在明显差异。</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银行通知存款利息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1,896,479.54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银行通知存款利 息，可收回性与其 他款项存在明显 差异。</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171,838,779.54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16,994,230.00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组合中，按账龄分析法计提坏账准备的其他应收账款：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00"/>
        <w:gridCol w:w="1142"/>
        <w:gridCol w:w="1142"/>
        <w:gridCol w:w="1138"/>
        <w:gridCol w:w="1522"/>
        <w:gridCol w:w="1142"/>
        <w:gridCol w:w="1430"/>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27,511.25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98.74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1,375.56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31,311,640.72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1,565,578.54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27,511.25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98.74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1,375.56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31,311,640.72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1,565,578.54</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79.07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11,830,000.00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27,861.25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1,410.56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149,611,640.72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13,395,578.54</w:t>
            </w:r>
          </w:p>
        </w:tc>
      </w:tr>
    </w:tbl>
    <w:p>
      <w:pPr>
        <w:widowControl w:val="0"/>
        <w:spacing w:after="479" w:line="1" w:lineRule="exact"/>
      </w:pPr>
    </w:p>
    <w:p>
      <w:pPr>
        <w:pStyle w:val="Style13"/>
        <w:keepNext w:val="0"/>
        <w:keepLines w:val="0"/>
        <w:widowControl w:val="0"/>
        <w:shd w:val="clear" w:color="auto" w:fill="auto"/>
        <w:tabs>
          <w:tab w:pos="516" w:val="left"/>
        </w:tabs>
        <w:bidi w:val="0"/>
        <w:spacing w:before="0" w:after="40" w:line="240" w:lineRule="auto"/>
        <w:ind w:left="0" w:right="0" w:firstLine="0"/>
        <w:jc w:val="left"/>
      </w:pPr>
      <w:bookmarkStart w:id="273" w:name="bookmark273"/>
      <w:r>
        <w:rPr>
          <w:rFonts w:ascii="Times New Roman" w:eastAsia="Times New Roman" w:hAnsi="Times New Roman" w:cs="Times New Roman"/>
          <w:color w:val="000000"/>
          <w:spacing w:val="0"/>
          <w:w w:val="100"/>
          <w:position w:val="0"/>
        </w:rPr>
        <w:t>2</w:t>
      </w:r>
      <w:bookmarkEnd w:id="273"/>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本报告期其他应收账款中无持有公司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tabs>
          <w:tab w:pos="516" w:val="left"/>
        </w:tabs>
        <w:bidi w:val="0"/>
        <w:spacing w:before="0" w:after="260" w:line="240" w:lineRule="auto"/>
        <w:ind w:left="0" w:right="0" w:firstLine="0"/>
        <w:jc w:val="left"/>
      </w:pPr>
      <w:bookmarkStart w:id="274" w:name="bookmark274"/>
      <w:r>
        <w:rPr>
          <w:rFonts w:ascii="Times New Roman" w:eastAsia="Times New Roman" w:hAnsi="Times New Roman" w:cs="Times New Roman"/>
          <w:color w:val="000000"/>
          <w:spacing w:val="0"/>
          <w:w w:val="100"/>
          <w:position w:val="0"/>
        </w:rPr>
        <w:t>3</w:t>
      </w:r>
      <w:bookmarkEnd w:id="274"/>
      <w:r>
        <w:rPr>
          <w:color w:val="000000"/>
          <w:spacing w:val="0"/>
          <w:w w:val="100"/>
          <w:position w:val="0"/>
        </w:rPr>
        <w:t>、</w:t>
        <w:tab/>
        <w:t>其他应收账款金额前五名单位情况</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占其他应收账款 总额的比例</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富润屋公司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31,081,500.00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18.08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富润屋公司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5.82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富润屋公司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118,300,000.00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68.83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诸暨市交通运输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10,560,800.00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6.14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华夏银行诸暨支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441,581.25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0.26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恒丰银行绍兴分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351,864.32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0.20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平安银行杭州西 湖支行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340,931.25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0.20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171,076,676.82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99.53</w:t>
            </w:r>
          </w:p>
        </w:tc>
      </w:tr>
    </w:tbl>
    <w:p>
      <w:pPr>
        <w:widowControl w:val="0"/>
        <w:spacing w:after="259" w:line="1" w:lineRule="exact"/>
      </w:pPr>
    </w:p>
    <w:p>
      <w:pPr>
        <w:pStyle w:val="Style13"/>
        <w:keepNext w:val="0"/>
        <w:keepLines w:val="0"/>
        <w:widowControl w:val="0"/>
        <w:shd w:val="clear" w:color="auto" w:fill="auto"/>
        <w:tabs>
          <w:tab w:pos="533" w:val="left"/>
        </w:tabs>
        <w:bidi w:val="0"/>
        <w:spacing w:before="0" w:after="40" w:line="240" w:lineRule="auto"/>
        <w:ind w:left="0" w:right="0" w:firstLine="0"/>
        <w:jc w:val="left"/>
      </w:pPr>
      <w:bookmarkStart w:id="275" w:name="bookmark275"/>
      <w:r>
        <w:rPr>
          <w:rFonts w:ascii="Times New Roman" w:eastAsia="Times New Roman" w:hAnsi="Times New Roman" w:cs="Times New Roman"/>
          <w:color w:val="000000"/>
          <w:spacing w:val="0"/>
          <w:w w:val="100"/>
          <w:position w:val="0"/>
          <w:shd w:val="clear" w:color="auto" w:fill="FFFFFF"/>
        </w:rPr>
        <w:t>4</w:t>
      </w:r>
      <w:bookmarkEnd w:id="275"/>
      <w:r>
        <w:rPr>
          <w:color w:val="000000"/>
          <w:spacing w:val="0"/>
          <w:w w:val="100"/>
          <w:position w:val="0"/>
          <w:shd w:val="clear" w:color="auto" w:fill="FFFFFF"/>
        </w:rPr>
        <w:t>、</w:t>
      </w:r>
      <w:r>
        <w:rPr>
          <w:color w:val="000000"/>
          <w:spacing w:val="0"/>
          <w:w w:val="100"/>
          <w:position w:val="0"/>
        </w:rPr>
        <w:tab/>
        <w:t>其他应收关联方款项情况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81"/>
        <w:gridCol w:w="2088"/>
        <w:gridCol w:w="1613"/>
        <w:gridCol w:w="3235"/>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占其他应收账款总额的比例</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富润屋公司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159,381,500.00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印染公司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28,553.68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159,410,053.68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92.76</w:t>
            </w:r>
          </w:p>
        </w:tc>
      </w:tr>
    </w:tbl>
    <w:p>
      <w:pPr>
        <w:widowControl w:val="0"/>
        <w:spacing w:after="259" w:line="1" w:lineRule="exact"/>
      </w:pPr>
    </w:p>
    <w:p>
      <w:pPr>
        <w:pStyle w:val="Style13"/>
        <w:keepNext w:val="0"/>
        <w:keepLines w:val="0"/>
        <w:widowControl w:val="0"/>
        <w:numPr>
          <w:ilvl w:val="0"/>
          <w:numId w:val="53"/>
        </w:numPr>
        <w:shd w:val="clear" w:color="auto" w:fill="auto"/>
        <w:bidi w:val="0"/>
        <w:spacing w:before="0" w:after="40" w:line="240" w:lineRule="auto"/>
        <w:ind w:left="0" w:right="0" w:firstLine="0"/>
        <w:jc w:val="left"/>
      </w:pPr>
      <w:bookmarkStart w:id="276" w:name="bookmark276"/>
      <w:bookmarkEnd w:id="276"/>
      <w:r>
        <w:rPr>
          <w:color w:val="000000"/>
          <w:spacing w:val="0"/>
          <w:w w:val="100"/>
          <w:position w:val="0"/>
        </w:rPr>
        <w:t>长期股权投资</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按成本法核算</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37"/>
        <w:gridCol w:w="1421"/>
        <w:gridCol w:w="1426"/>
        <w:gridCol w:w="1493"/>
        <w:gridCol w:w="1426"/>
        <w:gridCol w:w="427"/>
        <w:gridCol w:w="422"/>
        <w:gridCol w:w="850"/>
        <w:gridCol w:w="845"/>
        <w:gridCol w:w="749"/>
      </w:tblGrid>
      <w:tr>
        <w:trPr>
          <w:trHeight w:val="3019" w:hRule="exact"/>
        </w:trPr>
        <w:tc>
          <w:tcPr>
            <w:tcBorders>
              <w:top w:val="single" w:sz="4"/>
              <w:left w:val="single" w:sz="4"/>
            </w:tcBorders>
            <w:shd w:val="clear" w:color="auto" w:fill="FFFFFF"/>
            <w:textDirection w:val="tbRlV"/>
            <w:vAlign w:val="center"/>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7" w:lineRule="exact"/>
              <w:ind w:left="0" w:right="0" w:firstLine="0"/>
              <w:jc w:val="left"/>
            </w:pPr>
            <w:r>
              <w:rPr>
                <w:color w:val="000000"/>
                <w:spacing w:val="0"/>
                <w:w w:val="100"/>
                <w:position w:val="0"/>
              </w:rPr>
              <w:t>在被投 资单位 持股比 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在被 投资 单位 持股 比例 与表 决权 比例 不一 致的 说明</w:t>
            </w:r>
          </w:p>
        </w:tc>
      </w:tr>
      <w:tr>
        <w:trPr>
          <w:trHeight w:val="244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left"/>
            </w:pPr>
            <w:r>
              <w:rPr>
                <w:color w:val="000000"/>
                <w:spacing w:val="0"/>
                <w:w w:val="100"/>
                <w:position w:val="0"/>
              </w:rPr>
              <w:t>印 染 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45,690,283.42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45,690,283.42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45,690,283.42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日，公 司与 富润 集团 美国 工贸</w:t>
            </w:r>
          </w:p>
        </w:tc>
      </w:tr>
    </w:tbl>
    <w:p>
      <w:pPr>
        <w:widowControl w:val="0"/>
        <w:spacing w:line="1" w:lineRule="exact"/>
      </w:pPr>
      <w:r>
        <w:br w:type="page"/>
      </w:r>
    </w:p>
    <w:tbl>
      <w:tblPr>
        <w:tblOverlap w:val="never"/>
        <w:jc w:val="center"/>
        <w:tblLayout w:type="fixed"/>
      </w:tblPr>
      <w:tblGrid>
        <w:gridCol w:w="437"/>
        <w:gridCol w:w="1421"/>
        <w:gridCol w:w="1426"/>
        <w:gridCol w:w="1493"/>
        <w:gridCol w:w="1426"/>
        <w:gridCol w:w="427"/>
        <w:gridCol w:w="422"/>
        <w:gridCol w:w="850"/>
        <w:gridCol w:w="845"/>
        <w:gridCol w:w="749"/>
      </w:tblGrid>
      <w:tr>
        <w:trPr>
          <w:trHeight w:val="110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有限 公司 签订</w:t>
            </w:r>
          </w:p>
          <w:p>
            <w:pPr>
              <w:pStyle w:val="Style21"/>
              <w:keepNext w:val="0"/>
              <w:keepLines w:val="0"/>
              <w:widowControl w:val="0"/>
              <w:shd w:val="clear" w:color="auto" w:fill="auto"/>
              <w:bidi w:val="0"/>
              <w:spacing w:before="0" w:after="0" w:line="270" w:lineRule="exact"/>
              <w:ind w:left="0" w:right="0" w:firstLine="220"/>
              <w:jc w:val="both"/>
            </w:pPr>
            <w:r>
              <w:rPr>
                <w:color w:val="000000"/>
                <w:spacing w:val="0"/>
                <w:w w:val="100"/>
                <w:position w:val="0"/>
              </w:rPr>
              <w:t>《股 权委 托管 理协 议 书》， 约定 富润 集团 美国 工贸 有限 公司 将其 在印 染公 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的股 权全 权</w:t>
            </w:r>
            <w:r>
              <w:rPr>
                <w:rFonts w:ascii="Times New Roman" w:eastAsia="Times New Roman" w:hAnsi="Times New Roman" w:cs="Times New Roman"/>
                <w:color w:val="000000"/>
                <w:spacing w:val="0"/>
                <w:w w:val="100"/>
                <w:position w:val="0"/>
              </w:rPr>
              <w:t>（</w:t>
            </w:r>
            <w:r>
              <w:rPr>
                <w:color w:val="000000"/>
                <w:spacing w:val="0"/>
                <w:w w:val="100"/>
                <w:position w:val="0"/>
              </w:rPr>
              <w:t>除 红利 分配 权</w:t>
            </w:r>
            <w:r>
              <w:rPr>
                <w:rFonts w:ascii="Times New Roman" w:eastAsia="Times New Roman" w:hAnsi="Times New Roman" w:cs="Times New Roman"/>
                <w:color w:val="000000"/>
                <w:spacing w:val="0"/>
                <w:w w:val="100"/>
                <w:position w:val="0"/>
              </w:rPr>
              <w:t>）</w:t>
            </w:r>
            <w:r>
              <w:rPr>
                <w:color w:val="000000"/>
                <w:spacing w:val="0"/>
                <w:w w:val="100"/>
                <w:position w:val="0"/>
              </w:rPr>
              <w:t xml:space="preserve">委 托公 司管 理。股 权委 托管 理期 限为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年，自 </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tc>
      </w:tr>
      <w:tr>
        <w:trPr>
          <w:trHeight w:val="1104" w:hRule="exact"/>
        </w:trPr>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100" w:after="0" w:line="240" w:lineRule="auto"/>
              <w:ind w:left="0" w:right="0" w:firstLine="0"/>
              <w:jc w:val="left"/>
            </w:pPr>
            <w:r>
              <w:rPr>
                <w:color w:val="000000"/>
                <w:spacing w:val="0"/>
                <w:w w:val="100"/>
                <w:position w:val="0"/>
              </w:rPr>
              <w:t>纺织公司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33,528,938.23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33,528,938.23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33,528,938.23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海 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9,931,944.97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9,931,944.97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9,931,944.97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2</w:t>
            </w:r>
          </w:p>
        </w:tc>
      </w:tr>
    </w:tbl>
    <w:p>
      <w:pPr>
        <w:widowControl w:val="0"/>
        <w:spacing w:line="1" w:lineRule="exact"/>
      </w:pPr>
      <w:r>
        <w:br w:type="page"/>
      </w:r>
    </w:p>
    <w:tbl>
      <w:tblPr>
        <w:tblOverlap w:val="never"/>
        <w:jc w:val="center"/>
        <w:tblLayout w:type="fixed"/>
      </w:tblPr>
      <w:tblGrid>
        <w:gridCol w:w="437"/>
        <w:gridCol w:w="1421"/>
        <w:gridCol w:w="1426"/>
        <w:gridCol w:w="1493"/>
        <w:gridCol w:w="1426"/>
        <w:gridCol w:w="427"/>
        <w:gridCol w:w="422"/>
        <w:gridCol w:w="850"/>
        <w:gridCol w:w="845"/>
        <w:gridCol w:w="749"/>
      </w:tblGrid>
      <w:tr>
        <w:trPr>
          <w:trHeight w:val="1106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日，公 司与 自然 人何 四新 签订</w:t>
            </w:r>
          </w:p>
          <w:p>
            <w:pPr>
              <w:pStyle w:val="Style21"/>
              <w:keepNext w:val="0"/>
              <w:keepLines w:val="0"/>
              <w:widowControl w:val="0"/>
              <w:shd w:val="clear" w:color="auto" w:fill="auto"/>
              <w:bidi w:val="0"/>
              <w:spacing w:before="0" w:after="0" w:line="269" w:lineRule="exact"/>
              <w:ind w:left="0" w:right="0" w:firstLine="220"/>
              <w:jc w:val="both"/>
            </w:pPr>
            <w:r>
              <w:rPr>
                <w:color w:val="000000"/>
                <w:spacing w:val="0"/>
                <w:w w:val="100"/>
                <w:position w:val="0"/>
              </w:rPr>
              <w:t xml:space="preserve">《股 权委 托管 理协 议 书》， 约定 何四 新将 其在 海茂 公司 </w:t>
            </w:r>
            <w:r>
              <w:rPr>
                <w:rFonts w:ascii="Times New Roman" w:eastAsia="Times New Roman" w:hAnsi="Times New Roman" w:cs="Times New Roman"/>
                <w:color w:val="000000"/>
                <w:spacing w:val="0"/>
                <w:w w:val="100"/>
                <w:position w:val="0"/>
              </w:rPr>
              <w:t xml:space="preserve">11% </w:t>
            </w:r>
            <w:r>
              <w:rPr>
                <w:color w:val="000000"/>
                <w:spacing w:val="0"/>
                <w:w w:val="100"/>
                <w:position w:val="0"/>
              </w:rPr>
              <w:t>的股 权全 权</w:t>
            </w:r>
            <w:r>
              <w:rPr>
                <w:rFonts w:ascii="Times New Roman" w:eastAsia="Times New Roman" w:hAnsi="Times New Roman" w:cs="Times New Roman"/>
                <w:color w:val="000000"/>
                <w:spacing w:val="0"/>
                <w:w w:val="100"/>
                <w:position w:val="0"/>
              </w:rPr>
              <w:t>（</w:t>
            </w:r>
            <w:r>
              <w:rPr>
                <w:color w:val="000000"/>
                <w:spacing w:val="0"/>
                <w:w w:val="100"/>
                <w:position w:val="0"/>
              </w:rPr>
              <w:t>除 红利 分配 权</w:t>
            </w:r>
            <w:r>
              <w:rPr>
                <w:rFonts w:ascii="Times New Roman" w:eastAsia="Times New Roman" w:hAnsi="Times New Roman" w:cs="Times New Roman"/>
                <w:color w:val="000000"/>
                <w:spacing w:val="0"/>
                <w:w w:val="100"/>
                <w:position w:val="0"/>
              </w:rPr>
              <w:t>）</w:t>
            </w:r>
            <w:r>
              <w:rPr>
                <w:color w:val="000000"/>
                <w:spacing w:val="0"/>
                <w:w w:val="100"/>
                <w:position w:val="0"/>
              </w:rPr>
              <w:t xml:space="preserve">委 托公 司管 理。股 权委 托管 理期 限为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年，自 </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tc>
      </w:tr>
      <w:tr>
        <w:trPr>
          <w:trHeight w:val="1632" w:hRule="exact"/>
        </w:trPr>
        <w:tc>
          <w:tcPr>
            <w:tcBorders>
              <w:top w:val="single" w:sz="4"/>
              <w:left w:val="single" w:sz="4"/>
              <w:bottom w:val="single" w:sz="4"/>
            </w:tcBorders>
            <w:shd w:val="clear" w:color="auto" w:fill="FFFFFF"/>
            <w:textDirection w:val="tbRlV"/>
            <w:vAlign w:val="top"/>
          </w:tcPr>
          <w:p>
            <w:pPr>
              <w:pStyle w:val="Style38"/>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宏丰公司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73" w:lineRule="exact"/>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日，公 司与 香港</w:t>
            </w:r>
          </w:p>
        </w:tc>
      </w:tr>
    </w:tbl>
    <w:p>
      <w:pPr>
        <w:widowControl w:val="0"/>
        <w:spacing w:line="1" w:lineRule="exact"/>
      </w:pPr>
      <w:r>
        <w:br w:type="page"/>
      </w:r>
    </w:p>
    <w:tbl>
      <w:tblPr>
        <w:tblOverlap w:val="never"/>
        <w:jc w:val="center"/>
        <w:tblLayout w:type="fixed"/>
      </w:tblPr>
      <w:tblGrid>
        <w:gridCol w:w="437"/>
        <w:gridCol w:w="1421"/>
        <w:gridCol w:w="1426"/>
        <w:gridCol w:w="1493"/>
        <w:gridCol w:w="1426"/>
        <w:gridCol w:w="427"/>
        <w:gridCol w:w="422"/>
        <w:gridCol w:w="850"/>
        <w:gridCol w:w="845"/>
        <w:gridCol w:w="749"/>
      </w:tblGrid>
      <w:tr>
        <w:trPr>
          <w:trHeight w:val="119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宏丰 国际 实业 有限 公司 签订</w:t>
            </w:r>
          </w:p>
          <w:p>
            <w:pPr>
              <w:pStyle w:val="Style21"/>
              <w:keepNext w:val="0"/>
              <w:keepLines w:val="0"/>
              <w:widowControl w:val="0"/>
              <w:shd w:val="clear" w:color="auto" w:fill="auto"/>
              <w:bidi w:val="0"/>
              <w:spacing w:before="0" w:after="0" w:line="270" w:lineRule="exact"/>
              <w:ind w:left="0" w:right="0" w:firstLine="220"/>
              <w:jc w:val="both"/>
            </w:pPr>
            <w:r>
              <w:rPr>
                <w:color w:val="000000"/>
                <w:spacing w:val="0"/>
                <w:w w:val="100"/>
                <w:position w:val="0"/>
              </w:rPr>
              <w:t>《股 权委 托管 理协 议 书》， 约定 香港 宏丰 国际 实业 有限 公司 将其 在宏 丰公 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的股 权全 权</w:t>
            </w:r>
            <w:r>
              <w:rPr>
                <w:rFonts w:ascii="Times New Roman" w:eastAsia="Times New Roman" w:hAnsi="Times New Roman" w:cs="Times New Roman"/>
                <w:color w:val="000000"/>
                <w:spacing w:val="0"/>
                <w:w w:val="100"/>
                <w:position w:val="0"/>
              </w:rPr>
              <w:t>（</w:t>
            </w:r>
            <w:r>
              <w:rPr>
                <w:color w:val="000000"/>
                <w:spacing w:val="0"/>
                <w:w w:val="100"/>
                <w:position w:val="0"/>
              </w:rPr>
              <w:t>除 红利 分配 权</w:t>
            </w:r>
            <w:r>
              <w:rPr>
                <w:rFonts w:ascii="Times New Roman" w:eastAsia="Times New Roman" w:hAnsi="Times New Roman" w:cs="Times New Roman"/>
                <w:color w:val="000000"/>
                <w:spacing w:val="0"/>
                <w:w w:val="100"/>
                <w:position w:val="0"/>
              </w:rPr>
              <w:t>）</w:t>
            </w:r>
            <w:r>
              <w:rPr>
                <w:color w:val="000000"/>
                <w:spacing w:val="0"/>
                <w:w w:val="100"/>
                <w:position w:val="0"/>
              </w:rPr>
              <w:t xml:space="preserve">委 托公 司管 理。股 权委 托管 理期 限为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年，自 </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left"/>
            </w:pPr>
            <w:r>
              <w:rPr>
                <w:color w:val="000000"/>
                <w:spacing w:val="0"/>
                <w:w w:val="100"/>
                <w:position w:val="0"/>
              </w:rPr>
              <w:t>丝 绸 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8,432,748.00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8,432,748.00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8,432,748.00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7"/>
        <w:gridCol w:w="1421"/>
        <w:gridCol w:w="1426"/>
        <w:gridCol w:w="1493"/>
        <w:gridCol w:w="1426"/>
        <w:gridCol w:w="427"/>
        <w:gridCol w:w="422"/>
        <w:gridCol w:w="850"/>
        <w:gridCol w:w="845"/>
        <w:gridCol w:w="749"/>
      </w:tblGrid>
      <w:tr>
        <w:trPr>
          <w:trHeight w:val="8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造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5"/>
                <w:szCs w:val="15"/>
              </w:rPr>
              <w:t xml:space="preserve">J </w:t>
            </w:r>
            <w:r>
              <w:rPr>
                <w:rFonts w:ascii="Times New Roman" w:eastAsia="Times New Roman" w:hAnsi="Times New Roman" w:cs="Times New Roman"/>
                <w:color w:val="000000"/>
                <w:spacing w:val="0"/>
                <w:w w:val="100"/>
                <w:position w:val="0"/>
                <w:sz w:val="15"/>
                <w:szCs w:val="15"/>
                <w:u w:val="single"/>
              </w:rPr>
              <w:t xml:space="preserve">* </w:t>
            </w:r>
            <w:r>
              <w:rPr>
                <w:color w:val="000000"/>
                <w:spacing w:val="0"/>
                <w:w w:val="100"/>
                <w:position w:val="0"/>
              </w:rPr>
              <w:t>富 润 屋 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1,209,524.19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1,209,524.19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1,209,524.19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4373"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浙江省诸暨市人民药店连锁有限公司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100" w:after="0" w:line="240" w:lineRule="auto"/>
              <w:ind w:left="0" w:right="0" w:firstLine="0"/>
              <w:jc w:val="right"/>
            </w:pPr>
            <w:r>
              <w:rPr>
                <w:color w:val="000000"/>
                <w:spacing w:val="0"/>
                <w:w w:val="100"/>
                <w:position w:val="0"/>
              </w:rPr>
              <w:t>上峰建材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37,552,100.00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-37,552,100.00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77" w:hRule="exact"/>
        </w:trPr>
        <w:tc>
          <w:tcPr>
            <w:tcBorders>
              <w:top w:val="single" w:sz="4"/>
              <w:left w:val="single" w:sz="4"/>
              <w:bottom w:val="single" w:sz="4"/>
            </w:tcBorders>
            <w:shd w:val="clear" w:color="auto" w:fill="FFFFFF"/>
            <w:textDirection w:val="tbRlV"/>
            <w:vAlign w:val="top"/>
          </w:tcPr>
          <w:p>
            <w:pPr>
              <w:pStyle w:val="Style38"/>
              <w:keepNext w:val="0"/>
              <w:keepLines w:val="0"/>
              <w:widowControl w:val="0"/>
              <w:shd w:val="clear" w:color="auto" w:fill="auto"/>
              <w:bidi w:val="0"/>
              <w:spacing w:before="80" w:after="0" w:line="240" w:lineRule="auto"/>
              <w:ind w:left="0" w:right="0" w:firstLine="0"/>
              <w:jc w:val="left"/>
            </w:pPr>
            <w:r>
              <w:rPr>
                <w:color w:val="000000"/>
                <w:spacing w:val="0"/>
                <w:w w:val="100"/>
                <w:position w:val="0"/>
              </w:rPr>
              <w:t>浙江诸暨热电发展有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7"/>
        <w:gridCol w:w="1421"/>
        <w:gridCol w:w="1426"/>
        <w:gridCol w:w="1493"/>
        <w:gridCol w:w="1426"/>
        <w:gridCol w:w="427"/>
        <w:gridCol w:w="422"/>
        <w:gridCol w:w="850"/>
        <w:gridCol w:w="845"/>
        <w:gridCol w:w="749"/>
      </w:tblGrid>
      <w:tr>
        <w:trPr>
          <w:trHeight w:val="8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7"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诸暨市宏润小额贷款有限公司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518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诸 暨 长 城 国 际 影 视 网 游 动 漫 创</w:t>
            </w:r>
          </w:p>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'宣、 园 有 限 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诸暨联合担保有限公司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山 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37"/>
        <w:gridCol w:w="1421"/>
        <w:gridCol w:w="1426"/>
        <w:gridCol w:w="1493"/>
        <w:gridCol w:w="1426"/>
        <w:gridCol w:w="427"/>
        <w:gridCol w:w="422"/>
        <w:gridCol w:w="850"/>
        <w:gridCol w:w="845"/>
        <w:gridCol w:w="749"/>
      </w:tblGrid>
      <w:tr>
        <w:trPr>
          <w:trHeight w:val="19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泰 山 宝 盛 大 酒 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 东 泰 山 宝 盛 置 业 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w:t>
      </w:r>
    </w:p>
    <w:tbl>
      <w:tblPr>
        <w:tblOverlap w:val="never"/>
        <w:jc w:val="center"/>
        <w:tblLayout w:type="fixed"/>
      </w:tblPr>
      <w:tblGrid>
        <w:gridCol w:w="437"/>
        <w:gridCol w:w="1421"/>
        <w:gridCol w:w="1426"/>
        <w:gridCol w:w="1426"/>
        <w:gridCol w:w="1421"/>
        <w:gridCol w:w="427"/>
        <w:gridCol w:w="427"/>
        <w:gridCol w:w="1310"/>
        <w:gridCol w:w="854"/>
        <w:gridCol w:w="845"/>
        <w:gridCol w:w="437"/>
      </w:tblGrid>
      <w:tr>
        <w:trPr>
          <w:trHeight w:val="269" w:hRule="exact"/>
        </w:trPr>
        <w:tc>
          <w:tcPr>
            <w:gridSpan w:val="6"/>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Arial Unicode MS" w:eastAsia="Arial Unicode MS" w:hAnsi="Arial Unicode MS" w:cs="Arial Unicode MS"/>
                <w:color w:val="000000"/>
                <w:spacing w:val="0"/>
                <w:w w:val="100"/>
                <w:position w:val="0"/>
                <w:sz w:val="17"/>
                <w:szCs w:val="17"/>
              </w:rPr>
              <w:t>M</w:t>
            </w:r>
            <w:r>
              <w:rPr>
                <w:color w:val="000000"/>
                <w:spacing w:val="0"/>
                <w:w w:val="100"/>
                <w:position w:val="0"/>
              </w:rPr>
              <w:t>位：元币种：人</w:t>
            </w:r>
          </w:p>
        </w:tc>
        <w:tc>
          <w:tcPr>
            <w:gridSpan w:val="3"/>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币</w:t>
            </w:r>
          </w:p>
        </w:tc>
      </w:tr>
      <w:tr>
        <w:trPr>
          <w:trHeight w:val="6010" w:hRule="exact"/>
        </w:trPr>
        <w:tc>
          <w:tcPr>
            <w:tcBorders>
              <w:top w:val="single" w:sz="4"/>
              <w:left w:val="single" w:sz="4"/>
            </w:tcBorders>
            <w:shd w:val="clear" w:color="auto" w:fill="FFFFFF"/>
            <w:textDirection w:val="tbRlV"/>
            <w:vAlign w:val="center"/>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现金红利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在被投 资单位 持股比 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c>
          <w:tcPr>
            <w:tcBorders>
              <w:top w:val="single" w:sz="4"/>
              <w:left w:val="single" w:sz="4"/>
              <w:right w:val="single" w:sz="4"/>
            </w:tcBorders>
            <w:shd w:val="clear" w:color="auto" w:fill="FFFFFF"/>
            <w:textDirection w:val="tbRlV"/>
            <w:vAlign w:val="top"/>
          </w:tcPr>
          <w:p>
            <w:pPr>
              <w:pStyle w:val="Style3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在被投资单位持股比例与表决权比例不一致的说明</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服 饰 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2,814,010.00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3,099,174.53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568,234.04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3,667,408.57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45,926,948.00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36,118,182.88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13,141,321.66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49,259,504.54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9,409,578.96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7"/>
        <w:gridCol w:w="1421"/>
        <w:gridCol w:w="1426"/>
        <w:gridCol w:w="1426"/>
        <w:gridCol w:w="1421"/>
        <w:gridCol w:w="427"/>
        <w:gridCol w:w="427"/>
        <w:gridCol w:w="1320"/>
        <w:gridCol w:w="845"/>
        <w:gridCol w:w="845"/>
        <w:gridCol w:w="437"/>
      </w:tblGrid>
      <w:tr>
        <w:trPr>
          <w:trHeight w:val="27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7" w:lineRule="exact"/>
              <w:ind w:left="0" w:right="0" w:firstLine="0"/>
              <w:jc w:val="both"/>
            </w:pPr>
            <w:r>
              <w:rPr>
                <w:color w:val="000000"/>
                <w:spacing w:val="0"/>
                <w:w w:val="100"/>
                <w:position w:val="0"/>
              </w:rPr>
              <w:t xml:space="preserve">暨 市 </w:t>
            </w:r>
            <w:r>
              <w:rPr>
                <w:rFonts w:ascii="Times New Roman" w:eastAsia="Times New Roman" w:hAnsi="Times New Roman" w:cs="Times New Roman"/>
                <w:color w:val="000000"/>
                <w:spacing w:val="0"/>
                <w:w w:val="100"/>
                <w:position w:val="0"/>
                <w:sz w:val="15"/>
                <w:szCs w:val="15"/>
              </w:rPr>
              <w:t xml:space="preserve">J </w:t>
            </w:r>
            <w:r>
              <w:rPr>
                <w:rFonts w:ascii="Times New Roman" w:eastAsia="Times New Roman" w:hAnsi="Times New Roman" w:cs="Times New Roman"/>
                <w:color w:val="000000"/>
                <w:spacing w:val="0"/>
                <w:w w:val="100"/>
                <w:position w:val="0"/>
                <w:sz w:val="15"/>
                <w:szCs w:val="15"/>
                <w:u w:val="single"/>
              </w:rPr>
              <w:t xml:space="preserve">* </w:t>
            </w:r>
            <w:r>
              <w:rPr>
                <w:color w:val="000000"/>
                <w:spacing w:val="0"/>
                <w:w w:val="100"/>
                <w:position w:val="0"/>
              </w:rPr>
              <w:t>富 润 置 业 有 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50" w:hRule="exact"/>
        </w:trPr>
        <w:tc>
          <w:tcPr>
            <w:tcBorders>
              <w:top w:val="single" w:sz="4"/>
              <w:left w:val="single" w:sz="4"/>
              <w:bottom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杭州航民水泥有限公司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25,680,661.61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-4,564,117.17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21,116,544.44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营业收入和营业成本：</w:t>
      </w:r>
    </w:p>
    <w:p>
      <w:pPr>
        <w:pStyle w:val="Style13"/>
        <w:keepNext w:val="0"/>
        <w:keepLines w:val="0"/>
        <w:widowControl w:val="0"/>
        <w:shd w:val="clear" w:color="auto" w:fill="auto"/>
        <w:tabs>
          <w:tab w:pos="526" w:val="left"/>
        </w:tabs>
        <w:bidi w:val="0"/>
        <w:spacing w:before="0" w:after="40" w:line="240" w:lineRule="auto"/>
        <w:ind w:left="0" w:right="0" w:firstLine="0"/>
        <w:jc w:val="left"/>
      </w:pPr>
      <w:bookmarkStart w:id="277" w:name="bookmark277"/>
      <w:r>
        <w:rPr>
          <w:rFonts w:ascii="Times New Roman" w:eastAsia="Times New Roman" w:hAnsi="Times New Roman" w:cs="Times New Roman"/>
          <w:color w:val="000000"/>
          <w:spacing w:val="0"/>
          <w:w w:val="100"/>
          <w:position w:val="0"/>
          <w:shd w:val="clear" w:color="auto" w:fill="FFFFFF"/>
        </w:rPr>
        <w:t>1</w:t>
      </w:r>
      <w:bookmarkEnd w:id="277"/>
      <w:r>
        <w:rPr>
          <w:color w:val="000000"/>
          <w:spacing w:val="0"/>
          <w:w w:val="100"/>
          <w:position w:val="0"/>
          <w:shd w:val="clear" w:color="auto" w:fill="FFFFFF"/>
        </w:rPr>
        <w:t>、</w:t>
      </w:r>
      <w:r>
        <w:rPr>
          <w:color w:val="000000"/>
          <w:spacing w:val="0"/>
          <w:w w:val="100"/>
          <w:position w:val="0"/>
        </w:rPr>
        <w:tab/>
        <w:t>营业收入、营业成本</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454,411.89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1,956,403.93</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238,739.36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725,915.89</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投资收益：</w:t>
      </w: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投资收益明细</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5458"/>
        <w:gridCol w:w="1877"/>
        <w:gridCol w:w="198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26,178,981.51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39,142,184.22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-3,423,993.01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-2,783,759.17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9,304,227.05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6,926,245.38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11,662,500.00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38,985,460.93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48,276,925.05</w:t>
            </w:r>
          </w:p>
        </w:tc>
      </w:tr>
    </w:tbl>
    <w:p>
      <w:pPr>
        <w:widowControl w:val="0"/>
        <w:spacing w:after="239" w:line="1" w:lineRule="exact"/>
      </w:pPr>
    </w:p>
    <w:p>
      <w:pPr>
        <w:pStyle w:val="Style13"/>
        <w:keepNext w:val="0"/>
        <w:keepLines w:val="0"/>
        <w:widowControl w:val="0"/>
        <w:shd w:val="clear" w:color="auto" w:fill="auto"/>
        <w:tabs>
          <w:tab w:pos="526" w:val="left"/>
        </w:tabs>
        <w:bidi w:val="0"/>
        <w:spacing w:before="0" w:after="40" w:line="240" w:lineRule="auto"/>
        <w:ind w:left="0" w:right="0" w:firstLine="0"/>
        <w:jc w:val="left"/>
      </w:pPr>
      <w:bookmarkStart w:id="278" w:name="bookmark278"/>
      <w:r>
        <w:rPr>
          <w:rFonts w:ascii="Times New Roman" w:eastAsia="Times New Roman" w:hAnsi="Times New Roman" w:cs="Times New Roman"/>
          <w:color w:val="000000"/>
          <w:spacing w:val="0"/>
          <w:w w:val="100"/>
          <w:position w:val="0"/>
          <w:shd w:val="clear" w:color="auto" w:fill="FFFFFF"/>
        </w:rPr>
        <w:t>2</w:t>
      </w:r>
      <w:bookmarkEnd w:id="278"/>
      <w:r>
        <w:rPr>
          <w:color w:val="000000"/>
          <w:spacing w:val="0"/>
          <w:w w:val="100"/>
          <w:position w:val="0"/>
          <w:shd w:val="clear" w:color="auto" w:fill="FFFFFF"/>
        </w:rPr>
        <w:t>、</w:t>
      </w:r>
      <w:r>
        <w:rPr>
          <w:color w:val="000000"/>
          <w:spacing w:val="0"/>
          <w:w w:val="100"/>
          <w:position w:val="0"/>
        </w:rPr>
        <w:tab/>
        <w:t>按成本法核算的长期股权投资收益</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2453"/>
        <w:gridCol w:w="1973"/>
        <w:gridCol w:w="1973"/>
        <w:gridCol w:w="2918"/>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本期比上期增减变动的原因</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印染公司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11,879,381.87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11,879,381.87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6,508,204.45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4,409,962.13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被投资单位分配股利增加</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海茂公司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356,654.60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被投资单位本期盈利分配</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诸暨南门市场有限公司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甘肃上峰水泥股份有限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15,020,840.00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被投资单位本期未进行分配</w:t>
            </w:r>
          </w:p>
        </w:tc>
      </w:tr>
    </w:tbl>
    <w:p>
      <w:pPr>
        <w:widowControl w:val="0"/>
        <w:spacing w:line="1" w:lineRule="exact"/>
      </w:pPr>
      <w:r>
        <w:br w:type="page"/>
      </w:r>
    </w:p>
    <w:tbl>
      <w:tblPr>
        <w:tblOverlap w:val="never"/>
        <w:jc w:val="left"/>
        <w:tblLayout w:type="fixed"/>
      </w:tblPr>
      <w:tblGrid>
        <w:gridCol w:w="2453"/>
        <w:gridCol w:w="1973"/>
        <w:gridCol w:w="1973"/>
        <w:gridCol w:w="2918"/>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原安徽铜陵上峰水 泥股份有限公司</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浙江省诸暨市人民药店 连锁有限公司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上期未分配股利</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浙江诸暨热电发展有限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1,295,740.59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1,732,000.22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被投资单位分配股利减少</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诸暨市宏润小额贷款有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26,178,981.51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39,142,184.22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tabs>
          <w:tab w:pos="538" w:val="left"/>
        </w:tabs>
        <w:bidi w:val="0"/>
        <w:spacing w:before="0" w:after="40" w:line="240" w:lineRule="auto"/>
        <w:ind w:left="0" w:right="0" w:firstLine="0"/>
        <w:jc w:val="left"/>
      </w:pPr>
      <w:bookmarkStart w:id="279" w:name="bookmark279"/>
      <w:r>
        <w:rPr>
          <w:rFonts w:ascii="Times New Roman" w:eastAsia="Times New Roman" w:hAnsi="Times New Roman" w:cs="Times New Roman"/>
          <w:color w:val="000000"/>
          <w:spacing w:val="0"/>
          <w:w w:val="100"/>
          <w:position w:val="0"/>
          <w:shd w:val="clear" w:color="auto" w:fill="FFFFFF"/>
        </w:rPr>
        <w:t>3</w:t>
      </w:r>
      <w:bookmarkEnd w:id="279"/>
      <w:r>
        <w:rPr>
          <w:color w:val="000000"/>
          <w:spacing w:val="0"/>
          <w:w w:val="100"/>
          <w:position w:val="0"/>
          <w:shd w:val="clear" w:color="auto" w:fill="FFFFFF"/>
        </w:rPr>
        <w:t>、</w:t>
      </w:r>
      <w:r>
        <w:rPr>
          <w:color w:val="000000"/>
          <w:spacing w:val="0"/>
          <w:w w:val="100"/>
          <w:position w:val="0"/>
        </w:rPr>
        <w:tab/>
        <w:t>按权益法核算的长期股权投资收益</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2453"/>
        <w:gridCol w:w="1973"/>
        <w:gridCol w:w="1973"/>
        <w:gridCol w:w="2918"/>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本期比上期增减变动的原因</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568,234.04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455,272.89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被投资单位实现利润增加</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诸暨市富润置业有限公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623,952.62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1,907,383.79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被投资单位实现利润变动</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杭州航民上峰水泥有限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-4,616,179.67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-5,146,415.85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被投资单位实现利润变动</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-3,423,993.01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-2,783,759.17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5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六</w:t>
      </w:r>
      <w:r>
        <w:rPr>
          <w:color w:val="000000"/>
          <w:spacing w:val="0"/>
          <w:w w:val="100"/>
          <w:position w:val="0"/>
        </w:rPr>
        <w:t>）</w:t>
      </w:r>
      <w:r>
        <w:rPr>
          <w:color w:val="000000"/>
          <w:spacing w:val="0"/>
          <w:w w:val="100"/>
          <w:position w:val="0"/>
        </w:rPr>
        <w:t>现金流量表补充资料： 单位：元 币种：人民币</w:t>
      </w:r>
    </w:p>
    <w:tbl>
      <w:tblPr>
        <w:tblOverlap w:val="never"/>
        <w:jc w:val="left"/>
        <w:tblLayout w:type="fixed"/>
      </w:tblPr>
      <w:tblGrid>
        <w:gridCol w:w="4565"/>
        <w:gridCol w:w="2371"/>
        <w:gridCol w:w="238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76,260,869.83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83,578,317.25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1,190,541.46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5,222,291.25</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604,454.14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893,720.23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69,728.72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8,439.35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-75,225,101.56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-70,844,915.10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7,951,895.10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11,727,433.94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-38,985,460.93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-48,276,925.05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18,806,275.39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18,519,775.10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-1,413,519.31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612,601.41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1,248,882.52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-4,387,997.59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-9,491,434.64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-2,947,259.21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565"/>
        <w:gridCol w:w="2371"/>
        <w:gridCol w:w="238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189,952,058.92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135,253,282.90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135,253,282.90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117,010,096.35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54,698,776.02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18,243,186.55</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十五、补充资料</w:t>
      </w:r>
    </w:p>
    <w:p>
      <w:pPr>
        <w:pStyle w:val="Style13"/>
        <w:keepNext w:val="0"/>
        <w:keepLines w:val="0"/>
        <w:widowControl w:val="0"/>
        <w:shd w:val="clear" w:color="auto" w:fill="auto"/>
        <w:bidi w:val="0"/>
        <w:spacing w:before="0" w:after="40" w:line="240" w:lineRule="auto"/>
        <w:ind w:left="0" w:right="0" w:firstLine="0"/>
        <w:jc w:val="left"/>
      </w:pPr>
      <w:bookmarkStart w:id="280" w:name="bookmark280"/>
      <w:r>
        <w:rPr>
          <w:rFonts w:ascii="Times New Roman" w:eastAsia="Times New Roman" w:hAnsi="Times New Roman" w:cs="Times New Roman"/>
          <w:color w:val="000000"/>
          <w:spacing w:val="0"/>
          <w:w w:val="100"/>
          <w:position w:val="0"/>
        </w:rPr>
        <w:t>（</w:t>
      </w:r>
      <w:bookmarkEnd w:id="280"/>
      <w:r>
        <w:rPr>
          <w:color w:val="000000"/>
          <w:spacing w:val="0"/>
          <w:w w:val="100"/>
          <w:position w:val="0"/>
        </w:rPr>
        <w:t>一</w:t>
      </w:r>
      <w:r>
        <w:rPr>
          <w:color w:val="000000"/>
          <w:spacing w:val="0"/>
          <w:w w:val="100"/>
          <w:position w:val="0"/>
        </w:rPr>
        <w:t>）</w:t>
      </w:r>
      <w:r>
        <w:rPr>
          <w:color w:val="000000"/>
          <w:spacing w:val="0"/>
          <w:w w:val="100"/>
          <w:position w:val="0"/>
        </w:rPr>
        <w:t>当期非经常性损益明细表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1867"/>
        <w:gridCol w:w="1862"/>
        <w:gridCol w:w="1858"/>
        <w:gridCol w:w="1862"/>
        <w:gridCol w:w="1867"/>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非经常性损益项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附注（如适用）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189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非流动资产处置 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135,291,761.33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left"/>
            </w:pPr>
            <w:r>
              <w:rPr>
                <w:color w:val="000000"/>
                <w:spacing w:val="0"/>
                <w:w w:val="100"/>
                <w:position w:val="0"/>
              </w:rPr>
              <w:t xml:space="preserve">本期公司毛纺厂 区整体搬迁收入 扣除资产处置损 失后的固定资产 处置利得 </w:t>
            </w:r>
            <w:r>
              <w:rPr>
                <w:rFonts w:ascii="Times New Roman" w:eastAsia="Times New Roman" w:hAnsi="Times New Roman" w:cs="Times New Roman"/>
                <w:color w:val="000000"/>
                <w:spacing w:val="0"/>
                <w:w w:val="100"/>
                <w:position w:val="0"/>
              </w:rPr>
              <w:t xml:space="preserve">124,660,887.54 </w:t>
            </w: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126,741,679.14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-903,704.14</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 式批准文件，或偶 发性的税收返还、 减免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440,680.60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计入当期损益的 政府补助，但与公 司正常经营业务 密切相关，符合国 家政策规定、按照 一定标准定额或 定量持续享受的 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4,418,292.09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5,454,103.78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3,765,818.51</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 对非金融企业收 取的资金占用费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252,043.76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1,331,340.06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5,628,050.00</w:t>
            </w:r>
          </w:p>
        </w:tc>
      </w:tr>
      <w:tr>
        <w:trPr>
          <w:trHeight w:val="27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 营业务相关的有 效套期保值业务 夕卜，持有交易性金 融资产、交易性金 融负债产生的公 允价值变动损益， 以及处置交易性 金融资产、交易性 金融负债和可供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9,323,187.05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-89,796.08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333,363.00</w:t>
            </w:r>
          </w:p>
        </w:tc>
      </w:tr>
    </w:tbl>
    <w:p>
      <w:pPr>
        <w:widowControl w:val="0"/>
        <w:spacing w:line="1" w:lineRule="exact"/>
      </w:pPr>
      <w:r>
        <w:br w:type="page"/>
      </w:r>
    </w:p>
    <w:tbl>
      <w:tblPr>
        <w:tblOverlap w:val="never"/>
        <w:jc w:val="left"/>
        <w:tblLayout w:type="fixed"/>
      </w:tblPr>
      <w:tblGrid>
        <w:gridCol w:w="1867"/>
        <w:gridCol w:w="1862"/>
        <w:gridCol w:w="1858"/>
        <w:gridCol w:w="1862"/>
        <w:gridCol w:w="1867"/>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出售金融资产取 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对外委托贷款取 得的损益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6,926,245.38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11,662,500.00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 的其他营业外收 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1,170,910.31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285,853.93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49,083.22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少数股东权益影 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-29,111,198.40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-22,893,086.03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-3,899,205.60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-35,324,777.26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-31,501,139.36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-1,054,545.54</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93,387,144.86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90,991,455.44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3,918,859.45</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净资产收益率及每股收益</w:t>
      </w:r>
    </w:p>
    <w:tbl>
      <w:tblPr>
        <w:tblOverlap w:val="never"/>
        <w:jc w:val="left"/>
        <w:tblLayout w:type="fixed"/>
      </w:tblPr>
      <w:tblGrid>
        <w:gridCol w:w="2827"/>
        <w:gridCol w:w="2069"/>
        <w:gridCol w:w="2160"/>
        <w:gridCol w:w="2261"/>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加权平均净资产收 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基本每股收益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0.67</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0.16</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公司主要会计报表项目的异常情况及原因的说明</w:t>
      </w:r>
    </w:p>
    <w:tbl>
      <w:tblPr>
        <w:tblOverlap w:val="never"/>
        <w:jc w:val="left"/>
        <w:tblLayout w:type="fixed"/>
      </w:tblPr>
      <w:tblGrid>
        <w:gridCol w:w="1824"/>
        <w:gridCol w:w="1426"/>
        <w:gridCol w:w="1478"/>
        <w:gridCol w:w="1190"/>
        <w:gridCol w:w="2770"/>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变动幅度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变动原因说明</w:t>
            </w: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22,366,870.25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12,515,382.52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78.72%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主要系明贺公司本期以票据结 算货款增加所致。</w:t>
            </w: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30,842,232.21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45,594,534.56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主要系纺织公司</w:t>
            </w:r>
            <w:r>
              <w:rPr>
                <w:rFonts w:ascii="Times New Roman" w:eastAsia="Times New Roman" w:hAnsi="Times New Roman" w:cs="Times New Roman"/>
                <w:color w:val="000000"/>
                <w:spacing w:val="0"/>
                <w:w w:val="100"/>
                <w:position w:val="0"/>
              </w:rPr>
              <w:t>2013</w:t>
            </w:r>
            <w:r>
              <w:rPr>
                <w:color w:val="000000"/>
                <w:spacing w:val="0"/>
                <w:w w:val="100"/>
                <w:position w:val="0"/>
              </w:rPr>
              <w:t>年下半 年销售下降所致。</w:t>
            </w:r>
          </w:p>
        </w:tc>
      </w:tr>
      <w:tr>
        <w:trPr>
          <w:trHeight w:val="11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15,196,661.72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48,596,146.57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-68.73%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主要系公司本期收回关联方拆 借款</w:t>
            </w:r>
            <w:r>
              <w:rPr>
                <w:rFonts w:ascii="Times New Roman" w:eastAsia="Times New Roman" w:hAnsi="Times New Roman" w:cs="Times New Roman"/>
                <w:color w:val="000000"/>
                <w:spacing w:val="0"/>
                <w:w w:val="100"/>
                <w:position w:val="0"/>
              </w:rPr>
              <w:t>2,070</w:t>
            </w:r>
            <w:r>
              <w:rPr>
                <w:color w:val="000000"/>
                <w:spacing w:val="0"/>
                <w:w w:val="100"/>
                <w:position w:val="0"/>
              </w:rPr>
              <w:t>万元及</w:t>
            </w:r>
            <w:r>
              <w:rPr>
                <w:rFonts w:ascii="Times New Roman" w:eastAsia="Times New Roman" w:hAnsi="Times New Roman" w:cs="Times New Roman"/>
                <w:color w:val="000000"/>
                <w:spacing w:val="0"/>
                <w:w w:val="100"/>
                <w:position w:val="0"/>
              </w:rPr>
              <w:t>31</w:t>
            </w:r>
            <w:r>
              <w:rPr>
                <w:color w:val="000000"/>
                <w:spacing w:val="0"/>
                <w:w w:val="100"/>
                <w:position w:val="0"/>
              </w:rPr>
              <w:t>省道优先 收益权补偿</w:t>
            </w:r>
            <w:r>
              <w:rPr>
                <w:rFonts w:ascii="Times New Roman" w:eastAsia="Times New Roman" w:hAnsi="Times New Roman" w:cs="Times New Roman"/>
                <w:color w:val="000000"/>
                <w:spacing w:val="0"/>
                <w:w w:val="100"/>
                <w:position w:val="0"/>
              </w:rPr>
              <w:t>1,287</w:t>
            </w:r>
            <w:r>
              <w:rPr>
                <w:color w:val="000000"/>
                <w:spacing w:val="0"/>
                <w:w w:val="100"/>
                <w:position w:val="0"/>
              </w:rPr>
              <w:t>万元共同影 响所致。</w:t>
            </w: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19,780,988.79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153,109,457.52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-87.08%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主要系公司本期收回</w:t>
            </w:r>
            <w:r>
              <w:rPr>
                <w:rFonts w:ascii="Times New Roman" w:eastAsia="Times New Roman" w:hAnsi="Times New Roman" w:cs="Times New Roman"/>
                <w:color w:val="000000"/>
                <w:spacing w:val="0"/>
                <w:w w:val="100"/>
                <w:position w:val="0"/>
              </w:rPr>
              <w:t>1.5</w:t>
            </w:r>
            <w:r>
              <w:rPr>
                <w:color w:val="000000"/>
                <w:spacing w:val="0"/>
                <w:w w:val="100"/>
                <w:position w:val="0"/>
              </w:rPr>
              <w:t>亿元 的委托贷款影响所致。</w:t>
            </w:r>
          </w:p>
        </w:tc>
      </w:tr>
      <w:tr>
        <w:trPr>
          <w:trHeight w:val="8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339,429,208.36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22,476,800.00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14.10 </w:t>
            </w:r>
            <w:r>
              <w:rPr>
                <w:color w:val="000000"/>
                <w:spacing w:val="0"/>
                <w:w w:val="100"/>
                <w:position w:val="0"/>
              </w:rPr>
              <w:t>倍</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主要系公司持有上峰水泥的可 供出售金融资产期末公允价值 变动影响。</w:t>
            </w: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11,995,033.16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6,606,943.70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81.55%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主要系再生资源公司厂房及地 下室工程增加所致。</w:t>
            </w:r>
          </w:p>
        </w:tc>
      </w:tr>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-61.74%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主要系本期资金充裕归还了较 多银行借款。</w:t>
            </w: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771,588.67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1,323,480.51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主要系本期归还了银行借款所 致。</w:t>
            </w:r>
          </w:p>
        </w:tc>
      </w:tr>
      <w:tr>
        <w:trPr>
          <w:trHeight w:val="112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134,292,653.91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33,635,399.14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2.99 </w:t>
            </w:r>
            <w:r>
              <w:rPr>
                <w:color w:val="000000"/>
                <w:spacing w:val="0"/>
                <w:w w:val="100"/>
                <w:position w:val="0"/>
              </w:rPr>
              <w:t>倍</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主要系本期新增拆迁补偿及对 上峰水泥的投资市价与成本的 差异确认递延所得税负债所 致。</w:t>
            </w:r>
          </w:p>
        </w:tc>
      </w:tr>
    </w:tbl>
    <w:p>
      <w:pPr>
        <w:sectPr>
          <w:footnotePr>
            <w:pos w:val="pageBottom"/>
            <w:numFmt w:val="decimal"/>
            <w:numRestart w:val="continuous"/>
          </w:footnotePr>
          <w:pgSz w:w="12240" w:h="15840"/>
          <w:pgMar w:top="1421" w:right="404" w:bottom="1440" w:left="1396" w:header="0" w:footer="3" w:gutter="0"/>
          <w:cols w:space="720"/>
          <w:noEndnote/>
          <w:rtlGutter w:val="0"/>
          <w:docGrid w:linePitch="360"/>
        </w:sectPr>
      </w:pPr>
    </w:p>
    <w:tbl>
      <w:tblPr>
        <w:tblOverlap w:val="never"/>
        <w:jc w:val="center"/>
        <w:tblLayout w:type="fixed"/>
      </w:tblPr>
      <w:tblGrid>
        <w:gridCol w:w="1814"/>
        <w:gridCol w:w="1426"/>
        <w:gridCol w:w="1478"/>
        <w:gridCol w:w="1190"/>
        <w:gridCol w:w="2770"/>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378,196,151.71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158,730,921.96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1.38 </w:t>
            </w:r>
            <w:r>
              <w:rPr>
                <w:color w:val="000000"/>
                <w:spacing w:val="0"/>
                <w:w w:val="100"/>
                <w:position w:val="0"/>
              </w:rPr>
              <w:t>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主要系公司持有上峰水泥公允 价值变动影响所致。</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利润表项目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变动幅度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变动原因说明</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20,350,722.21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33,109,448.22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主要系本期借款减少所致。</w:t>
            </w: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2,259,541.56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1,081,004.24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1.09 </w:t>
            </w:r>
            <w:r>
              <w:rPr>
                <w:color w:val="000000"/>
                <w:spacing w:val="0"/>
                <w:w w:val="100"/>
                <w:position w:val="0"/>
              </w:rPr>
              <w:t>倍</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主要系本期存货计提的跌价准 备较多所致。</w:t>
            </w:r>
          </w:p>
        </w:tc>
      </w:tr>
      <w:tr>
        <w:trPr>
          <w:trHeight w:val="5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1,338,945.65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2,411,913.79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-44.49%</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主要系本期的固定资产处置损 失减少所致。</w:t>
            </w:r>
          </w:p>
        </w:tc>
      </w:tr>
    </w:tbl>
    <w:p>
      <w:pPr>
        <w:sectPr>
          <w:footnotePr>
            <w:pos w:val="pageBottom"/>
            <w:numFmt w:val="decimal"/>
            <w:numRestart w:val="continuous"/>
          </w:footnotePr>
          <w:pgSz w:w="12240" w:h="15840"/>
          <w:pgMar w:top="1454" w:right="1771" w:bottom="1454" w:left="1790" w:header="0" w:footer="3" w:gutter="0"/>
          <w:cols w:space="720"/>
          <w:noEndnote/>
          <w:rtlGutter w:val="0"/>
          <w:docGrid w:linePitch="360"/>
        </w:sectPr>
      </w:pPr>
    </w:p>
    <w:p>
      <w:pPr>
        <w:pStyle w:val="Style17"/>
        <w:keepNext/>
        <w:keepLines/>
        <w:widowControl w:val="0"/>
        <w:shd w:val="clear" w:color="auto" w:fill="auto"/>
        <w:bidi w:val="0"/>
        <w:spacing w:before="0" w:after="580" w:line="240" w:lineRule="auto"/>
        <w:ind w:left="0" w:right="0" w:firstLine="0"/>
        <w:jc w:val="both"/>
      </w:pPr>
      <w:bookmarkStart w:id="281" w:name="bookmark281"/>
      <w:bookmarkStart w:id="282" w:name="bookmark282"/>
      <w:bookmarkStart w:id="283" w:name="bookmark283"/>
      <w:r>
        <w:rPr>
          <w:color w:val="000000"/>
          <w:spacing w:val="0"/>
          <w:w w:val="100"/>
          <w:position w:val="0"/>
        </w:rPr>
        <w:t>第十一节备查文件目录</w:t>
      </w:r>
      <w:bookmarkEnd w:id="281"/>
      <w:bookmarkEnd w:id="282"/>
      <w:bookmarkEnd w:id="283"/>
    </w:p>
    <w:p>
      <w:pPr>
        <w:pStyle w:val="Style13"/>
        <w:keepNext w:val="0"/>
        <w:keepLines w:val="0"/>
        <w:widowControl w:val="0"/>
        <w:shd w:val="clear" w:color="auto" w:fill="auto"/>
        <w:tabs>
          <w:tab w:pos="557" w:val="left"/>
        </w:tabs>
        <w:bidi w:val="0"/>
        <w:spacing w:before="0" w:after="0" w:line="278" w:lineRule="exact"/>
        <w:ind w:left="0" w:right="0" w:firstLine="0"/>
        <w:jc w:val="both"/>
      </w:pPr>
      <w:bookmarkStart w:id="284" w:name="bookmark284"/>
      <w:r>
        <w:rPr>
          <w:rFonts w:ascii="Times New Roman" w:eastAsia="Times New Roman" w:hAnsi="Times New Roman" w:cs="Times New Roman"/>
          <w:color w:val="000000"/>
          <w:spacing w:val="0"/>
          <w:w w:val="100"/>
          <w:position w:val="0"/>
        </w:rPr>
        <w:t>（</w:t>
      </w:r>
      <w:bookmarkEnd w:id="284"/>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载有法定代表人、主管会计工作负责人、会计机构负责人签名并盖章的财务报表。</w:t>
      </w:r>
    </w:p>
    <w:p>
      <w:pPr>
        <w:pStyle w:val="Style13"/>
        <w:keepNext w:val="0"/>
        <w:keepLines w:val="0"/>
        <w:widowControl w:val="0"/>
        <w:shd w:val="clear" w:color="auto" w:fill="auto"/>
        <w:tabs>
          <w:tab w:pos="557" w:val="left"/>
        </w:tabs>
        <w:bidi w:val="0"/>
        <w:spacing w:before="0" w:after="0" w:line="278" w:lineRule="exact"/>
        <w:ind w:left="0" w:right="0" w:firstLine="0"/>
        <w:jc w:val="both"/>
      </w:pPr>
      <w:bookmarkStart w:id="285" w:name="bookmark285"/>
      <w:r>
        <w:rPr>
          <w:rFonts w:ascii="Times New Roman" w:eastAsia="Times New Roman" w:hAnsi="Times New Roman" w:cs="Times New Roman"/>
          <w:color w:val="000000"/>
          <w:spacing w:val="0"/>
          <w:w w:val="100"/>
          <w:position w:val="0"/>
        </w:rPr>
        <w:t>（</w:t>
      </w:r>
      <w:bookmarkEnd w:id="285"/>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载有会计师事务所盖章、注册会计师签名并盖章的审计报告原件。</w:t>
      </w:r>
    </w:p>
    <w:p>
      <w:pPr>
        <w:pStyle w:val="Style13"/>
        <w:keepNext w:val="0"/>
        <w:keepLines w:val="0"/>
        <w:widowControl w:val="0"/>
        <w:shd w:val="clear" w:color="auto" w:fill="auto"/>
        <w:tabs>
          <w:tab w:pos="557" w:val="left"/>
        </w:tabs>
        <w:bidi w:val="0"/>
        <w:spacing w:before="0" w:after="0" w:line="278" w:lineRule="exact"/>
        <w:ind w:left="0" w:right="0" w:firstLine="0"/>
        <w:jc w:val="both"/>
      </w:pPr>
      <w:bookmarkStart w:id="286" w:name="bookmark286"/>
      <w:r>
        <w:rPr>
          <w:rFonts w:ascii="Times New Roman" w:eastAsia="Times New Roman" w:hAnsi="Times New Roman" w:cs="Times New Roman"/>
          <w:color w:val="000000"/>
          <w:spacing w:val="0"/>
          <w:w w:val="100"/>
          <w:position w:val="0"/>
        </w:rPr>
        <w:t>（</w:t>
      </w:r>
      <w:bookmarkEnd w:id="28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报告期内在《中国证券报》、《上海证券报》上公开披露过的所有公司文件的正本及公告的 原稿。</w:t>
      </w:r>
    </w:p>
    <w:p>
      <w:pPr>
        <w:pStyle w:val="Style13"/>
        <w:keepNext w:val="0"/>
        <w:keepLines w:val="0"/>
        <w:widowControl w:val="0"/>
        <w:shd w:val="clear" w:color="auto" w:fill="auto"/>
        <w:bidi w:val="0"/>
        <w:spacing w:before="0" w:after="0" w:line="355" w:lineRule="exact"/>
        <w:ind w:left="6520" w:right="0" w:firstLine="0"/>
        <w:jc w:val="right"/>
      </w:pPr>
      <w:r>
        <w:rPr>
          <w:color w:val="000000"/>
          <w:spacing w:val="0"/>
          <w:w w:val="100"/>
          <w:position w:val="0"/>
        </w:rPr>
        <w:t xml:space="preserve">董事长：赵林中 浙江富润股份有限公司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sectPr>
      <w:footnotePr>
        <w:pos w:val="pageBottom"/>
        <w:numFmt w:val="decimal"/>
        <w:numRestart w:val="continuous"/>
      </w:footnotePr>
      <w:pgSz w:w="12240" w:h="15840"/>
      <w:pgMar w:top="1690" w:right="1776" w:bottom="1690" w:left="177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3856990</wp:posOffset>
              </wp:positionH>
              <wp:positionV relativeFrom="page">
                <wp:posOffset>9665335</wp:posOffset>
              </wp:positionV>
              <wp:extent cx="52070" cy="79375"/>
              <wp:wrapNone/>
              <wp:docPr id="5" name="Shape 5"/>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303.69999999999999pt;margin-top:761.05000000000007pt;width:4.0999999999999996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3716020</wp:posOffset>
              </wp:positionH>
              <wp:positionV relativeFrom="page">
                <wp:posOffset>9494520</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2.60000000000002pt;margin-top:747.6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5047615</wp:posOffset>
              </wp:positionH>
              <wp:positionV relativeFrom="page">
                <wp:posOffset>7208520</wp:posOffset>
              </wp:positionV>
              <wp:extent cx="113030" cy="79375"/>
              <wp:wrapNone/>
              <wp:docPr id="78" name="Shape 78"/>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397.44999999999999pt;margin-top:567.60000000000002pt;width:8.9000000000000004pt;height:6.25pt;z-index:-18874405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3875405</wp:posOffset>
              </wp:positionH>
              <wp:positionV relativeFrom="page">
                <wp:posOffset>9494520</wp:posOffset>
              </wp:positionV>
              <wp:extent cx="100330" cy="79375"/>
              <wp:wrapNone/>
              <wp:docPr id="123" name="Shape 12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305.15000000000003pt;margin-top:747.60000000000002pt;width:7.9000000000000004pt;height:6.25pt;z-index:-18874401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2879090</wp:posOffset>
              </wp:positionH>
              <wp:positionV relativeFrom="page">
                <wp:posOffset>268605</wp:posOffset>
              </wp:positionV>
              <wp:extent cx="2014855" cy="106680"/>
              <wp:wrapNone/>
              <wp:docPr id="2" name="Shape 2"/>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浙江富润股份有限公司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26.70000000000002pt;margin-top:21.150000000000002pt;width:158.65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浙江富润股份有限公司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414655</wp:posOffset>
              </wp:positionV>
              <wp:extent cx="5315585" cy="0"/>
              <wp:wrapNone/>
              <wp:docPr id="4" name="Shape 4"/>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32.649999999999999pt;width:418.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2877185</wp:posOffset>
              </wp:positionH>
              <wp:positionV relativeFrom="page">
                <wp:posOffset>478790</wp:posOffset>
              </wp:positionV>
              <wp:extent cx="2014855" cy="106680"/>
              <wp:wrapNone/>
              <wp:docPr id="7" name="Shape 7"/>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浙江富润股份有限公司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3" type="#_x0000_t202" style="position:absolute;margin-left:226.55000000000001pt;margin-top:37.700000000000003pt;width:158.65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浙江富润股份有限公司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622935</wp:posOffset>
              </wp:positionV>
              <wp:extent cx="5528945" cy="0"/>
              <wp:wrapNone/>
              <wp:docPr id="9" name="Shape 9"/>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88.299999999999997pt;margin-top:49.050000000000004pt;width:435.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4096385</wp:posOffset>
              </wp:positionH>
              <wp:positionV relativeFrom="page">
                <wp:posOffset>478790</wp:posOffset>
              </wp:positionV>
              <wp:extent cx="2014855" cy="106680"/>
              <wp:wrapNone/>
              <wp:docPr id="75" name="Shape 75"/>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1" type="#_x0000_t202" style="position:absolute;margin-left:322.55000000000001pt;margin-top:37.700000000000003pt;width:158.65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622935</wp:posOffset>
              </wp:positionV>
              <wp:extent cx="8272145" cy="0"/>
              <wp:wrapNone/>
              <wp:docPr id="77" name="Shape 77"/>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6.299999999999997pt;margin-top:49.050000000000004pt;width:651.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2918460</wp:posOffset>
              </wp:positionH>
              <wp:positionV relativeFrom="page">
                <wp:posOffset>478790</wp:posOffset>
              </wp:positionV>
              <wp:extent cx="2014855" cy="106680"/>
              <wp:wrapNone/>
              <wp:docPr id="120" name="Shape 120"/>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6" type="#_x0000_t202" style="position:absolute;margin-left:229.80000000000001pt;margin-top:37.700000000000003pt;width:158.65000000000001pt;height:8.4000000000000004pt;z-index:-18874401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1162685</wp:posOffset>
              </wp:positionH>
              <wp:positionV relativeFrom="page">
                <wp:posOffset>622935</wp:posOffset>
              </wp:positionV>
              <wp:extent cx="5532120" cy="0"/>
              <wp:wrapNone/>
              <wp:docPr id="122" name="Shape 122"/>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91.549999999999997pt;margin-top:49.050000000000004pt;width:435.6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V"/>
      <w:rPr>
        <w:rFonts w:ascii="Arial Unicode MS" w:eastAsia="Arial Unicode MS" w:hAnsi="Arial Unicode MS" w:cs="Arial Unicode MS"/>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Arial Unicode MS" w:eastAsia="Arial Unicode MS" w:hAnsi="Arial Unicode MS" w:cs="Arial Unicode MS"/>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5"/>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6"/>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Arial Unicode MS" w:eastAsia="Arial Unicode MS" w:hAnsi="Arial Unicode MS" w:cs="Arial Unicode MS"/>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Arial Unicode MS" w:eastAsia="Arial Unicode MS" w:hAnsi="Arial Unicode MS" w:cs="Arial Unicode MS"/>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Arial Unicode MS" w:eastAsia="Arial Unicode MS" w:hAnsi="Arial Unicode MS" w:cs="Arial Unicode MS"/>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正文文本 (5)_"/>
    <w:basedOn w:val="DefaultParagraphFont"/>
    <w:link w:val="Style8"/>
    <w:rPr>
      <w:rFonts w:ascii="Arial" w:eastAsia="Arial" w:hAnsi="Arial" w:cs="Arial"/>
      <w:b/>
      <w:bCs/>
      <w:i w:val="0"/>
      <w:iCs w:val="0"/>
      <w:smallCaps w:val="0"/>
      <w:strike w:val="0"/>
      <w:color w:val="FF0000"/>
      <w:sz w:val="28"/>
      <w:szCs w:val="28"/>
      <w:u w:val="none"/>
      <w:shd w:val="clear" w:color="auto" w:fill="auto"/>
    </w:rPr>
  </w:style>
  <w:style w:type="character" w:customStyle="1" w:styleId="CharStyle12">
    <w:name w:val="正文文本 (6)_"/>
    <w:basedOn w:val="DefaultParagraphFont"/>
    <w:link w:val="Style11"/>
    <w:rPr>
      <w:rFonts w:ascii="SimHei" w:eastAsia="SimHei" w:hAnsi="SimHei" w:cs="SimHei"/>
      <w:b/>
      <w:bCs/>
      <w:i w:val="0"/>
      <w:iCs w:val="0"/>
      <w:smallCaps w:val="0"/>
      <w:strike w:val="0"/>
      <w:sz w:val="28"/>
      <w:szCs w:val="28"/>
      <w:u w:val="none"/>
      <w:shd w:val="clear" w:color="auto" w:fill="auto"/>
    </w:rPr>
  </w:style>
  <w:style w:type="character" w:customStyle="1" w:styleId="CharStyle14">
    <w:name w:val="正文文本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48"/>
      <w:szCs w:val="48"/>
      <w:u w:val="none"/>
      <w:shd w:val="clear" w:color="auto" w:fill="auto"/>
    </w:rPr>
  </w:style>
  <w:style w:type="character" w:customStyle="1" w:styleId="CharStyle20">
    <w:name w:val="表格标题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正文文本 (2)_"/>
    <w:basedOn w:val="DefaultParagraphFont"/>
    <w:link w:val="Style2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9">
    <w:name w:val="正文文本 (3)_"/>
    <w:basedOn w:val="DefaultParagraphFont"/>
    <w:link w:val="Style28"/>
    <w:rPr>
      <w:rFonts w:ascii="SimSun" w:eastAsia="SimSun" w:hAnsi="SimSun" w:cs="SimSun"/>
      <w:b w:val="0"/>
      <w:bCs w:val="0"/>
      <w:i w:val="0"/>
      <w:iCs w:val="0"/>
      <w:smallCaps w:val="0"/>
      <w:strike w:val="0"/>
      <w:sz w:val="14"/>
      <w:szCs w:val="14"/>
      <w:u w:val="none"/>
      <w:shd w:val="clear" w:color="auto" w:fill="auto"/>
    </w:rPr>
  </w:style>
  <w:style w:type="character" w:customStyle="1" w:styleId="CharStyle39">
    <w:name w:val="其他 (2)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图片标题_"/>
    <w:basedOn w:val="DefaultParagraphFont"/>
    <w:link w:val="Style42"/>
    <w:rPr>
      <w:rFonts w:ascii="SimSun" w:eastAsia="SimSun" w:hAnsi="SimSun" w:cs="SimSun"/>
      <w:b w:val="0"/>
      <w:bCs w:val="0"/>
      <w:i w:val="0"/>
      <w:iCs w:val="0"/>
      <w:smallCaps w:val="0"/>
      <w:strike w:val="0"/>
      <w:sz w:val="20"/>
      <w:szCs w:val="20"/>
      <w:u w:val="none"/>
      <w:shd w:val="clear" w:color="auto" w:fill="auto"/>
    </w:rPr>
  </w:style>
  <w:style w:type="character" w:customStyle="1" w:styleId="CharStyle70">
    <w:name w:val="页眉或页脚_"/>
    <w:basedOn w:val="DefaultParagraphFont"/>
    <w:link w:val="Style69"/>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after="52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正文文本 (5)"/>
    <w:basedOn w:val="Normal"/>
    <w:link w:val="CharStyle9"/>
    <w:pPr>
      <w:widowControl w:val="0"/>
      <w:shd w:val="clear" w:color="auto" w:fill="auto"/>
      <w:spacing w:after="840"/>
      <w:jc w:val="center"/>
    </w:pPr>
    <w:rPr>
      <w:rFonts w:ascii="Arial" w:eastAsia="Arial" w:hAnsi="Arial" w:cs="Arial"/>
      <w:b/>
      <w:bCs/>
      <w:i w:val="0"/>
      <w:iCs w:val="0"/>
      <w:smallCaps w:val="0"/>
      <w:strike w:val="0"/>
      <w:color w:val="FF0000"/>
      <w:sz w:val="28"/>
      <w:szCs w:val="28"/>
      <w:u w:val="none"/>
      <w:shd w:val="clear" w:color="auto" w:fill="auto"/>
    </w:rPr>
  </w:style>
  <w:style w:type="paragraph" w:customStyle="1" w:styleId="Style11">
    <w:name w:val="正文文本 (6)"/>
    <w:basedOn w:val="Normal"/>
    <w:link w:val="CharStyle12"/>
    <w:pPr>
      <w:widowControl w:val="0"/>
      <w:shd w:val="clear" w:color="auto" w:fill="auto"/>
      <w:spacing w:after="640"/>
      <w:jc w:val="center"/>
    </w:pPr>
    <w:rPr>
      <w:rFonts w:ascii="SimHei" w:eastAsia="SimHei" w:hAnsi="SimHei" w:cs="SimHei"/>
      <w:b/>
      <w:bCs/>
      <w:i w:val="0"/>
      <w:iCs w:val="0"/>
      <w:smallCaps w:val="0"/>
      <w:strike w:val="0"/>
      <w:sz w:val="28"/>
      <w:szCs w:val="28"/>
      <w:u w:val="none"/>
      <w:shd w:val="clear" w:color="auto" w:fill="auto"/>
    </w:rPr>
  </w:style>
  <w:style w:type="paragraph" w:customStyle="1" w:styleId="Style13">
    <w:name w:val="正文文本"/>
    <w:basedOn w:val="Normal"/>
    <w:link w:val="CharStyle14"/>
    <w:pPr>
      <w:widowControl w:val="0"/>
      <w:shd w:val="clear" w:color="auto" w:fill="auto"/>
      <w:spacing w:line="286"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标题 #1"/>
    <w:basedOn w:val="Normal"/>
    <w:link w:val="CharStyle18"/>
    <w:pPr>
      <w:widowControl w:val="0"/>
      <w:shd w:val="clear" w:color="auto" w:fill="auto"/>
      <w:spacing w:after="540"/>
      <w:outlineLvl w:val="0"/>
    </w:pPr>
    <w:rPr>
      <w:rFonts w:ascii="SimSun" w:eastAsia="SimSun" w:hAnsi="SimSun" w:cs="SimSun"/>
      <w:b/>
      <w:bCs/>
      <w:i w:val="0"/>
      <w:iCs w:val="0"/>
      <w:smallCaps w:val="0"/>
      <w:strike w:val="0"/>
      <w:sz w:val="48"/>
      <w:szCs w:val="48"/>
      <w:u w:val="none"/>
      <w:shd w:val="clear" w:color="auto" w:fill="auto"/>
    </w:rPr>
  </w:style>
  <w:style w:type="paragraph" w:customStyle="1" w:styleId="Style19">
    <w:name w:val="表格标题"/>
    <w:basedOn w:val="Normal"/>
    <w:link w:val="CharStyle2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正文文本 (2)"/>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8">
    <w:name w:val="正文文本 (3)"/>
    <w:basedOn w:val="Normal"/>
    <w:link w:val="CharStyle29"/>
    <w:pPr>
      <w:widowControl w:val="0"/>
      <w:shd w:val="clear" w:color="auto" w:fill="auto"/>
      <w:spacing w:line="199" w:lineRule="exact"/>
    </w:pPr>
    <w:rPr>
      <w:rFonts w:ascii="SimSun" w:eastAsia="SimSun" w:hAnsi="SimSun" w:cs="SimSun"/>
      <w:b w:val="0"/>
      <w:bCs w:val="0"/>
      <w:i w:val="0"/>
      <w:iCs w:val="0"/>
      <w:smallCaps w:val="0"/>
      <w:strike w:val="0"/>
      <w:sz w:val="14"/>
      <w:szCs w:val="14"/>
      <w:u w:val="none"/>
      <w:shd w:val="clear" w:color="auto" w:fill="auto"/>
    </w:rPr>
  </w:style>
  <w:style w:type="paragraph" w:customStyle="1" w:styleId="Style38">
    <w:name w:val="其他 (2)"/>
    <w:basedOn w:val="Normal"/>
    <w:link w:val="CharStyle39"/>
    <w:pPr>
      <w:widowControl w:val="0"/>
      <w:shd w:val="clear" w:color="auto" w:fill="auto"/>
      <w:spacing w:before="15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图片标题"/>
    <w:basedOn w:val="Normal"/>
    <w:link w:val="CharStyle43"/>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69">
    <w:name w:val="页眉或页脚"/>
    <w:basedOn w:val="Normal"/>
    <w:link w:val="CharStyle7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